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EB71B" w14:textId="77777777" w:rsidR="00F07EE3" w:rsidRDefault="00F07EE3" w:rsidP="00F07EE3">
      <w:pPr>
        <w:pStyle w:val="Heading1"/>
      </w:pPr>
      <w:bookmarkStart w:id="0" w:name="_Hlk512605513"/>
      <w:r>
        <w:t>equity of a government subsidised Exercise Referral Scheme: a population study</w:t>
      </w:r>
    </w:p>
    <w:bookmarkEnd w:id="0"/>
    <w:p w14:paraId="2DD378A0" w14:textId="77777777" w:rsidR="00F07EE3" w:rsidRDefault="00F07EE3" w:rsidP="00F07EE3"/>
    <w:p w14:paraId="24C768AB" w14:textId="77777777" w:rsidR="00F07EE3" w:rsidRPr="004A28AF" w:rsidRDefault="00F07EE3" w:rsidP="00F07EE3">
      <w:pPr>
        <w:rPr>
          <w:rFonts w:eastAsia="Times New Roman" w:cs="Times New Roman"/>
          <w:szCs w:val="24"/>
          <w:lang w:val="en-GB"/>
        </w:rPr>
      </w:pPr>
      <w:r>
        <w:rPr>
          <w:rFonts w:eastAsia="Times New Roman" w:cs="Times New Roman"/>
          <w:szCs w:val="24"/>
          <w:lang w:val="en-GB"/>
        </w:rPr>
        <w:t>Melinda Craike</w:t>
      </w:r>
      <w:r w:rsidRPr="004A28AF">
        <w:rPr>
          <w:rFonts w:eastAsia="Times New Roman" w:cs="Times New Roman"/>
          <w:szCs w:val="24"/>
          <w:vertAlign w:val="superscript"/>
          <w:lang w:val="en-GB"/>
        </w:rPr>
        <w:t>1</w:t>
      </w:r>
      <w:r>
        <w:rPr>
          <w:rFonts w:eastAsia="Times New Roman" w:cs="Times New Roman"/>
          <w:szCs w:val="24"/>
          <w:lang w:val="en-GB"/>
        </w:rPr>
        <w:t>*, Glen Wiesner</w:t>
      </w:r>
      <w:r w:rsidRPr="00A640E6">
        <w:rPr>
          <w:rFonts w:eastAsia="Times New Roman" w:cs="Times New Roman"/>
          <w:szCs w:val="24"/>
          <w:vertAlign w:val="superscript"/>
          <w:lang w:val="en-GB"/>
        </w:rPr>
        <w:t>1</w:t>
      </w:r>
      <w:r>
        <w:rPr>
          <w:rFonts w:eastAsia="Times New Roman" w:cs="Times New Roman"/>
          <w:szCs w:val="24"/>
          <w:lang w:val="en-GB"/>
        </w:rPr>
        <w:t>, Joanne Enticott</w:t>
      </w:r>
      <w:r w:rsidRPr="00A640E6">
        <w:rPr>
          <w:rFonts w:eastAsia="Times New Roman" w:cs="Times New Roman"/>
          <w:szCs w:val="24"/>
          <w:vertAlign w:val="superscript"/>
          <w:lang w:val="en-GB"/>
        </w:rPr>
        <w:t>2</w:t>
      </w:r>
      <w:r>
        <w:rPr>
          <w:rFonts w:eastAsia="Times New Roman" w:cs="Times New Roman"/>
          <w:szCs w:val="24"/>
          <w:vertAlign w:val="superscript"/>
          <w:lang w:val="en-GB"/>
        </w:rPr>
        <w:t>,3</w:t>
      </w:r>
      <w:r>
        <w:rPr>
          <w:rFonts w:eastAsia="Times New Roman" w:cs="Times New Roman"/>
          <w:szCs w:val="24"/>
          <w:lang w:val="en-GB"/>
        </w:rPr>
        <w:t xml:space="preserve">, </w:t>
      </w:r>
      <w:r w:rsidRPr="004A28AF">
        <w:rPr>
          <w:rFonts w:eastAsia="Times New Roman" w:cs="Times New Roman"/>
          <w:szCs w:val="24"/>
          <w:lang w:val="en-GB"/>
        </w:rPr>
        <w:t>Jason A Bennie</w:t>
      </w:r>
      <w:r w:rsidRPr="00A640E6">
        <w:rPr>
          <w:rFonts w:eastAsia="Times New Roman" w:cs="Times New Roman"/>
          <w:szCs w:val="24"/>
          <w:vertAlign w:val="superscript"/>
          <w:lang w:val="en-GB"/>
        </w:rPr>
        <w:t>4</w:t>
      </w:r>
      <w:r w:rsidRPr="004A28AF">
        <w:rPr>
          <w:rFonts w:eastAsia="Times New Roman" w:cs="Times New Roman"/>
          <w:szCs w:val="24"/>
          <w:lang w:val="en-GB"/>
        </w:rPr>
        <w:t xml:space="preserve">, </w:t>
      </w:r>
      <w:r>
        <w:rPr>
          <w:rFonts w:eastAsia="Times New Roman" w:cs="Times New Roman"/>
          <w:szCs w:val="24"/>
          <w:lang w:val="en-GB"/>
        </w:rPr>
        <w:t xml:space="preserve">&amp; </w:t>
      </w:r>
      <w:r w:rsidRPr="004A28AF">
        <w:rPr>
          <w:rFonts w:eastAsia="Times New Roman" w:cs="Times New Roman"/>
          <w:szCs w:val="24"/>
          <w:lang w:val="en-GB"/>
        </w:rPr>
        <w:t>Stuart J.H. Biddle</w:t>
      </w:r>
      <w:r w:rsidRPr="00A640E6">
        <w:rPr>
          <w:rFonts w:eastAsia="Times New Roman" w:cs="Times New Roman"/>
          <w:szCs w:val="24"/>
          <w:vertAlign w:val="superscript"/>
          <w:lang w:val="en-GB"/>
        </w:rPr>
        <w:t>4</w:t>
      </w:r>
      <w:r w:rsidRPr="004A28AF">
        <w:rPr>
          <w:rFonts w:eastAsia="Times New Roman" w:cs="Times New Roman"/>
          <w:szCs w:val="24"/>
          <w:lang w:val="en-GB"/>
        </w:rPr>
        <w:t>.</w:t>
      </w:r>
    </w:p>
    <w:p w14:paraId="11073A19" w14:textId="77777777" w:rsidR="00F07EE3" w:rsidRPr="004A28AF" w:rsidRDefault="00F07EE3" w:rsidP="00F07EE3">
      <w:pPr>
        <w:rPr>
          <w:rFonts w:eastAsia="Times New Roman" w:cs="Times New Roman"/>
          <w:szCs w:val="24"/>
          <w:lang w:val="en-GB"/>
        </w:rPr>
      </w:pPr>
    </w:p>
    <w:p w14:paraId="5D4C799E" w14:textId="77777777" w:rsidR="00F07EE3" w:rsidRPr="004A28AF" w:rsidRDefault="00F07EE3" w:rsidP="00F07EE3">
      <w:pPr>
        <w:rPr>
          <w:rFonts w:eastAsia="Times New Roman" w:cs="Times New Roman"/>
          <w:szCs w:val="24"/>
          <w:lang w:val="en-GB"/>
        </w:rPr>
      </w:pPr>
      <w:r w:rsidRPr="004A28AF">
        <w:rPr>
          <w:rFonts w:eastAsia="Times New Roman" w:cs="Times New Roman"/>
          <w:szCs w:val="24"/>
          <w:vertAlign w:val="superscript"/>
          <w:lang w:val="en-GB"/>
        </w:rPr>
        <w:t>1</w:t>
      </w:r>
      <w:r w:rsidRPr="004A28AF">
        <w:rPr>
          <w:rFonts w:eastAsia="Times New Roman" w:cs="Times New Roman"/>
          <w:szCs w:val="24"/>
          <w:lang w:val="en-GB"/>
        </w:rPr>
        <w:t xml:space="preserve"> Institute </w:t>
      </w:r>
      <w:r>
        <w:rPr>
          <w:rFonts w:eastAsia="Times New Roman" w:cs="Times New Roman"/>
          <w:szCs w:val="24"/>
          <w:lang w:val="en-GB"/>
        </w:rPr>
        <w:t>for</w:t>
      </w:r>
      <w:r w:rsidRPr="004A28AF">
        <w:rPr>
          <w:rFonts w:eastAsia="Times New Roman" w:cs="Times New Roman"/>
          <w:szCs w:val="24"/>
          <w:lang w:val="en-GB"/>
        </w:rPr>
        <w:t xml:space="preserve"> </w:t>
      </w:r>
      <w:r>
        <w:rPr>
          <w:rFonts w:eastAsia="Times New Roman" w:cs="Times New Roman"/>
          <w:szCs w:val="24"/>
          <w:lang w:val="en-GB"/>
        </w:rPr>
        <w:t xml:space="preserve">Health and Sport (IHES), </w:t>
      </w:r>
      <w:r w:rsidRPr="004A28AF">
        <w:rPr>
          <w:rFonts w:eastAsia="Times New Roman" w:cs="Times New Roman"/>
          <w:szCs w:val="24"/>
          <w:lang w:val="en-GB"/>
        </w:rPr>
        <w:t xml:space="preserve">Victoria University, Melbourne, Australia. </w:t>
      </w:r>
    </w:p>
    <w:p w14:paraId="59E28680" w14:textId="77777777" w:rsidR="00F07EE3" w:rsidRDefault="00F07EE3" w:rsidP="00F07EE3">
      <w:pPr>
        <w:rPr>
          <w:rFonts w:eastAsia="Times New Roman" w:cs="Times New Roman"/>
          <w:szCs w:val="24"/>
          <w:lang w:val="en-GB"/>
        </w:rPr>
      </w:pPr>
      <w:r w:rsidRPr="004A28AF">
        <w:rPr>
          <w:rFonts w:eastAsia="Times New Roman" w:cs="Times New Roman"/>
          <w:szCs w:val="24"/>
          <w:vertAlign w:val="superscript"/>
          <w:lang w:val="en-GB"/>
        </w:rPr>
        <w:t>2</w:t>
      </w:r>
      <w:r>
        <w:rPr>
          <w:rFonts w:eastAsia="Times New Roman" w:cs="Times New Roman"/>
          <w:szCs w:val="24"/>
          <w:lang w:val="en-GB"/>
        </w:rPr>
        <w:t xml:space="preserve"> </w:t>
      </w:r>
      <w:r w:rsidRPr="00A640E6">
        <w:rPr>
          <w:rFonts w:eastAsia="Times New Roman" w:cs="Times New Roman"/>
          <w:szCs w:val="24"/>
          <w:lang w:val="en-GB"/>
        </w:rPr>
        <w:t xml:space="preserve">Department of </w:t>
      </w:r>
      <w:r>
        <w:rPr>
          <w:rFonts w:eastAsia="Times New Roman" w:cs="Times New Roman"/>
          <w:szCs w:val="24"/>
          <w:lang w:val="en-GB"/>
        </w:rPr>
        <w:t>General Practice</w:t>
      </w:r>
      <w:r w:rsidRPr="00A640E6">
        <w:rPr>
          <w:rFonts w:eastAsia="Times New Roman" w:cs="Times New Roman"/>
          <w:szCs w:val="24"/>
          <w:lang w:val="en-GB"/>
        </w:rPr>
        <w:t>, Monash University</w:t>
      </w:r>
      <w:r>
        <w:rPr>
          <w:rFonts w:eastAsia="Times New Roman" w:cs="Times New Roman"/>
          <w:szCs w:val="24"/>
          <w:lang w:val="en-GB"/>
        </w:rPr>
        <w:t>, Melbourne, Australia</w:t>
      </w:r>
    </w:p>
    <w:p w14:paraId="624ED01D" w14:textId="77777777" w:rsidR="00F07EE3" w:rsidRDefault="00F07EE3" w:rsidP="00F07EE3">
      <w:pPr>
        <w:rPr>
          <w:rFonts w:eastAsia="Times New Roman" w:cs="Times New Roman"/>
          <w:szCs w:val="24"/>
          <w:lang w:val="en-GB"/>
        </w:rPr>
      </w:pPr>
      <w:r w:rsidRPr="00A640E6">
        <w:rPr>
          <w:rFonts w:eastAsia="Times New Roman" w:cs="Times New Roman"/>
          <w:szCs w:val="24"/>
          <w:vertAlign w:val="superscript"/>
          <w:lang w:val="en-GB"/>
        </w:rPr>
        <w:t xml:space="preserve">3 </w:t>
      </w:r>
      <w:r w:rsidRPr="006C5E82">
        <w:rPr>
          <w:rFonts w:cs="Times New Roman"/>
          <w:color w:val="000000"/>
          <w:lang w:val="en-GB"/>
        </w:rPr>
        <w:t>Southern Synergy, Department of Psychiatry</w:t>
      </w:r>
      <w:r>
        <w:rPr>
          <w:rFonts w:cs="Times New Roman"/>
          <w:color w:val="000000"/>
          <w:lang w:val="en-GB"/>
        </w:rPr>
        <w:t xml:space="preserve">, </w:t>
      </w:r>
      <w:r w:rsidRPr="006C5E82">
        <w:rPr>
          <w:rFonts w:cs="Times New Roman"/>
          <w:color w:val="000000"/>
          <w:lang w:val="en-GB"/>
        </w:rPr>
        <w:t>Monash Health, Southern Clinical School, Monash University</w:t>
      </w:r>
      <w:r w:rsidRPr="006C5E82">
        <w:rPr>
          <w:rFonts w:eastAsia="Times New Roman" w:cs="Times New Roman"/>
          <w:szCs w:val="24"/>
          <w:lang w:val="en-GB"/>
        </w:rPr>
        <w:t>, Melbourne, Australia</w:t>
      </w:r>
      <w:r w:rsidRPr="00A640E6">
        <w:rPr>
          <w:rFonts w:eastAsia="Times New Roman" w:cs="Times New Roman"/>
          <w:szCs w:val="24"/>
          <w:lang w:val="en-GB"/>
        </w:rPr>
        <w:t xml:space="preserve"> </w:t>
      </w:r>
    </w:p>
    <w:p w14:paraId="0492CCCB" w14:textId="77777777" w:rsidR="00F07EE3" w:rsidRDefault="00F07EE3" w:rsidP="00F07EE3">
      <w:pPr>
        <w:spacing w:line="240" w:lineRule="auto"/>
        <w:rPr>
          <w:lang w:eastAsia="en-AU"/>
        </w:rPr>
      </w:pPr>
      <w:r>
        <w:rPr>
          <w:rFonts w:eastAsia="Times New Roman" w:cs="Times New Roman"/>
          <w:szCs w:val="24"/>
          <w:vertAlign w:val="superscript"/>
          <w:lang w:val="en-GB"/>
        </w:rPr>
        <w:t xml:space="preserve">4 </w:t>
      </w:r>
      <w:r w:rsidRPr="007837C8">
        <w:rPr>
          <w:lang w:eastAsia="en-AU"/>
        </w:rPr>
        <w:t>Institute for Resilient Regions</w:t>
      </w:r>
      <w:r w:rsidRPr="007837C8">
        <w:t xml:space="preserve">, </w:t>
      </w:r>
      <w:r w:rsidRPr="007837C8">
        <w:rPr>
          <w:lang w:eastAsia="en-AU"/>
        </w:rPr>
        <w:t>University of Southern Queensland</w:t>
      </w:r>
      <w:r>
        <w:rPr>
          <w:lang w:eastAsia="en-AU"/>
        </w:rPr>
        <w:t>, Springfield, Australia</w:t>
      </w:r>
    </w:p>
    <w:p w14:paraId="0EC73C93" w14:textId="77777777" w:rsidR="00F07EE3" w:rsidRDefault="00F07EE3" w:rsidP="00F07EE3">
      <w:pPr>
        <w:spacing w:line="240" w:lineRule="auto"/>
        <w:rPr>
          <w:lang w:eastAsia="en-AU"/>
        </w:rPr>
      </w:pPr>
    </w:p>
    <w:p w14:paraId="0C6B890E" w14:textId="77777777" w:rsidR="00F07EE3" w:rsidRPr="007837C8" w:rsidRDefault="00F07EE3" w:rsidP="00F07EE3">
      <w:pPr>
        <w:spacing w:line="240" w:lineRule="auto"/>
        <w:rPr>
          <w:lang w:eastAsia="en-AU"/>
        </w:rPr>
      </w:pPr>
    </w:p>
    <w:p w14:paraId="147593AA" w14:textId="77777777" w:rsidR="00F07EE3" w:rsidRPr="00A640E6" w:rsidRDefault="00F07EE3" w:rsidP="00F07EE3">
      <w:pPr>
        <w:rPr>
          <w:rFonts w:eastAsia="Times New Roman" w:cs="Times New Roman"/>
          <w:szCs w:val="24"/>
          <w:vertAlign w:val="superscript"/>
          <w:lang w:val="en-GB"/>
        </w:rPr>
      </w:pPr>
    </w:p>
    <w:p w14:paraId="7DAE8F5C" w14:textId="77777777" w:rsidR="00F07EE3" w:rsidRPr="004A28AF" w:rsidRDefault="00F07EE3" w:rsidP="00F07EE3">
      <w:pPr>
        <w:rPr>
          <w:rFonts w:eastAsia="Times New Roman" w:cs="Times New Roman"/>
          <w:b/>
          <w:szCs w:val="24"/>
          <w:lang w:val="en-GB"/>
        </w:rPr>
      </w:pPr>
      <w:r w:rsidRPr="004A28AF">
        <w:rPr>
          <w:rFonts w:eastAsia="Times New Roman" w:cs="Times New Roman"/>
          <w:b/>
          <w:szCs w:val="24"/>
          <w:vertAlign w:val="superscript"/>
          <w:lang w:val="en-GB"/>
        </w:rPr>
        <w:t>*</w:t>
      </w:r>
      <w:r w:rsidRPr="004A28AF">
        <w:rPr>
          <w:rFonts w:eastAsia="Times New Roman" w:cs="Times New Roman"/>
          <w:b/>
          <w:szCs w:val="24"/>
          <w:lang w:val="en-GB"/>
        </w:rPr>
        <w:t>Corresponding author</w:t>
      </w:r>
    </w:p>
    <w:p w14:paraId="2CBEBBE0" w14:textId="77777777" w:rsidR="00F07EE3" w:rsidRPr="004A28AF" w:rsidRDefault="00F07EE3" w:rsidP="00F07EE3">
      <w:pPr>
        <w:rPr>
          <w:rFonts w:eastAsia="Times New Roman" w:cs="Times New Roman"/>
          <w:szCs w:val="24"/>
          <w:lang w:val="en-GB"/>
        </w:rPr>
      </w:pPr>
      <w:r w:rsidRPr="004A28AF">
        <w:rPr>
          <w:rFonts w:eastAsia="Times New Roman" w:cs="Times New Roman"/>
          <w:szCs w:val="24"/>
          <w:lang w:val="en-GB"/>
        </w:rPr>
        <w:t xml:space="preserve">Name:  Dr </w:t>
      </w:r>
      <w:r>
        <w:rPr>
          <w:rFonts w:eastAsia="Times New Roman" w:cs="Times New Roman"/>
          <w:szCs w:val="24"/>
          <w:lang w:val="en-GB"/>
        </w:rPr>
        <w:t>Melinda Craike</w:t>
      </w:r>
      <w:r w:rsidRPr="004A28AF">
        <w:rPr>
          <w:rFonts w:eastAsia="Times New Roman" w:cs="Times New Roman"/>
          <w:szCs w:val="24"/>
          <w:lang w:val="en-GB"/>
        </w:rPr>
        <w:t xml:space="preserve"> (PhD)</w:t>
      </w:r>
    </w:p>
    <w:p w14:paraId="2C3A592B" w14:textId="77777777" w:rsidR="00F07EE3" w:rsidRPr="004A28AF" w:rsidRDefault="00F07EE3" w:rsidP="00F07EE3">
      <w:pPr>
        <w:rPr>
          <w:rFonts w:eastAsia="Times New Roman" w:cs="Times New Roman"/>
          <w:szCs w:val="24"/>
          <w:lang w:val="en-GB"/>
        </w:rPr>
      </w:pPr>
      <w:r w:rsidRPr="004A28AF">
        <w:rPr>
          <w:rFonts w:eastAsia="Times New Roman" w:cs="Times New Roman"/>
          <w:szCs w:val="24"/>
          <w:lang w:val="en-GB"/>
        </w:rPr>
        <w:t xml:space="preserve">Mailing address: Institute </w:t>
      </w:r>
      <w:r>
        <w:rPr>
          <w:rFonts w:eastAsia="Times New Roman" w:cs="Times New Roman"/>
          <w:szCs w:val="24"/>
          <w:lang w:val="en-GB"/>
        </w:rPr>
        <w:t>for Health and Sport (IHES)</w:t>
      </w:r>
      <w:r w:rsidRPr="004A28AF">
        <w:rPr>
          <w:rFonts w:eastAsia="Times New Roman" w:cs="Times New Roman"/>
          <w:szCs w:val="24"/>
          <w:lang w:val="en-GB"/>
        </w:rPr>
        <w:t xml:space="preserve"> Victoria University, PO Box 14428, Melbourne, Victoria 8001</w:t>
      </w:r>
    </w:p>
    <w:p w14:paraId="557B8376" w14:textId="77777777" w:rsidR="00F07EE3" w:rsidRPr="004A28AF" w:rsidRDefault="00F07EE3" w:rsidP="00F07EE3">
      <w:pPr>
        <w:rPr>
          <w:rFonts w:eastAsia="Times New Roman" w:cs="Times New Roman"/>
          <w:szCs w:val="24"/>
          <w:lang w:val="en-GB"/>
        </w:rPr>
      </w:pPr>
      <w:r w:rsidRPr="004A28AF">
        <w:rPr>
          <w:rFonts w:eastAsia="Times New Roman" w:cs="Times New Roman"/>
          <w:szCs w:val="24"/>
          <w:lang w:val="en-GB"/>
        </w:rPr>
        <w:t>Telephone: +</w:t>
      </w:r>
      <w:r w:rsidRPr="004A28AF">
        <w:rPr>
          <w:rFonts w:eastAsia="Times New Roman" w:cs="Times New Roman"/>
          <w:color w:val="000000"/>
          <w:szCs w:val="24"/>
          <w:lang w:eastAsia="en-AU"/>
        </w:rPr>
        <w:t xml:space="preserve">613 9919 </w:t>
      </w:r>
      <w:r>
        <w:rPr>
          <w:rFonts w:eastAsia="Times New Roman" w:cs="Times New Roman"/>
          <w:color w:val="000000"/>
          <w:szCs w:val="24"/>
          <w:lang w:eastAsia="en-AU"/>
        </w:rPr>
        <w:t>5659</w:t>
      </w:r>
    </w:p>
    <w:p w14:paraId="7E6F3296" w14:textId="77777777" w:rsidR="00F07EE3" w:rsidRPr="004A28AF" w:rsidRDefault="00F07EE3" w:rsidP="00F07EE3">
      <w:pPr>
        <w:rPr>
          <w:rFonts w:eastAsia="Times New Roman" w:cs="Times New Roman"/>
          <w:szCs w:val="24"/>
          <w:lang w:val="en-GB"/>
        </w:rPr>
      </w:pPr>
      <w:r w:rsidRPr="004A28AF">
        <w:rPr>
          <w:rFonts w:eastAsia="Times New Roman" w:cs="Times New Roman"/>
          <w:szCs w:val="24"/>
          <w:lang w:val="en-GB"/>
        </w:rPr>
        <w:t>e-mail: </w:t>
      </w:r>
      <w:hyperlink r:id="rId8" w:history="1">
        <w:r w:rsidRPr="004921E5">
          <w:rPr>
            <w:rStyle w:val="Hyperlink"/>
            <w:rFonts w:eastAsia="Times New Roman" w:cs="Times New Roman"/>
            <w:lang w:val="en-GB"/>
          </w:rPr>
          <w:t>melinda.craike@vu.edu.au</w:t>
        </w:r>
      </w:hyperlink>
    </w:p>
    <w:p w14:paraId="0AF493D7" w14:textId="77777777" w:rsidR="00F07EE3" w:rsidRPr="00FE26CB" w:rsidRDefault="00F07EE3" w:rsidP="00F07EE3">
      <w:pPr>
        <w:spacing w:after="120" w:line="276" w:lineRule="auto"/>
        <w:rPr>
          <w:b/>
        </w:rPr>
      </w:pPr>
      <w:bookmarkStart w:id="1" w:name="_Hlk512605750"/>
      <w:r>
        <w:t xml:space="preserve"> </w:t>
      </w:r>
    </w:p>
    <w:bookmarkEnd w:id="1"/>
    <w:p w14:paraId="63D84F95" w14:textId="77777777" w:rsidR="00F07EE3" w:rsidRDefault="00F07EE3" w:rsidP="00F07EE3">
      <w:pPr>
        <w:spacing w:after="200" w:line="276" w:lineRule="auto"/>
      </w:pPr>
    </w:p>
    <w:p w14:paraId="3061D6C4" w14:textId="77777777" w:rsidR="00F07EE3" w:rsidRDefault="00F07EE3">
      <w:pPr>
        <w:spacing w:after="200" w:line="276" w:lineRule="auto"/>
        <w:rPr>
          <w:rFonts w:eastAsiaTheme="majorEastAsia" w:cstheme="majorBidi"/>
          <w:b/>
          <w:bCs/>
          <w:caps/>
          <w:szCs w:val="28"/>
        </w:rPr>
      </w:pPr>
      <w:r>
        <w:br w:type="page"/>
      </w:r>
    </w:p>
    <w:p w14:paraId="77AEFC05" w14:textId="40985E2E" w:rsidR="00D03DCF" w:rsidRDefault="00EB1330" w:rsidP="00EB1330">
      <w:pPr>
        <w:pStyle w:val="Heading1"/>
      </w:pPr>
      <w:r>
        <w:lastRenderedPageBreak/>
        <w:t>Abstract</w:t>
      </w:r>
    </w:p>
    <w:p w14:paraId="45D201F0" w14:textId="043515C7" w:rsidR="004F6B5C" w:rsidRDefault="00EB1330" w:rsidP="004F6B5C">
      <w:r w:rsidRPr="00B663B7">
        <w:rPr>
          <w:b/>
        </w:rPr>
        <w:t>Background</w:t>
      </w:r>
      <w:r w:rsidR="00E65B76">
        <w:t xml:space="preserve">: </w:t>
      </w:r>
      <w:r w:rsidR="00B663B7">
        <w:t>Health inequities could increase i</w:t>
      </w:r>
      <w:r w:rsidR="00FA5036">
        <w:t xml:space="preserve">f </w:t>
      </w:r>
      <w:r w:rsidR="007D066A">
        <w:t>utilisation</w:t>
      </w:r>
      <w:r w:rsidR="00FA5036">
        <w:t xml:space="preserve"> </w:t>
      </w:r>
      <w:r w:rsidR="00E73618">
        <w:t xml:space="preserve">of physical activity interventions </w:t>
      </w:r>
      <w:r w:rsidR="00FA5036">
        <w:t xml:space="preserve">is </w:t>
      </w:r>
      <w:r w:rsidR="003D43D1">
        <w:t>lower</w:t>
      </w:r>
      <w:r w:rsidR="00FA5036">
        <w:t xml:space="preserve"> am</w:t>
      </w:r>
      <w:r w:rsidR="00B663B7">
        <w:t xml:space="preserve">ong </w:t>
      </w:r>
      <w:r w:rsidR="003D43D1">
        <w:t>socioeconomically disadvantaged</w:t>
      </w:r>
      <w:r w:rsidR="00B663B7">
        <w:t xml:space="preserve"> </w:t>
      </w:r>
      <w:r w:rsidR="003D43D1">
        <w:t>groups. W</w:t>
      </w:r>
      <w:r w:rsidR="009166B2">
        <w:t xml:space="preserve">e examined </w:t>
      </w:r>
      <w:r w:rsidR="00B663B7">
        <w:t xml:space="preserve">associations between area level socioeconomic disadvantage and </w:t>
      </w:r>
      <w:r w:rsidR="009166B2">
        <w:t>utilisation of</w:t>
      </w:r>
      <w:r w:rsidR="007D066A">
        <w:t xml:space="preserve"> </w:t>
      </w:r>
      <w:r w:rsidR="003D43D1">
        <w:t>Australian government-subsidised, general practitioner (GP)-referred</w:t>
      </w:r>
      <w:r w:rsidR="002C52D4">
        <w:t>,</w:t>
      </w:r>
      <w:r w:rsidR="003D43D1">
        <w:t xml:space="preserve"> accredited exercise physiologist (AEPs) services.</w:t>
      </w:r>
    </w:p>
    <w:p w14:paraId="28551B97" w14:textId="03911683" w:rsidR="00E91986" w:rsidRDefault="00EB1330" w:rsidP="00E91986">
      <w:r w:rsidRPr="00B663B7">
        <w:rPr>
          <w:b/>
        </w:rPr>
        <w:t>Methods</w:t>
      </w:r>
      <w:r w:rsidR="00E65B76">
        <w:t xml:space="preserve">: </w:t>
      </w:r>
      <w:r w:rsidR="00561ECB">
        <w:t xml:space="preserve">We conducted a cross-sectional analysis of </w:t>
      </w:r>
      <w:r w:rsidR="00B663B7">
        <w:t xml:space="preserve">Australian </w:t>
      </w:r>
      <w:r w:rsidR="00561ECB">
        <w:t xml:space="preserve">Medical Benefits Scheme (MBS) data </w:t>
      </w:r>
      <w:r w:rsidR="00C45AFB">
        <w:t xml:space="preserve">(N = </w:t>
      </w:r>
      <w:r w:rsidR="00C45AFB">
        <w:rPr>
          <w:szCs w:val="24"/>
        </w:rPr>
        <w:t xml:space="preserve">228,771 AEP services) </w:t>
      </w:r>
      <w:r w:rsidR="00561ECB">
        <w:t xml:space="preserve">for the 2015-2016 financial year and aggregated publicly available data from </w:t>
      </w:r>
      <w:r w:rsidR="00E91986">
        <w:t>several</w:t>
      </w:r>
      <w:r w:rsidR="00561ECB">
        <w:t xml:space="preserve"> sources.</w:t>
      </w:r>
      <w:r w:rsidR="00E73618">
        <w:t xml:space="preserve"> </w:t>
      </w:r>
      <w:r w:rsidR="00E91986">
        <w:t>Spearman’s correlations</w:t>
      </w:r>
      <w:r w:rsidR="008E5636">
        <w:t xml:space="preserve"> examine</w:t>
      </w:r>
      <w:r w:rsidR="003D43D1">
        <w:t>d</w:t>
      </w:r>
      <w:r w:rsidR="008E5636">
        <w:t xml:space="preserve"> associations between utilisation of </w:t>
      </w:r>
      <w:r w:rsidR="003D43D1">
        <w:t>AEP</w:t>
      </w:r>
      <w:r w:rsidR="008E5636">
        <w:t xml:space="preserve"> services and area-level socioeconomic disadvantage</w:t>
      </w:r>
      <w:r w:rsidR="00C33F10">
        <w:t>, indicated by</w:t>
      </w:r>
      <w:r w:rsidR="00F96FE3">
        <w:rPr>
          <w:rFonts w:cstheme="minorHAnsi"/>
          <w:szCs w:val="24"/>
        </w:rPr>
        <w:t xml:space="preserve"> Index of Relative Socioeconomic Disadvantage (IRSD) </w:t>
      </w:r>
      <w:r w:rsidR="003F5B15">
        <w:t>decile scores</w:t>
      </w:r>
      <w:r w:rsidR="008E5636">
        <w:t xml:space="preserve">. </w:t>
      </w:r>
      <w:r w:rsidR="00B8302B">
        <w:t>Lower</w:t>
      </w:r>
      <w:r w:rsidR="000E5812" w:rsidRPr="004476AE">
        <w:t xml:space="preserve"> IRSD scores </w:t>
      </w:r>
      <w:r w:rsidR="00AA09BB" w:rsidRPr="004476AE">
        <w:t xml:space="preserve">indicate </w:t>
      </w:r>
      <w:r w:rsidR="00B8302B">
        <w:t>greater</w:t>
      </w:r>
      <w:r w:rsidR="004476AE" w:rsidRPr="004476AE">
        <w:t xml:space="preserve"> </w:t>
      </w:r>
      <w:r w:rsidR="00AA09BB" w:rsidRPr="004476AE">
        <w:t xml:space="preserve">levels of </w:t>
      </w:r>
      <w:r w:rsidR="00B8302B">
        <w:t xml:space="preserve">socioeconomic </w:t>
      </w:r>
      <w:r w:rsidR="00AA09BB" w:rsidRPr="004476AE">
        <w:t>disadvantage.</w:t>
      </w:r>
    </w:p>
    <w:p w14:paraId="5C81DBD8" w14:textId="774B43A2" w:rsidR="00A44C34" w:rsidRPr="00525570" w:rsidRDefault="00EB1330" w:rsidP="00A44C34">
      <w:r w:rsidRPr="00B663B7">
        <w:rPr>
          <w:b/>
        </w:rPr>
        <w:t>Results</w:t>
      </w:r>
      <w:r w:rsidR="004A220F">
        <w:t xml:space="preserve">: </w:t>
      </w:r>
      <w:r w:rsidR="001E7E3F">
        <w:t>Significant c</w:t>
      </w:r>
      <w:r w:rsidR="000E5812">
        <w:t xml:space="preserve">orrelations between IRSD score and study variables were as follows: </w:t>
      </w:r>
      <w:r w:rsidR="00525570" w:rsidRPr="00525570">
        <w:t>Out-of-pocket expenses</w:t>
      </w:r>
      <w:r w:rsidR="00410918">
        <w:t>/</w:t>
      </w:r>
      <w:r w:rsidR="00525570" w:rsidRPr="00525570">
        <w:t>service (rs = 0.5</w:t>
      </w:r>
      <w:r w:rsidR="00A44C34">
        <w:t>2</w:t>
      </w:r>
      <w:r w:rsidR="00525570" w:rsidRPr="00525570">
        <w:t>)</w:t>
      </w:r>
      <w:r w:rsidR="00525570">
        <w:t xml:space="preserve">; </w:t>
      </w:r>
      <w:r w:rsidR="00525570" w:rsidRPr="00525570">
        <w:t>number of patients</w:t>
      </w:r>
      <w:r w:rsidR="00410918">
        <w:t>/</w:t>
      </w:r>
      <w:r w:rsidR="003F5B15">
        <w:t xml:space="preserve">AEP </w:t>
      </w:r>
      <w:r w:rsidR="00525570" w:rsidRPr="00525570">
        <w:t xml:space="preserve">provider </w:t>
      </w:r>
      <w:r w:rsidR="002C52D4">
        <w:t>(rs = -0.4</w:t>
      </w:r>
      <w:r w:rsidR="00A44C34">
        <w:t>2</w:t>
      </w:r>
      <w:r w:rsidR="00C83DC6">
        <w:t>)</w:t>
      </w:r>
      <w:r w:rsidR="003F5B15">
        <w:t>;</w:t>
      </w:r>
      <w:r w:rsidR="00525570" w:rsidRPr="00525570">
        <w:t xml:space="preserve"> </w:t>
      </w:r>
      <w:r w:rsidR="00525570" w:rsidRPr="00A25AB8">
        <w:t xml:space="preserve">number of patients/1000 </w:t>
      </w:r>
      <w:r w:rsidR="002C52D4">
        <w:t>population</w:t>
      </w:r>
      <w:r w:rsidR="00525570" w:rsidRPr="00A25AB8">
        <w:t xml:space="preserve"> (rs = -</w:t>
      </w:r>
      <w:r w:rsidR="002C52D4">
        <w:t>0.24</w:t>
      </w:r>
      <w:r w:rsidR="00525570" w:rsidRPr="00A25AB8">
        <w:t>)</w:t>
      </w:r>
      <w:r w:rsidR="00BE0EAD" w:rsidRPr="00A25AB8">
        <w:t>; AEP</w:t>
      </w:r>
      <w:r w:rsidR="00525570" w:rsidRPr="00A25AB8">
        <w:t xml:space="preserve"> services</w:t>
      </w:r>
      <w:r w:rsidR="00410918">
        <w:t>/</w:t>
      </w:r>
      <w:r w:rsidR="00525570" w:rsidRPr="00A25AB8">
        <w:t xml:space="preserve"> 1000 </w:t>
      </w:r>
      <w:r w:rsidR="002C52D4">
        <w:t>population</w:t>
      </w:r>
      <w:r w:rsidR="002B7CFA">
        <w:t xml:space="preserve"> (rs = -0.18</w:t>
      </w:r>
      <w:r w:rsidR="00525570" w:rsidRPr="00A25AB8">
        <w:t>)</w:t>
      </w:r>
      <w:r w:rsidR="00E048E2" w:rsidRPr="00A25AB8">
        <w:t xml:space="preserve">; average </w:t>
      </w:r>
      <w:r w:rsidR="00525570" w:rsidRPr="00A25AB8">
        <w:t>services</w:t>
      </w:r>
      <w:r w:rsidR="003B232C">
        <w:t>/</w:t>
      </w:r>
      <w:r w:rsidR="002B7CFA">
        <w:t>patient (rs = 0.24</w:t>
      </w:r>
      <w:r w:rsidR="00525570" w:rsidRPr="00A25AB8">
        <w:t>)</w:t>
      </w:r>
      <w:r w:rsidR="00A44C34">
        <w:t>; and AEP provider/1000 population (rs =0.14).</w:t>
      </w:r>
      <w:r w:rsidR="00E048E2" w:rsidRPr="00A25AB8">
        <w:t xml:space="preserve">. </w:t>
      </w:r>
    </w:p>
    <w:p w14:paraId="4FD62B5D" w14:textId="5B0BE56B" w:rsidR="006567F7" w:rsidRDefault="00EB1330" w:rsidP="00DF5929">
      <w:pPr>
        <w:rPr>
          <w:rFonts w:cstheme="minorHAnsi"/>
          <w:szCs w:val="24"/>
        </w:rPr>
      </w:pPr>
      <w:r w:rsidRPr="00B663B7">
        <w:rPr>
          <w:b/>
        </w:rPr>
        <w:t>Conclusion</w:t>
      </w:r>
      <w:r w:rsidR="004A220F">
        <w:t xml:space="preserve">: </w:t>
      </w:r>
      <w:r w:rsidR="00B663B7">
        <w:t>P</w:t>
      </w:r>
      <w:r w:rsidR="00200C57">
        <w:t>atients living in</w:t>
      </w:r>
      <w:r w:rsidR="009964F7">
        <w:t xml:space="preserve"> areas of greater</w:t>
      </w:r>
      <w:r w:rsidR="00200C57">
        <w:t xml:space="preserve"> </w:t>
      </w:r>
      <w:r w:rsidR="009964F7">
        <w:t>disadvantage</w:t>
      </w:r>
      <w:r w:rsidR="00200C57">
        <w:t xml:space="preserve"> </w:t>
      </w:r>
      <w:r w:rsidR="009964F7">
        <w:t xml:space="preserve">utilised </w:t>
      </w:r>
      <w:r w:rsidR="00AF5661">
        <w:t xml:space="preserve">government-subsidised, GP-referred </w:t>
      </w:r>
      <w:r w:rsidR="009964F7">
        <w:t>AEP services at a higher rate and paid lower out</w:t>
      </w:r>
      <w:r w:rsidR="00B77E56">
        <w:t>-</w:t>
      </w:r>
      <w:r w:rsidR="009964F7">
        <w:t>of</w:t>
      </w:r>
      <w:r w:rsidR="00B77E56">
        <w:t>-</w:t>
      </w:r>
      <w:r w:rsidR="009964F7">
        <w:t>pocket fees than those living in more affluent areas</w:t>
      </w:r>
      <w:r w:rsidR="009964F7">
        <w:rPr>
          <w:rFonts w:cstheme="minorHAnsi"/>
          <w:szCs w:val="24"/>
        </w:rPr>
        <w:t xml:space="preserve">. </w:t>
      </w:r>
      <w:r w:rsidR="003D43D1">
        <w:rPr>
          <w:rFonts w:cstheme="minorHAnsi"/>
          <w:szCs w:val="24"/>
        </w:rPr>
        <w:t>Thus,</w:t>
      </w:r>
      <w:r w:rsidR="00B663B7">
        <w:rPr>
          <w:rFonts w:cstheme="minorHAnsi"/>
          <w:szCs w:val="24"/>
        </w:rPr>
        <w:t xml:space="preserve"> </w:t>
      </w:r>
      <w:r w:rsidR="009964F7">
        <w:rPr>
          <w:rFonts w:cstheme="minorHAnsi"/>
          <w:szCs w:val="24"/>
        </w:rPr>
        <w:t>AEP services are equitably distributed, from a utilisation perspective, and acceptable to patients living in areas of disadvantage.</w:t>
      </w:r>
      <w:r w:rsidR="00D86BBF">
        <w:t xml:space="preserve"> </w:t>
      </w:r>
      <w:r w:rsidR="003D43D1">
        <w:t>However, the</w:t>
      </w:r>
      <w:r w:rsidR="00C33F10">
        <w:t xml:space="preserve"> h</w:t>
      </w:r>
      <w:r w:rsidR="009964F7">
        <w:t>igh</w:t>
      </w:r>
      <w:r w:rsidR="002C52D4">
        <w:t>er</w:t>
      </w:r>
      <w:r w:rsidR="00A0558F">
        <w:t xml:space="preserve"> caseloads and </w:t>
      </w:r>
      <w:r w:rsidR="009964F7">
        <w:t>low</w:t>
      </w:r>
      <w:r w:rsidR="002C52D4">
        <w:t>er</w:t>
      </w:r>
      <w:r w:rsidR="00E91986">
        <w:t xml:space="preserve"> fees</w:t>
      </w:r>
      <w:r w:rsidR="00A0558F">
        <w:t xml:space="preserve"> </w:t>
      </w:r>
      <w:r w:rsidR="00C33F10">
        <w:t xml:space="preserve">that characterise AEP services in areas of greater disadvantage </w:t>
      </w:r>
      <w:r w:rsidR="004A220F">
        <w:t xml:space="preserve">may </w:t>
      </w:r>
      <w:r w:rsidR="00137BBE">
        <w:t>result in</w:t>
      </w:r>
      <w:r w:rsidR="004A220F">
        <w:t xml:space="preserve"> </w:t>
      </w:r>
      <w:r w:rsidR="00E91986">
        <w:t>shorter consultation time</w:t>
      </w:r>
      <w:r w:rsidR="00137BBE">
        <w:t>s</w:t>
      </w:r>
      <w:r w:rsidR="004A220F">
        <w:t xml:space="preserve">. </w:t>
      </w:r>
      <w:r w:rsidR="008D6C9F">
        <w:rPr>
          <w:rFonts w:cstheme="minorHAnsi"/>
          <w:szCs w:val="24"/>
        </w:rPr>
        <w:t>Further research on exercise referral schemes is warranted, particularly whether socioeconomic disadvantage is associated with adherence to exercise sessions and health outcomes.</w:t>
      </w:r>
    </w:p>
    <w:p w14:paraId="198854EF" w14:textId="3EC0C154" w:rsidR="001E0F4C" w:rsidRDefault="001E0F4C" w:rsidP="00DF5929">
      <w:pPr>
        <w:rPr>
          <w:rFonts w:cstheme="minorHAnsi"/>
          <w:szCs w:val="24"/>
        </w:rPr>
      </w:pPr>
    </w:p>
    <w:p w14:paraId="44BD0269" w14:textId="5DD6B4B3" w:rsidR="00C15B07" w:rsidRDefault="00DF5929" w:rsidP="00C15B07">
      <w:r w:rsidRPr="006567F7">
        <w:rPr>
          <w:b/>
        </w:rPr>
        <w:lastRenderedPageBreak/>
        <w:t>Keywords</w:t>
      </w:r>
      <w:r>
        <w:t xml:space="preserve">: </w:t>
      </w:r>
      <w:r w:rsidR="00C15B07">
        <w:t>physical activity; access; health care; referral</w:t>
      </w:r>
      <w:r w:rsidR="00D072F5">
        <w:t>;</w:t>
      </w:r>
      <w:r w:rsidR="00C15B07">
        <w:t xml:space="preserve"> exercise physiologist; socioeconomic disadvantage; general practitioner</w:t>
      </w:r>
    </w:p>
    <w:p w14:paraId="113D989F" w14:textId="48497291" w:rsidR="00DF5929" w:rsidRDefault="00DF5929" w:rsidP="00DF5929"/>
    <w:p w14:paraId="1F5F3095" w14:textId="204ECBE1" w:rsidR="001C4D3D" w:rsidRDefault="001C4D3D">
      <w:pPr>
        <w:spacing w:after="200" w:line="276" w:lineRule="auto"/>
      </w:pPr>
      <w:r>
        <w:br w:type="page"/>
      </w:r>
    </w:p>
    <w:p w14:paraId="08526CF0" w14:textId="56DC6139" w:rsidR="00214E01" w:rsidRDefault="00DF5929" w:rsidP="004A28AF">
      <w:pPr>
        <w:pStyle w:val="Heading1"/>
      </w:pPr>
      <w:r>
        <w:lastRenderedPageBreak/>
        <w:t>introduction</w:t>
      </w:r>
    </w:p>
    <w:p w14:paraId="71A7EA32" w14:textId="79954063" w:rsidR="002E2A93" w:rsidRDefault="0071046A" w:rsidP="00046894">
      <w:r>
        <w:t xml:space="preserve">Managing chronic disease </w:t>
      </w:r>
      <w:r w:rsidR="000722A4">
        <w:t xml:space="preserve">and preventing further illness is an increasing priority in health care. </w:t>
      </w:r>
      <w:r w:rsidR="00AD0291" w:rsidRPr="006806D3">
        <w:t xml:space="preserve">In 2014–15, </w:t>
      </w:r>
      <w:r w:rsidR="00AD0291">
        <w:t xml:space="preserve">50% of Australians </w:t>
      </w:r>
      <w:r w:rsidR="00AD0291" w:rsidRPr="006806D3">
        <w:t>reported having at least one chronic disease</w:t>
      </w:r>
      <w:r w:rsidR="00C33F10">
        <w:t xml:space="preserve"> </w:t>
      </w:r>
      <w:r w:rsidR="00E834AC">
        <w:rPr>
          <w:noProof/>
        </w:rPr>
        <w:t>(Australian Institute of Health and Welfare, 2016)</w:t>
      </w:r>
      <w:r w:rsidR="00C33F10">
        <w:t xml:space="preserve"> and </w:t>
      </w:r>
      <w:r w:rsidR="00F86B6B">
        <w:t>c</w:t>
      </w:r>
      <w:r w:rsidR="00C63D38">
        <w:t>h</w:t>
      </w:r>
      <w:r w:rsidR="001A075F" w:rsidRPr="00555053">
        <w:t>ronic disease</w:t>
      </w:r>
      <w:r w:rsidR="001A075F">
        <w:t xml:space="preserve"> is the </w:t>
      </w:r>
      <w:r w:rsidR="001A075F" w:rsidRPr="00555053">
        <w:t>leading cause of illness, disability and death</w:t>
      </w:r>
      <w:r w:rsidR="00AD0291">
        <w:t xml:space="preserve"> in Australia</w:t>
      </w:r>
      <w:r w:rsidR="00C33F10">
        <w:t xml:space="preserve"> </w:t>
      </w:r>
      <w:r w:rsidR="00E834AC">
        <w:rPr>
          <w:noProof/>
        </w:rPr>
        <w:t>(Australian Institute of Health and Welfare, 2011)</w:t>
      </w:r>
      <w:r w:rsidR="001A075F">
        <w:t>.</w:t>
      </w:r>
      <w:r w:rsidR="00A0715E">
        <w:t xml:space="preserve"> </w:t>
      </w:r>
      <w:r w:rsidR="009166B2">
        <w:t>Strong e</w:t>
      </w:r>
      <w:r w:rsidR="00891BF6">
        <w:rPr>
          <w:szCs w:val="24"/>
        </w:rPr>
        <w:t xml:space="preserve">vidence supports the </w:t>
      </w:r>
      <w:r w:rsidR="00891BF6" w:rsidRPr="00F62CB8">
        <w:rPr>
          <w:szCs w:val="24"/>
        </w:rPr>
        <w:t>benefits</w:t>
      </w:r>
      <w:r w:rsidR="00C63D38">
        <w:rPr>
          <w:szCs w:val="24"/>
        </w:rPr>
        <w:t xml:space="preserve"> of physical activity</w:t>
      </w:r>
      <w:r w:rsidR="00891BF6">
        <w:rPr>
          <w:szCs w:val="24"/>
        </w:rPr>
        <w:t xml:space="preserve"> for </w:t>
      </w:r>
      <w:r w:rsidR="000722A4">
        <w:rPr>
          <w:szCs w:val="24"/>
        </w:rPr>
        <w:t xml:space="preserve">both the prevention and </w:t>
      </w:r>
      <w:r w:rsidR="00891BF6" w:rsidRPr="00F62CB8">
        <w:rPr>
          <w:szCs w:val="24"/>
        </w:rPr>
        <w:t xml:space="preserve">management of </w:t>
      </w:r>
      <w:r w:rsidR="00C33F10">
        <w:rPr>
          <w:szCs w:val="24"/>
        </w:rPr>
        <w:t>several</w:t>
      </w:r>
      <w:r>
        <w:rPr>
          <w:szCs w:val="24"/>
        </w:rPr>
        <w:t xml:space="preserve"> </w:t>
      </w:r>
      <w:r w:rsidR="00891BF6" w:rsidRPr="00F62CB8">
        <w:rPr>
          <w:szCs w:val="24"/>
        </w:rPr>
        <w:t>chronic disease</w:t>
      </w:r>
      <w:r w:rsidR="00B55917">
        <w:rPr>
          <w:szCs w:val="24"/>
        </w:rPr>
        <w:t>s</w:t>
      </w:r>
      <w:r w:rsidR="00C45AFB">
        <w:rPr>
          <w:szCs w:val="24"/>
        </w:rPr>
        <w:t xml:space="preserve"> (e.g. cardiovascular disease,</w:t>
      </w:r>
      <w:r w:rsidR="0065567A">
        <w:rPr>
          <w:szCs w:val="24"/>
        </w:rPr>
        <w:t xml:space="preserve"> diabetes, colon and breast cancer)</w:t>
      </w:r>
      <w:r w:rsidR="0085646D">
        <w:rPr>
          <w:szCs w:val="24"/>
        </w:rPr>
        <w:t xml:space="preserve"> </w:t>
      </w:r>
      <w:r w:rsidR="00BF5171">
        <w:rPr>
          <w:noProof/>
          <w:szCs w:val="24"/>
        </w:rPr>
        <w:t>(Andersen et al., 2010; Hayashino et al., 2012; Hernandez-Hernandez &amp; Diaz-Gonzalez, 2017; Olney et al., 2006; Rogers et al., 2015)</w:t>
      </w:r>
      <w:r w:rsidR="009166B2">
        <w:t xml:space="preserve">. </w:t>
      </w:r>
      <w:r w:rsidR="002E2A93">
        <w:t xml:space="preserve"> </w:t>
      </w:r>
      <w:r w:rsidR="00855057">
        <w:t>In Australia and other developed countries, c</w:t>
      </w:r>
      <w:r w:rsidR="002E2A93" w:rsidRPr="0019185D">
        <w:t>hronic</w:t>
      </w:r>
      <w:r w:rsidR="002E2A93">
        <w:t xml:space="preserve"> disease rates and physical activity levels </w:t>
      </w:r>
      <w:r w:rsidR="00D762D5" w:rsidRPr="00323FC3">
        <w:t>are socially distributed and vary by socioeconomic position</w:t>
      </w:r>
      <w:r w:rsidR="00D762D5">
        <w:t xml:space="preserve">; </w:t>
      </w:r>
      <w:r w:rsidR="00727F0D">
        <w:t>peo</w:t>
      </w:r>
      <w:r w:rsidR="002E2A93">
        <w:t>ple who experience grea</w:t>
      </w:r>
      <w:r w:rsidR="00D762D5">
        <w:t xml:space="preserve">ter socioeconomic disadvantage </w:t>
      </w:r>
      <w:r w:rsidR="00727F0D">
        <w:t>are less likely to meet recommended levels of physical activity</w:t>
      </w:r>
      <w:r w:rsidR="0065567A">
        <w:t xml:space="preserve"> </w:t>
      </w:r>
      <w:r w:rsidR="00727F0D">
        <w:t xml:space="preserve">and more likely to </w:t>
      </w:r>
      <w:r w:rsidR="00FF36BE">
        <w:t>have</w:t>
      </w:r>
      <w:r w:rsidR="00727F0D">
        <w:t xml:space="preserve"> chronic disease </w:t>
      </w:r>
      <w:r w:rsidR="00BF5171">
        <w:rPr>
          <w:noProof/>
        </w:rPr>
        <w:t>(Australian Institute of Health and Welfare, 2011, 2014a, b; J. A. Bennie et al., 2016a; Shaw et al., 2014)</w:t>
      </w:r>
      <w:r w:rsidR="006A3246">
        <w:t>.</w:t>
      </w:r>
      <w:r w:rsidR="0068377B">
        <w:t xml:space="preserve"> </w:t>
      </w:r>
      <w:r w:rsidR="00C87FD9">
        <w:t>It is important</w:t>
      </w:r>
      <w:r w:rsidR="008E69FB">
        <w:t>, therefore</w:t>
      </w:r>
      <w:r w:rsidR="000A2AFC">
        <w:t xml:space="preserve"> from a chronic disease prevention and equity perspective</w:t>
      </w:r>
      <w:r w:rsidR="008E69FB">
        <w:t>,</w:t>
      </w:r>
      <w:r w:rsidR="00C87FD9">
        <w:t xml:space="preserve"> that physical activity interventions are acceptable and reach people from socioeconomically disadvantaged groups. </w:t>
      </w:r>
      <w:r w:rsidR="000A2AFC">
        <w:t xml:space="preserve">It is likely </w:t>
      </w:r>
      <w:r w:rsidR="00C87FD9">
        <w:t xml:space="preserve">that health inequalities will increase if </w:t>
      </w:r>
      <w:r w:rsidR="00693490">
        <w:t xml:space="preserve">physical activity </w:t>
      </w:r>
      <w:r w:rsidR="00C87FD9">
        <w:t xml:space="preserve">interventions are more successful among </w:t>
      </w:r>
      <w:r w:rsidR="00A227CB">
        <w:t>those of greater affluence</w:t>
      </w:r>
      <w:r w:rsidR="00C87FD9">
        <w:t xml:space="preserve"> </w:t>
      </w:r>
      <w:r w:rsidR="00E834AC">
        <w:rPr>
          <w:noProof/>
        </w:rPr>
        <w:t>(Shaw et al., 2014; Welch et al., 2013)</w:t>
      </w:r>
      <w:r w:rsidR="002E2A93">
        <w:t>.</w:t>
      </w:r>
      <w:r w:rsidR="0044027C" w:rsidRPr="0044027C">
        <w:t xml:space="preserve"> </w:t>
      </w:r>
    </w:p>
    <w:p w14:paraId="171BE371" w14:textId="77777777" w:rsidR="002E2A93" w:rsidRDefault="002E2A93" w:rsidP="00046894"/>
    <w:p w14:paraId="183A39B7" w14:textId="1DA4E00C" w:rsidR="006B322C" w:rsidRDefault="002345EB" w:rsidP="00046894">
      <w:r>
        <w:t>H</w:t>
      </w:r>
      <w:r w:rsidR="00373E03">
        <w:t>ealth care</w:t>
      </w:r>
      <w:r>
        <w:t xml:space="preserve"> settings are increasingly </w:t>
      </w:r>
      <w:r w:rsidR="001928D3">
        <w:t xml:space="preserve">recognised as important </w:t>
      </w:r>
      <w:r w:rsidR="00A227CB">
        <w:t>for</w:t>
      </w:r>
      <w:r>
        <w:t xml:space="preserve"> </w:t>
      </w:r>
      <w:r w:rsidR="001928D3">
        <w:t xml:space="preserve">the </w:t>
      </w:r>
      <w:r w:rsidR="00D762D5">
        <w:t>promot</w:t>
      </w:r>
      <w:r w:rsidR="001928D3">
        <w:t>ion of</w:t>
      </w:r>
      <w:r w:rsidR="00D762D5">
        <w:t xml:space="preserve"> p</w:t>
      </w:r>
      <w:r w:rsidR="0031116C">
        <w:t>hysical activity</w:t>
      </w:r>
      <w:r w:rsidR="0085646D">
        <w:t xml:space="preserve"> </w:t>
      </w:r>
      <w:r w:rsidR="00BF5171">
        <w:rPr>
          <w:noProof/>
        </w:rPr>
        <w:t>(Greulich et al., 2014; Morris et al., 2014; Qiu et al., 2012; Short et al., 2015)</w:t>
      </w:r>
      <w:r w:rsidR="00C9092E">
        <w:t>.</w:t>
      </w:r>
      <w:r w:rsidR="00A01998">
        <w:t>Internationally</w:t>
      </w:r>
      <w:r w:rsidR="000F0D9C">
        <w:t xml:space="preserve">, research on </w:t>
      </w:r>
      <w:r w:rsidR="00A01998">
        <w:t>e</w:t>
      </w:r>
      <w:r w:rsidR="001A1F52">
        <w:t xml:space="preserve">xercise referral schemes, </w:t>
      </w:r>
      <w:r w:rsidR="003B4CD9">
        <w:t xml:space="preserve">largely from the UK, </w:t>
      </w:r>
      <w:r w:rsidR="001A1F52">
        <w:t xml:space="preserve">which involve </w:t>
      </w:r>
      <w:r w:rsidR="0073558B">
        <w:t>health care professional</w:t>
      </w:r>
      <w:r w:rsidR="00A0715E">
        <w:t xml:space="preserve"> referrals to exercise </w:t>
      </w:r>
      <w:r w:rsidR="00852A96">
        <w:t>specialists</w:t>
      </w:r>
      <w:r w:rsidR="00E04466">
        <w:t>,</w:t>
      </w:r>
      <w:r w:rsidR="00A4074C">
        <w:t xml:space="preserve"> ha</w:t>
      </w:r>
      <w:r w:rsidR="000F0D9C">
        <w:t>s</w:t>
      </w:r>
      <w:r w:rsidR="00A4074C">
        <w:t xml:space="preserve"> </w:t>
      </w:r>
      <w:r w:rsidR="00327FD4">
        <w:t xml:space="preserve">gained increasing attention </w:t>
      </w:r>
      <w:r w:rsidR="00E834AC">
        <w:rPr>
          <w:noProof/>
        </w:rPr>
        <w:t>(Murphy et al., 2012; Pavey et al., 2011)</w:t>
      </w:r>
      <w:r w:rsidR="001A1F52">
        <w:t xml:space="preserve">. </w:t>
      </w:r>
      <w:r w:rsidR="00E834AC">
        <w:rPr>
          <w:noProof/>
        </w:rPr>
        <w:t>(Britt et al., 2016)</w:t>
      </w:r>
      <w:r w:rsidR="009C7F6E" w:rsidRPr="009C7F6E">
        <w:t>.</w:t>
      </w:r>
      <w:r w:rsidR="00A227CB">
        <w:t xml:space="preserve"> </w:t>
      </w:r>
      <w:r w:rsidR="00EB2322">
        <w:t>Studies have examined the effectiveness of exercise referral schemes</w:t>
      </w:r>
      <w:r w:rsidR="000A2AFC">
        <w:t xml:space="preserve">, </w:t>
      </w:r>
      <w:r w:rsidR="00EB2322">
        <w:t xml:space="preserve">and show that they </w:t>
      </w:r>
      <w:r w:rsidR="00EB2322" w:rsidRPr="00E97B85">
        <w:t xml:space="preserve">result in a </w:t>
      </w:r>
      <w:r w:rsidR="00EB2322">
        <w:t xml:space="preserve">small, but </w:t>
      </w:r>
      <w:r w:rsidR="00EB2322">
        <w:lastRenderedPageBreak/>
        <w:t xml:space="preserve">significant, </w:t>
      </w:r>
      <w:r w:rsidR="00EB2322" w:rsidRPr="00E97B85">
        <w:t xml:space="preserve">increase in the number of </w:t>
      </w:r>
      <w:r w:rsidR="008E69FB">
        <w:t>inactive</w:t>
      </w:r>
      <w:r w:rsidR="008E69FB" w:rsidRPr="00E97B85">
        <w:t xml:space="preserve"> </w:t>
      </w:r>
      <w:r w:rsidR="00EB2322">
        <w:t>adults</w:t>
      </w:r>
      <w:r w:rsidR="00EB2322" w:rsidRPr="00E97B85">
        <w:t xml:space="preserve"> </w:t>
      </w:r>
      <w:r w:rsidR="00EB2322">
        <w:t xml:space="preserve">who become </w:t>
      </w:r>
      <w:r w:rsidR="00EB2322" w:rsidRPr="00E97B85">
        <w:t>moderately active</w:t>
      </w:r>
      <w:r w:rsidR="00EB2322">
        <w:t xml:space="preserve"> </w:t>
      </w:r>
      <w:r w:rsidR="00BF5171">
        <w:rPr>
          <w:noProof/>
        </w:rPr>
        <w:t>(Hamlin et al., 2016)</w:t>
      </w:r>
      <w:r w:rsidR="00EB2322" w:rsidRPr="00E97B85">
        <w:t>.</w:t>
      </w:r>
      <w:r w:rsidR="003B4CD9">
        <w:t xml:space="preserve"> However, f</w:t>
      </w:r>
      <w:r w:rsidR="002C52D4">
        <w:t xml:space="preserve">ew, </w:t>
      </w:r>
      <w:r w:rsidR="003B4CD9">
        <w:t>and none from Australia</w:t>
      </w:r>
      <w:r w:rsidR="002C52D4">
        <w:t xml:space="preserve">, </w:t>
      </w:r>
      <w:r w:rsidR="00A227CB">
        <w:t>have examined whether uptake is equitably distributed</w:t>
      </w:r>
      <w:r w:rsidR="000A2AFC">
        <w:t>,</w:t>
      </w:r>
      <w:r w:rsidR="00A227CB">
        <w:t xml:space="preserve"> and </w:t>
      </w:r>
      <w:r w:rsidR="000A2AFC">
        <w:t xml:space="preserve">hence </w:t>
      </w:r>
      <w:r w:rsidR="00A227CB">
        <w:t xml:space="preserve">reaches those who are socioeconomically disadvantaged </w:t>
      </w:r>
      <w:r w:rsidR="00BF5171">
        <w:rPr>
          <w:noProof/>
        </w:rPr>
        <w:t>(Hämäläinen et al., 2016)</w:t>
      </w:r>
      <w:r w:rsidR="00A227CB">
        <w:t xml:space="preserve">. </w:t>
      </w:r>
      <w:r w:rsidR="000A1136">
        <w:t xml:space="preserve">The limited number of studies that have examined whether attendance at exercise sessions following referral from a </w:t>
      </w:r>
      <w:r w:rsidR="0073558B">
        <w:t>health care professional</w:t>
      </w:r>
      <w:r w:rsidR="000A1136">
        <w:t xml:space="preserve"> is associated with socioeconomic position have reported</w:t>
      </w:r>
      <w:r w:rsidR="000A1136" w:rsidRPr="00EE2321">
        <w:t xml:space="preserve"> mixed results</w:t>
      </w:r>
      <w:r w:rsidR="000A1136">
        <w:t>. O</w:t>
      </w:r>
      <w:r w:rsidR="000A1136" w:rsidRPr="00EE2321">
        <w:t xml:space="preserve">ne study showed that people who </w:t>
      </w:r>
      <w:r w:rsidR="000A1136">
        <w:t>experienced greater levels of</w:t>
      </w:r>
      <w:r w:rsidR="000A1136" w:rsidRPr="00EE2321">
        <w:t xml:space="preserve"> disadvantage were less likely to take up referrals and </w:t>
      </w:r>
      <w:r w:rsidR="000A1136">
        <w:t>utilise</w:t>
      </w:r>
      <w:r w:rsidR="000A1136" w:rsidRPr="00EE2321">
        <w:t xml:space="preserve"> exercise sessions </w:t>
      </w:r>
      <w:r w:rsidR="00E834AC">
        <w:rPr>
          <w:noProof/>
        </w:rPr>
        <w:t>(Gidlow et al., 2007)</w:t>
      </w:r>
      <w:r w:rsidR="000A1136" w:rsidRPr="00EE2321">
        <w:t xml:space="preserve">, </w:t>
      </w:r>
      <w:r w:rsidR="000A1136">
        <w:t xml:space="preserve">while </w:t>
      </w:r>
      <w:r w:rsidR="000A1136" w:rsidRPr="00EE2321">
        <w:t xml:space="preserve">others have shown that socioeconomic disadvantage was </w:t>
      </w:r>
      <w:r w:rsidR="000A1136">
        <w:t xml:space="preserve">not </w:t>
      </w:r>
      <w:r w:rsidR="000A1136" w:rsidRPr="00EE2321">
        <w:t xml:space="preserve">associated with </w:t>
      </w:r>
      <w:r w:rsidR="000A1136">
        <w:t>utilisation</w:t>
      </w:r>
      <w:r w:rsidR="000A1136" w:rsidRPr="00EE2321">
        <w:t xml:space="preserve"> </w:t>
      </w:r>
      <w:r w:rsidR="00BF5171">
        <w:rPr>
          <w:noProof/>
        </w:rPr>
        <w:t>(Harrison et al., 2005; Sowden et al., 2008)</w:t>
      </w:r>
      <w:r w:rsidR="000A1136" w:rsidRPr="00EE2321">
        <w:rPr>
          <w:rFonts w:ascii="Noto Serif" w:hAnsi="Noto Serif"/>
          <w:color w:val="333333"/>
          <w:sz w:val="26"/>
          <w:szCs w:val="26"/>
        </w:rPr>
        <w:t>.</w:t>
      </w:r>
      <w:r w:rsidR="000A1136" w:rsidRPr="000A1136">
        <w:t xml:space="preserve"> </w:t>
      </w:r>
    </w:p>
    <w:p w14:paraId="77CE39CB" w14:textId="77777777" w:rsidR="006B322C" w:rsidRDefault="006B322C" w:rsidP="00046894"/>
    <w:p w14:paraId="552D9D33" w14:textId="1135B222" w:rsidR="000A1136" w:rsidRDefault="000A1880" w:rsidP="00A01998">
      <w:pPr>
        <w:rPr>
          <w:rFonts w:cs="Times New Roman"/>
          <w:szCs w:val="24"/>
        </w:rPr>
      </w:pPr>
      <w:bookmarkStart w:id="2" w:name="_Hlk522701176"/>
      <w:r>
        <w:t>I</w:t>
      </w:r>
      <w:r w:rsidR="00A9690A">
        <w:t>n</w:t>
      </w:r>
      <w:r w:rsidR="00A9690A" w:rsidRPr="00A9690A">
        <w:t xml:space="preserve"> </w:t>
      </w:r>
      <w:r w:rsidR="007247CA">
        <w:t>2</w:t>
      </w:r>
      <w:r w:rsidR="004D3E3D">
        <w:t>006, the Australian government</w:t>
      </w:r>
      <w:r w:rsidR="007247CA">
        <w:t xml:space="preserve"> introduced </w:t>
      </w:r>
      <w:r w:rsidR="004D3E3D">
        <w:t>Chronic Disease Management Plans</w:t>
      </w:r>
      <w:r w:rsidR="00A76DC7">
        <w:t xml:space="preserve"> (CDMPs)</w:t>
      </w:r>
      <w:r w:rsidR="00852A96">
        <w:t>,</w:t>
      </w:r>
      <w:r>
        <w:t xml:space="preserve"> funded through Medicare</w:t>
      </w:r>
      <w:r w:rsidR="00D86BBF">
        <w:t xml:space="preserve">. Medicare is </w:t>
      </w:r>
      <w:r w:rsidRPr="008E1319">
        <w:t>the Australian Government funded health insurance scheme that provides free or subsidised health care services to Australian</w:t>
      </w:r>
      <w:r w:rsidR="00C33F10">
        <w:t>s</w:t>
      </w:r>
      <w:r w:rsidRPr="008E1319">
        <w:t xml:space="preserve"> and </w:t>
      </w:r>
      <w:r w:rsidR="00C33F10">
        <w:t xml:space="preserve">was </w:t>
      </w:r>
      <w:r w:rsidRPr="008E1319">
        <w:t>designed to ensure equity in health care provision</w:t>
      </w:r>
      <w:r>
        <w:t xml:space="preserve">. CDMPs enable </w:t>
      </w:r>
      <w:r w:rsidR="00A01998">
        <w:t>g</w:t>
      </w:r>
      <w:r w:rsidR="0073558B">
        <w:t>eneral practitioners (</w:t>
      </w:r>
      <w:r w:rsidRPr="00316170">
        <w:t>GPs</w:t>
      </w:r>
      <w:r w:rsidR="0073558B">
        <w:t>)</w:t>
      </w:r>
      <w:r w:rsidRPr="00316170">
        <w:t xml:space="preserve"> to plan and coordinate </w:t>
      </w:r>
      <w:r>
        <w:t xml:space="preserve">multidisciplinary </w:t>
      </w:r>
      <w:r w:rsidRPr="00316170">
        <w:t xml:space="preserve">health care </w:t>
      </w:r>
      <w:r>
        <w:t>for</w:t>
      </w:r>
      <w:r w:rsidRPr="00316170">
        <w:t xml:space="preserve"> patients with chronic conditions</w:t>
      </w:r>
      <w:r>
        <w:t xml:space="preserve"> such as </w:t>
      </w:r>
      <w:r w:rsidRPr="00810151">
        <w:t>cancer, cardiovascular disease, diabetes, musculoskeletal conditions and stroke</w:t>
      </w:r>
      <w:r w:rsidRPr="00316170">
        <w:t xml:space="preserve">. </w:t>
      </w:r>
      <w:r>
        <w:t xml:space="preserve">Under this scheme, </w:t>
      </w:r>
      <w:r w:rsidR="00C33F10">
        <w:t xml:space="preserve">GPs </w:t>
      </w:r>
      <w:r w:rsidR="00D06DA0">
        <w:t xml:space="preserve">can develop team care arrangements, which </w:t>
      </w:r>
      <w:r w:rsidR="00D06DA0" w:rsidRPr="00D06DA0">
        <w:t xml:space="preserve">require </w:t>
      </w:r>
      <w:r w:rsidR="00D06DA0">
        <w:t>the</w:t>
      </w:r>
      <w:r w:rsidR="00D06DA0" w:rsidRPr="00D06DA0">
        <w:t xml:space="preserve"> GP to collaborate with at least two other health </w:t>
      </w:r>
      <w:r w:rsidR="00D06DA0">
        <w:t>professionals. Through this te</w:t>
      </w:r>
      <w:r w:rsidR="000B569F">
        <w:t>a</w:t>
      </w:r>
      <w:r w:rsidR="00D06DA0">
        <w:t xml:space="preserve">m care arrangement GPs </w:t>
      </w:r>
      <w:r w:rsidR="00C33F10">
        <w:t xml:space="preserve">can refer </w:t>
      </w:r>
      <w:r>
        <w:t xml:space="preserve">patients to </w:t>
      </w:r>
      <w:r w:rsidR="004B59DC">
        <w:t xml:space="preserve">allied health </w:t>
      </w:r>
      <w:r w:rsidR="00D06DA0">
        <w:t>professionals</w:t>
      </w:r>
      <w:r w:rsidR="004B59DC">
        <w:t xml:space="preserve">, including </w:t>
      </w:r>
      <w:r w:rsidR="007247CA">
        <w:t>Accredited Exercise Physiologists (AEPs)</w:t>
      </w:r>
      <w:r>
        <w:t xml:space="preserve">, and </w:t>
      </w:r>
      <w:r w:rsidR="007247CA">
        <w:t xml:space="preserve">patients can claim </w:t>
      </w:r>
      <w:r w:rsidR="00852A96">
        <w:t xml:space="preserve">a rebate for a maximum of five visits per calendar </w:t>
      </w:r>
      <w:r>
        <w:t>year</w:t>
      </w:r>
      <w:r w:rsidR="00D06DA0">
        <w:t>. The five visits are the total across all allied health professionals and can be provided by a single allied health professional or shared across different allied health professionals</w:t>
      </w:r>
      <w:r>
        <w:t xml:space="preserve"> </w:t>
      </w:r>
      <w:r w:rsidR="00E834AC">
        <w:rPr>
          <w:noProof/>
        </w:rPr>
        <w:t>(Department of Health, 2014)</w:t>
      </w:r>
      <w:r w:rsidR="007247CA">
        <w:t>.</w:t>
      </w:r>
      <w:r w:rsidR="009E219F">
        <w:t xml:space="preserve"> </w:t>
      </w:r>
      <w:r w:rsidR="00386A2B" w:rsidRPr="00A9690A">
        <w:t xml:space="preserve">AEPs are </w:t>
      </w:r>
      <w:r w:rsidR="00C33F10" w:rsidRPr="00A9690A">
        <w:t>four-year university degree</w:t>
      </w:r>
      <w:r w:rsidR="00C33F10">
        <w:t xml:space="preserve"> </w:t>
      </w:r>
      <w:r w:rsidR="00386A2B" w:rsidRPr="00A9690A">
        <w:t xml:space="preserve">qualified </w:t>
      </w:r>
      <w:r w:rsidR="00D52403">
        <w:t>health professionals</w:t>
      </w:r>
      <w:r w:rsidR="00D52403" w:rsidRPr="00A9690A">
        <w:t xml:space="preserve"> </w:t>
      </w:r>
      <w:r w:rsidR="00386A2B" w:rsidRPr="00A9690A">
        <w:t>specialising in the delivery of exercise for the prevention and management of chronic diseases and injuries</w:t>
      </w:r>
      <w:r w:rsidR="00C33F10">
        <w:t>.</w:t>
      </w:r>
      <w:r w:rsidR="00386A2B" w:rsidRPr="00A9690A">
        <w:t xml:space="preserve"> </w:t>
      </w:r>
      <w:r w:rsidR="0073558B">
        <w:t xml:space="preserve">Given that </w:t>
      </w:r>
      <w:r w:rsidR="001345E8" w:rsidRPr="00AA6BB0">
        <w:t>85%</w:t>
      </w:r>
      <w:r w:rsidR="001345E8">
        <w:t xml:space="preserve"> of Australians visit a GP at least </w:t>
      </w:r>
      <w:r w:rsidR="001345E8" w:rsidRPr="00AA6BB0">
        <w:t>once in any given year</w:t>
      </w:r>
      <w:r w:rsidR="001345E8">
        <w:t xml:space="preserve"> </w:t>
      </w:r>
      <w:r w:rsidR="00E834AC">
        <w:rPr>
          <w:noProof/>
        </w:rPr>
        <w:t>(Britt et al., 2016)</w:t>
      </w:r>
      <w:r w:rsidR="0073558B">
        <w:t xml:space="preserve">, </w:t>
      </w:r>
      <w:r w:rsidR="0073558B">
        <w:lastRenderedPageBreak/>
        <w:t>GP referral to AEPs has the potential for substantial population reach</w:t>
      </w:r>
      <w:r w:rsidR="001345E8">
        <w:t xml:space="preserve">. </w:t>
      </w:r>
      <w:r w:rsidR="0073558B">
        <w:t>However, t</w:t>
      </w:r>
      <w:r w:rsidR="004B0B58">
        <w:t>o the authors’ knowledge, no studies have examined the extent to which patients from different socioeconomic groups utilise</w:t>
      </w:r>
      <w:r w:rsidR="000A1136">
        <w:t xml:space="preserve"> GP-referred </w:t>
      </w:r>
      <w:r w:rsidR="004B0B58">
        <w:t xml:space="preserve">AEP services </w:t>
      </w:r>
      <w:r w:rsidR="000A1136">
        <w:t xml:space="preserve">through </w:t>
      </w:r>
      <w:r w:rsidR="00C45AFB">
        <w:t>CDMPs</w:t>
      </w:r>
      <w:r w:rsidR="000A1136">
        <w:t xml:space="preserve">. </w:t>
      </w:r>
      <w:r w:rsidR="004B0B58">
        <w:t xml:space="preserve"> </w:t>
      </w:r>
    </w:p>
    <w:bookmarkEnd w:id="2"/>
    <w:p w14:paraId="5C9221C3" w14:textId="77777777" w:rsidR="000A1136" w:rsidRDefault="000A1136" w:rsidP="002668D7">
      <w:pPr>
        <w:rPr>
          <w:rFonts w:cs="Times New Roman"/>
          <w:szCs w:val="24"/>
        </w:rPr>
      </w:pPr>
    </w:p>
    <w:p w14:paraId="12065659" w14:textId="6D1490B8" w:rsidR="00623F2C" w:rsidRDefault="0044027C" w:rsidP="0019185D">
      <w:r>
        <w:t xml:space="preserve">Examination of </w:t>
      </w:r>
      <w:r w:rsidR="000A2AFC">
        <w:t xml:space="preserve">the key </w:t>
      </w:r>
      <w:r w:rsidR="000A1136">
        <w:t xml:space="preserve">factors that influence </w:t>
      </w:r>
      <w:r w:rsidR="00B663B7">
        <w:t>utilisation</w:t>
      </w:r>
      <w:r w:rsidR="000A1136">
        <w:t xml:space="preserve"> and impact, such as out-of-pocket expenses</w:t>
      </w:r>
      <w:r w:rsidR="00B663B7">
        <w:t xml:space="preserve"> and </w:t>
      </w:r>
      <w:r w:rsidR="00D52403">
        <w:t xml:space="preserve">health care professional </w:t>
      </w:r>
      <w:r w:rsidR="00B663B7">
        <w:t xml:space="preserve">caseloads </w:t>
      </w:r>
      <w:r w:rsidR="00BF5171">
        <w:rPr>
          <w:noProof/>
        </w:rPr>
        <w:t>(Johar et al., 2017)</w:t>
      </w:r>
      <w:r>
        <w:t xml:space="preserve">, </w:t>
      </w:r>
      <w:r w:rsidR="00A227CB">
        <w:t xml:space="preserve">are also of interest when assessing issues relating to </w:t>
      </w:r>
      <w:r>
        <w:t xml:space="preserve">equity. </w:t>
      </w:r>
      <w:r w:rsidR="002B393E">
        <w:t>E</w:t>
      </w:r>
      <w:r w:rsidR="002B393E" w:rsidRPr="00A964EF">
        <w:t>vidence from the US</w:t>
      </w:r>
      <w:r w:rsidR="002B393E">
        <w:t xml:space="preserve"> </w:t>
      </w:r>
      <w:r w:rsidR="00E834AC">
        <w:rPr>
          <w:noProof/>
        </w:rPr>
        <w:t>(Gruber, 2006)</w:t>
      </w:r>
      <w:r w:rsidR="002B393E" w:rsidRPr="00A964EF">
        <w:t xml:space="preserve"> </w:t>
      </w:r>
      <w:r w:rsidR="002B393E">
        <w:t>and Australia</w:t>
      </w:r>
      <w:r w:rsidR="00636C52">
        <w:t xml:space="preserve"> </w:t>
      </w:r>
      <w:r w:rsidR="00BF5171">
        <w:rPr>
          <w:noProof/>
        </w:rPr>
        <w:t>(Achat et al., 2010)</w:t>
      </w:r>
      <w:r w:rsidR="002B393E">
        <w:t xml:space="preserve"> demonstrates </w:t>
      </w:r>
      <w:r w:rsidR="002B393E" w:rsidRPr="00A964EF">
        <w:t xml:space="preserve">that the introduction of any cost or co-payment for </w:t>
      </w:r>
      <w:r w:rsidR="002B393E">
        <w:t>health services decreases</w:t>
      </w:r>
      <w:r w:rsidR="002B393E" w:rsidRPr="00A964EF">
        <w:t xml:space="preserve"> access for those </w:t>
      </w:r>
      <w:r w:rsidR="002B393E">
        <w:t>who experi</w:t>
      </w:r>
      <w:r w:rsidR="00D31FE6">
        <w:t xml:space="preserve">ence socioeconomic disadvantage. </w:t>
      </w:r>
      <w:r w:rsidR="0019185D">
        <w:t xml:space="preserve">Examination of the number of </w:t>
      </w:r>
      <w:r w:rsidR="00D52403">
        <w:t xml:space="preserve">health care professionals </w:t>
      </w:r>
      <w:r w:rsidR="0019185D">
        <w:t xml:space="preserve">and their case load, according to the socioeconomic status </w:t>
      </w:r>
      <w:r w:rsidR="0019185D" w:rsidRPr="008C46CE">
        <w:t>of areas, is also important because previous studies show that health</w:t>
      </w:r>
      <w:r w:rsidR="00AB1359" w:rsidRPr="008C46CE">
        <w:t xml:space="preserve"> </w:t>
      </w:r>
      <w:r w:rsidR="00D52403">
        <w:t>professionals</w:t>
      </w:r>
      <w:r w:rsidR="00D52403" w:rsidRPr="008C46CE">
        <w:t xml:space="preserve"> </w:t>
      </w:r>
      <w:r w:rsidR="000D7835" w:rsidRPr="008C46CE">
        <w:t>are more concentrated in more affluent areas</w:t>
      </w:r>
      <w:r w:rsidR="00636C52">
        <w:t xml:space="preserve"> </w:t>
      </w:r>
      <w:r w:rsidR="00BF5171">
        <w:rPr>
          <w:noProof/>
        </w:rPr>
        <w:t>(Jason A. Bennie et al., 2016b; Kurdyak et al., 2014)</w:t>
      </w:r>
      <w:r w:rsidR="008C46CE" w:rsidRPr="008C46CE">
        <w:t xml:space="preserve"> </w:t>
      </w:r>
      <w:r w:rsidR="000D7835" w:rsidRPr="008C46CE">
        <w:t xml:space="preserve">which </w:t>
      </w:r>
      <w:r w:rsidR="002C6A2A">
        <w:t>might</w:t>
      </w:r>
      <w:r w:rsidR="002C6A2A" w:rsidRPr="008C46CE">
        <w:t xml:space="preserve"> </w:t>
      </w:r>
      <w:r w:rsidR="000D7835" w:rsidRPr="008C46CE">
        <w:t>reduce access to people living in socioeconomically di</w:t>
      </w:r>
      <w:r w:rsidR="000D7835">
        <w:t xml:space="preserve">sadvantaged areas. </w:t>
      </w:r>
      <w:r w:rsidR="008C46CE">
        <w:t xml:space="preserve">Furthermore, higher caseloads may mean that </w:t>
      </w:r>
      <w:r w:rsidR="00D52403">
        <w:t xml:space="preserve">health care professionals </w:t>
      </w:r>
      <w:r w:rsidR="008C46CE">
        <w:t xml:space="preserve">have reduced consultation time and </w:t>
      </w:r>
      <w:r w:rsidR="002C52D4">
        <w:t>this might</w:t>
      </w:r>
      <w:r w:rsidR="008C46CE">
        <w:t xml:space="preserve"> reduce the quality of care received</w:t>
      </w:r>
      <w:r w:rsidR="00636C52">
        <w:t xml:space="preserve"> </w:t>
      </w:r>
      <w:r w:rsidR="00BF5171">
        <w:rPr>
          <w:noProof/>
        </w:rPr>
        <w:t>(Johar et al., 2014)</w:t>
      </w:r>
      <w:r w:rsidR="008C46CE">
        <w:t xml:space="preserve">. </w:t>
      </w:r>
    </w:p>
    <w:p w14:paraId="182B4C9B" w14:textId="77777777" w:rsidR="00623F2C" w:rsidRDefault="00623F2C" w:rsidP="00897CBD"/>
    <w:p w14:paraId="074211F3" w14:textId="46751132" w:rsidR="004F6B5C" w:rsidRDefault="0071046A" w:rsidP="004F6B5C">
      <w:bookmarkStart w:id="3" w:name="_Hlk512346622"/>
      <w:r>
        <w:t xml:space="preserve">In this </w:t>
      </w:r>
      <w:r w:rsidR="00546BDF">
        <w:t>study</w:t>
      </w:r>
      <w:r w:rsidR="0011471C">
        <w:t xml:space="preserve">, we examined the utilisation of </w:t>
      </w:r>
      <w:r w:rsidR="002C52D4">
        <w:rPr>
          <w:rFonts w:cstheme="minorHAnsi"/>
          <w:szCs w:val="24"/>
        </w:rPr>
        <w:t xml:space="preserve">Australian government subsidised, </w:t>
      </w:r>
      <w:r w:rsidR="00B663B7">
        <w:t xml:space="preserve">GP-referred </w:t>
      </w:r>
      <w:r w:rsidR="008C46CE">
        <w:t>AEP</w:t>
      </w:r>
      <w:r w:rsidR="0011471C">
        <w:t xml:space="preserve"> services</w:t>
      </w:r>
      <w:bookmarkEnd w:id="3"/>
      <w:r w:rsidR="00641773">
        <w:t xml:space="preserve">. </w:t>
      </w:r>
      <w:r w:rsidR="004F6B5C">
        <w:t xml:space="preserve">The aims of the study were to examine associations between area </w:t>
      </w:r>
      <w:r w:rsidR="004F6B5C" w:rsidRPr="004476AE">
        <w:t>level socioeconomic disadvantage and</w:t>
      </w:r>
      <w:r w:rsidR="000A2AFC">
        <w:t xml:space="preserve">: </w:t>
      </w:r>
      <w:r w:rsidR="004476AE">
        <w:rPr>
          <w:rFonts w:cstheme="minorHAnsi"/>
          <w:szCs w:val="24"/>
        </w:rPr>
        <w:t>(i) average out-of-pocket expense per service; (ii) average number of services per patient</w:t>
      </w:r>
      <w:r w:rsidR="009166B2">
        <w:rPr>
          <w:rFonts w:cstheme="minorHAnsi"/>
          <w:szCs w:val="24"/>
        </w:rPr>
        <w:t>;</w:t>
      </w:r>
      <w:r w:rsidR="004476AE">
        <w:rPr>
          <w:rFonts w:cstheme="minorHAnsi"/>
          <w:szCs w:val="24"/>
        </w:rPr>
        <w:t xml:space="preserve"> (iii) average number of patients per provider; (iv) number of patients per 1,000 of population; (v) number of providers per 1,000 of population</w:t>
      </w:r>
      <w:r w:rsidR="00B663B7">
        <w:rPr>
          <w:rFonts w:cstheme="minorHAnsi"/>
          <w:szCs w:val="24"/>
        </w:rPr>
        <w:t>, and (vi) number of services per 1,000 of population</w:t>
      </w:r>
      <w:r w:rsidR="009166B2">
        <w:rPr>
          <w:rFonts w:cstheme="minorHAnsi"/>
          <w:szCs w:val="24"/>
        </w:rPr>
        <w:t>.</w:t>
      </w:r>
      <w:r w:rsidR="00334412">
        <w:rPr>
          <w:rFonts w:cstheme="minorHAnsi"/>
          <w:szCs w:val="24"/>
        </w:rPr>
        <w:t xml:space="preserve"> </w:t>
      </w:r>
    </w:p>
    <w:p w14:paraId="64408466" w14:textId="77777777" w:rsidR="002A19F6" w:rsidRDefault="002A19F6" w:rsidP="002A19F6">
      <w:pPr>
        <w:pStyle w:val="Heading1"/>
      </w:pPr>
      <w:r>
        <w:lastRenderedPageBreak/>
        <w:t>methods</w:t>
      </w:r>
    </w:p>
    <w:p w14:paraId="1A2429DA" w14:textId="77777777" w:rsidR="002A19F6" w:rsidRDefault="002A19F6" w:rsidP="002A19F6">
      <w:pPr>
        <w:rPr>
          <w:b/>
        </w:rPr>
      </w:pPr>
      <w:r>
        <w:rPr>
          <w:b/>
        </w:rPr>
        <w:t>Study design</w:t>
      </w:r>
    </w:p>
    <w:p w14:paraId="78666024" w14:textId="0537A976" w:rsidR="002A19F6" w:rsidRDefault="002A19F6" w:rsidP="002A19F6">
      <w:r>
        <w:t>We conducted a cross-sectional analysis of Medicare Benefit Schedule (MBS) data for the 2015-2016 financial year and aggregated publicly available data from a number of sources to address our research aims.</w:t>
      </w:r>
    </w:p>
    <w:p w14:paraId="0A833E04" w14:textId="77777777" w:rsidR="002A19F6" w:rsidRDefault="002A19F6" w:rsidP="002A19F6"/>
    <w:p w14:paraId="67EED985" w14:textId="77777777" w:rsidR="002A19F6" w:rsidRDefault="002A19F6" w:rsidP="002A19F6">
      <w:pPr>
        <w:rPr>
          <w:b/>
        </w:rPr>
      </w:pPr>
      <w:r>
        <w:rPr>
          <w:b/>
        </w:rPr>
        <w:t>Data Collection</w:t>
      </w:r>
    </w:p>
    <w:p w14:paraId="1706DC18" w14:textId="617A24AD" w:rsidR="002A19F6" w:rsidRDefault="002A19F6" w:rsidP="002A19F6">
      <w:pPr>
        <w:rPr>
          <w:rFonts w:cstheme="minorHAnsi"/>
          <w:szCs w:val="24"/>
        </w:rPr>
      </w:pPr>
      <w:r>
        <w:rPr>
          <w:lang w:eastAsia="en-AU"/>
        </w:rPr>
        <w:t>Medicare item reports for AEP services (item 10953), w</w:t>
      </w:r>
      <w:r>
        <w:rPr>
          <w:szCs w:val="24"/>
        </w:rPr>
        <w:t>ere downloaded from the Department of Human Services website (</w:t>
      </w:r>
      <w:hyperlink r:id="rId9" w:history="1">
        <w:r>
          <w:rPr>
            <w:rStyle w:val="Hyperlink"/>
          </w:rPr>
          <w:t>http://medicarestatistics.humanservices.gov.au/statistics/mbs_item.jsp</w:t>
        </w:r>
      </w:hyperlink>
      <w:r>
        <w:rPr>
          <w:lang w:eastAsia="en-AU"/>
        </w:rPr>
        <w:t>)</w:t>
      </w:r>
      <w:r w:rsidR="00E87286">
        <w:rPr>
          <w:lang w:eastAsia="en-AU"/>
        </w:rPr>
        <w:t xml:space="preserve">. </w:t>
      </w:r>
      <w:r>
        <w:t>MBS data on AEP services were downloaded from the Primary Health Network website (</w:t>
      </w:r>
      <w:hyperlink r:id="rId10" w:history="1">
        <w:r>
          <w:rPr>
            <w:rStyle w:val="Hyperlink"/>
          </w:rPr>
          <w:t>http://www.health.gov.au/internet/main/publishing.nsf/Content/PHN-MBS_Data</w:t>
        </w:r>
      </w:hyperlink>
      <w:r>
        <w:t xml:space="preserve">). These data are aggregated at the Statistical Area 3 (SA3) level of the provider address. </w:t>
      </w:r>
      <w:r>
        <w:rPr>
          <w:rFonts w:cstheme="minorHAnsi"/>
          <w:szCs w:val="24"/>
        </w:rPr>
        <w:t xml:space="preserve">The data accessed included SA3 code, the number of providers, number of patients, total number of services, and total out-of-pocket expenses. </w:t>
      </w:r>
      <w:r>
        <w:t xml:space="preserve">SA3 divides Australia into 333 spatial units with populations typically between 30,000–130,000. In aggregate, they cover the whole of Australia without gaps or overlaps, and do not cross state/territory borders </w:t>
      </w:r>
      <w:r w:rsidR="00E834AC">
        <w:rPr>
          <w:noProof/>
        </w:rPr>
        <w:t>(Australian Bureau of Statistics, 2010a)</w:t>
      </w:r>
      <w:r>
        <w:t xml:space="preserve">. </w:t>
      </w:r>
      <w:r w:rsidR="00B8500A">
        <w:t>All data are reported in Australian dollars.</w:t>
      </w:r>
    </w:p>
    <w:p w14:paraId="7D364D79" w14:textId="77777777" w:rsidR="002A19F6" w:rsidRDefault="002A19F6" w:rsidP="002A19F6">
      <w:pPr>
        <w:rPr>
          <w:rFonts w:cstheme="minorHAnsi"/>
          <w:szCs w:val="24"/>
        </w:rPr>
      </w:pPr>
    </w:p>
    <w:p w14:paraId="2747031C" w14:textId="424F7251" w:rsidR="002A19F6" w:rsidRDefault="002A19F6" w:rsidP="002A19F6">
      <w:r>
        <w:t xml:space="preserve">MBS data </w:t>
      </w:r>
      <w:r w:rsidR="00F25F9E">
        <w:t xml:space="preserve">are </w:t>
      </w:r>
      <w:r>
        <w:t xml:space="preserve">subject to Australian government data suppression protocols to ensure confidentiality of service users and providers. </w:t>
      </w:r>
      <w:r w:rsidR="00C43465">
        <w:t>D</w:t>
      </w:r>
      <w:r>
        <w:t xml:space="preserve">ata are suppressed if </w:t>
      </w:r>
      <w:r w:rsidR="00C43465">
        <w:t xml:space="preserve">one of the following two conditions are met: </w:t>
      </w:r>
      <w:r>
        <w:t>(i) the number of services, patients or providers in the underlying data is less than 6</w:t>
      </w:r>
      <w:r w:rsidR="00F25F9E">
        <w:t>,</w:t>
      </w:r>
      <w:r>
        <w:t xml:space="preserve"> or (ii) if one </w:t>
      </w:r>
      <w:r w:rsidR="00D52403">
        <w:t xml:space="preserve">health care professional </w:t>
      </w:r>
      <w:r>
        <w:t xml:space="preserve">provided more than 85% of services or two </w:t>
      </w:r>
      <w:r w:rsidR="00D52403">
        <w:t xml:space="preserve">health care professionals </w:t>
      </w:r>
      <w:r>
        <w:t xml:space="preserve">provided more than 90% of services. The latter rule sometimes results in suppression of relatively large service volumes.  As such, although listed in the </w:t>
      </w:r>
      <w:r>
        <w:lastRenderedPageBreak/>
        <w:t xml:space="preserve">dataset, not all SA3 regions included data on AEP providers and services and we were not able to include these in our analyses. </w:t>
      </w:r>
      <w:r w:rsidR="00793CD5">
        <w:t>Furthermore,</w:t>
      </w:r>
      <w:r>
        <w:t xml:space="preserve"> not all SA3s were listed in the dataset</w:t>
      </w:r>
      <w:r w:rsidR="00C43465">
        <w:t xml:space="preserve">, </w:t>
      </w:r>
      <w:r>
        <w:t>and were therefore assumed to have no services provided/reported for the financial year. For the 2015-2016 financial year, 67.9% (226/333) of SA3s were represented with AEP data. Of the remaining 107 SA3s, 21.9% (73/333) had suppressed data and 10.2% (34/333) were not listed in the dataset with presumably no AEP services for that year.</w:t>
      </w:r>
    </w:p>
    <w:p w14:paraId="6A4F0F3A" w14:textId="77777777" w:rsidR="002A19F6" w:rsidRDefault="002A19F6" w:rsidP="002A19F6">
      <w:pPr>
        <w:rPr>
          <w:rFonts w:cstheme="minorHAnsi"/>
          <w:szCs w:val="24"/>
        </w:rPr>
      </w:pPr>
    </w:p>
    <w:p w14:paraId="76081DE7" w14:textId="6CB99F17" w:rsidR="002A19F6" w:rsidRPr="004476AE" w:rsidRDefault="002A19F6" w:rsidP="002A19F6">
      <w:pPr>
        <w:rPr>
          <w:rStyle w:val="Hyperlink"/>
          <w:color w:val="auto"/>
          <w:u w:val="none"/>
        </w:rPr>
      </w:pPr>
      <w:r>
        <w:rPr>
          <w:rFonts w:cstheme="minorHAnsi"/>
          <w:szCs w:val="24"/>
        </w:rPr>
        <w:t xml:space="preserve">To assess relative levels of socioeconomic disadvantage, </w:t>
      </w:r>
      <w:r w:rsidR="00C43465">
        <w:rPr>
          <w:rFonts w:cstheme="minorHAnsi"/>
          <w:szCs w:val="24"/>
        </w:rPr>
        <w:t xml:space="preserve">we used the </w:t>
      </w:r>
      <w:r>
        <w:rPr>
          <w:rFonts w:cstheme="minorHAnsi"/>
          <w:szCs w:val="24"/>
        </w:rPr>
        <w:t>Australian Bureau of Statistics (ABS) Socio</w:t>
      </w:r>
      <w:r w:rsidR="005E0481">
        <w:rPr>
          <w:rFonts w:cstheme="minorHAnsi"/>
          <w:szCs w:val="24"/>
        </w:rPr>
        <w:t>e</w:t>
      </w:r>
      <w:r>
        <w:rPr>
          <w:rFonts w:cstheme="minorHAnsi"/>
          <w:szCs w:val="24"/>
        </w:rPr>
        <w:t>conomic Indexes for Areas (SEIFA) Index of Relative Socioeconomic Disadvantage (IRSD)</w:t>
      </w:r>
      <w:r w:rsidR="00E834AC">
        <w:rPr>
          <w:rFonts w:cstheme="minorHAnsi"/>
          <w:noProof/>
          <w:szCs w:val="24"/>
        </w:rPr>
        <w:t>(Australian Bureau of Statistics, 2011)</w:t>
      </w:r>
      <w:r w:rsidR="00C43465">
        <w:rPr>
          <w:rFonts w:cstheme="minorHAnsi"/>
          <w:szCs w:val="24"/>
        </w:rPr>
        <w:t>.</w:t>
      </w:r>
      <w:r w:rsidR="00693490">
        <w:rPr>
          <w:rFonts w:cstheme="minorHAnsi"/>
          <w:szCs w:val="24"/>
        </w:rPr>
        <w:t xml:space="preserve"> </w:t>
      </w:r>
      <w:r>
        <w:rPr>
          <w:rFonts w:cstheme="minorHAnsi"/>
          <w:szCs w:val="24"/>
        </w:rPr>
        <w:t xml:space="preserve">An IRSD score indicates the collective socioeconomic characteristics </w:t>
      </w:r>
      <w:r w:rsidR="00C43465">
        <w:rPr>
          <w:rFonts w:cstheme="minorHAnsi"/>
          <w:szCs w:val="24"/>
        </w:rPr>
        <w:t xml:space="preserve">(e.g. </w:t>
      </w:r>
      <w:r w:rsidR="00C43465" w:rsidRPr="00C43465">
        <w:rPr>
          <w:rFonts w:cstheme="minorHAnsi"/>
          <w:szCs w:val="24"/>
        </w:rPr>
        <w:t>education, employment status, marital status, vehicle ownership, and income</w:t>
      </w:r>
      <w:r w:rsidR="00C43465">
        <w:rPr>
          <w:rFonts w:cstheme="minorHAnsi"/>
          <w:szCs w:val="24"/>
        </w:rPr>
        <w:t xml:space="preserve">) </w:t>
      </w:r>
      <w:r>
        <w:rPr>
          <w:rFonts w:cstheme="minorHAnsi"/>
          <w:szCs w:val="24"/>
        </w:rPr>
        <w:t>of the people living in an area with a lower score indicating greater disadvantage [14]. A</w:t>
      </w:r>
      <w:r>
        <w:t xml:space="preserve">s an IRSD score at the SA3 level is not available from the ABS, a representative score was derived using IRSD data available at the SA1 level (data downloaded from: </w:t>
      </w:r>
      <w:hyperlink r:id="rId11" w:history="1">
        <w:r>
          <w:rPr>
            <w:rStyle w:val="Hyperlink"/>
          </w:rPr>
          <w:t>http://www.abs.gov.au/ausstats/abs@.nsf/DetailsPage/2033.0.55.0012011?OpenDocument</w:t>
        </w:r>
      </w:hyperlink>
      <w:r>
        <w:t>). SA1s are smaller geographical areas that fit within and do not cross SA3 boundaries. To obtain an average IRSD score at the SA3 level, a weighted average was calculated based on the decile score distribution of SA1s within an SA3.</w:t>
      </w:r>
      <w:r>
        <w:rPr>
          <w:rStyle w:val="Hyperlink"/>
        </w:rPr>
        <w:t xml:space="preserve"> </w:t>
      </w:r>
      <w:r w:rsidRPr="004476AE">
        <w:rPr>
          <w:rStyle w:val="Hyperlink"/>
          <w:color w:val="auto"/>
          <w:u w:val="none"/>
        </w:rPr>
        <w:t>The weighted average was rounded to the nearest integer to obtain an “average IRSD decile” score between 1 and 10 (i.e. greatest</w:t>
      </w:r>
      <w:r w:rsidR="00C43465">
        <w:rPr>
          <w:rStyle w:val="Hyperlink"/>
          <w:color w:val="auto"/>
          <w:u w:val="none"/>
        </w:rPr>
        <w:t>-</w:t>
      </w:r>
      <w:r w:rsidRPr="004476AE">
        <w:rPr>
          <w:rStyle w:val="Hyperlink"/>
          <w:color w:val="auto"/>
          <w:u w:val="none"/>
        </w:rPr>
        <w:t>to</w:t>
      </w:r>
      <w:r w:rsidR="00C43465">
        <w:rPr>
          <w:rStyle w:val="Hyperlink"/>
          <w:color w:val="auto"/>
          <w:u w:val="none"/>
        </w:rPr>
        <w:t>-</w:t>
      </w:r>
      <w:r w:rsidRPr="004476AE">
        <w:rPr>
          <w:rStyle w:val="Hyperlink"/>
          <w:color w:val="auto"/>
          <w:u w:val="none"/>
        </w:rPr>
        <w:t xml:space="preserve">least disadvantaged). </w:t>
      </w:r>
    </w:p>
    <w:p w14:paraId="30700E18" w14:textId="77777777" w:rsidR="002A19F6" w:rsidRDefault="002A19F6" w:rsidP="002A19F6">
      <w:pPr>
        <w:rPr>
          <w:rStyle w:val="Hyperlink"/>
        </w:rPr>
      </w:pPr>
    </w:p>
    <w:p w14:paraId="55D98D34" w14:textId="76C860F4" w:rsidR="002A19F6" w:rsidRDefault="002A19F6" w:rsidP="002A19F6">
      <w:r>
        <w:t>To estimate the number of patients, services and providers per 1,000 population in a given SA3, the estimated SA3 resident populations were used</w:t>
      </w:r>
      <w:r>
        <w:rPr>
          <w:rStyle w:val="Hyperlink"/>
        </w:rPr>
        <w:t xml:space="preserve">. </w:t>
      </w:r>
      <w:r>
        <w:t xml:space="preserve">Estimated resident population for </w:t>
      </w:r>
      <w:r>
        <w:lastRenderedPageBreak/>
        <w:t xml:space="preserve">2016 was </w:t>
      </w:r>
      <w:r w:rsidR="002B7CFA">
        <w:t>downloaded from the ABS website (</w:t>
      </w:r>
      <w:hyperlink r:id="rId12" w:history="1">
        <w:r>
          <w:rPr>
            <w:rStyle w:val="Hyperlink"/>
          </w:rPr>
          <w:t>http://stat.abs.gov.au/Index.aspx?DataSetCode=ABS_ERP_ASGS#</w:t>
        </w:r>
      </w:hyperlink>
      <w:r w:rsidR="002B7CFA">
        <w:rPr>
          <w:rStyle w:val="Hyperlink"/>
        </w:rPr>
        <w:t>)</w:t>
      </w:r>
    </w:p>
    <w:p w14:paraId="0669C3C6" w14:textId="77777777" w:rsidR="00DF5929" w:rsidRDefault="00DF5929" w:rsidP="002A19F6">
      <w:pPr>
        <w:rPr>
          <w:rFonts w:cstheme="minorHAnsi"/>
          <w:szCs w:val="24"/>
        </w:rPr>
      </w:pPr>
    </w:p>
    <w:p w14:paraId="3A30FD5F" w14:textId="0F2C5B1F" w:rsidR="002A19F6" w:rsidRDefault="002A19F6" w:rsidP="002A19F6">
      <w:pPr>
        <w:rPr>
          <w:rFonts w:cstheme="minorHAnsi"/>
          <w:szCs w:val="24"/>
        </w:rPr>
      </w:pPr>
      <w:r>
        <w:rPr>
          <w:rFonts w:cstheme="minorHAnsi"/>
          <w:szCs w:val="24"/>
        </w:rPr>
        <w:t xml:space="preserve">We examined: </w:t>
      </w:r>
      <w:bookmarkStart w:id="4" w:name="_Hlk512346541"/>
      <w:r>
        <w:rPr>
          <w:rFonts w:cstheme="minorHAnsi"/>
          <w:szCs w:val="24"/>
        </w:rPr>
        <w:t>(i) average out-of-pocket expense per service (fees charged - benefits paid/services); (ii) average number of services per patient (number of services/number of patients): (iii) average number of patients per provider (number of patients/number of providers); (iv) number of patients per 1,000 of population</w:t>
      </w:r>
      <w:r w:rsidR="00AC61AE">
        <w:rPr>
          <w:rFonts w:cstheme="minorHAnsi"/>
          <w:szCs w:val="24"/>
        </w:rPr>
        <w:t xml:space="preserve">; and (v) </w:t>
      </w:r>
      <w:r>
        <w:rPr>
          <w:rFonts w:cstheme="minorHAnsi"/>
          <w:szCs w:val="24"/>
        </w:rPr>
        <w:t>number of providers per 1,000 of population</w:t>
      </w:r>
      <w:r w:rsidR="002C52D4">
        <w:rPr>
          <w:rFonts w:cstheme="minorHAnsi"/>
          <w:szCs w:val="24"/>
        </w:rPr>
        <w:t>, and (vi) number of services per 1,000 of population</w:t>
      </w:r>
      <w:r>
        <w:rPr>
          <w:rFonts w:cstheme="minorHAnsi"/>
          <w:szCs w:val="24"/>
        </w:rPr>
        <w:t xml:space="preserve">. </w:t>
      </w:r>
      <w:bookmarkEnd w:id="4"/>
      <w:r>
        <w:rPr>
          <w:rFonts w:cstheme="minorHAnsi"/>
          <w:szCs w:val="24"/>
        </w:rPr>
        <w:t>These variables were chosen because</w:t>
      </w:r>
      <w:r w:rsidR="00D30458">
        <w:rPr>
          <w:rFonts w:cstheme="minorHAnsi"/>
          <w:szCs w:val="24"/>
        </w:rPr>
        <w:t xml:space="preserve"> these data are publically available and </w:t>
      </w:r>
      <w:r>
        <w:rPr>
          <w:rFonts w:cstheme="minorHAnsi"/>
          <w:szCs w:val="24"/>
        </w:rPr>
        <w:t xml:space="preserve">provide insight into the </w:t>
      </w:r>
      <w:r w:rsidR="00F00C64">
        <w:rPr>
          <w:rFonts w:cstheme="minorHAnsi"/>
          <w:szCs w:val="24"/>
        </w:rPr>
        <w:t>utilisation of AEP services</w:t>
      </w:r>
      <w:r>
        <w:rPr>
          <w:rFonts w:cstheme="minorHAnsi"/>
          <w:szCs w:val="24"/>
        </w:rPr>
        <w:t xml:space="preserve">. For the last two variables, the number of patients and providers were standardised against 1,000 residents to control for differences in SA3 population size. </w:t>
      </w:r>
    </w:p>
    <w:p w14:paraId="04750AF8" w14:textId="77777777" w:rsidR="002A19F6" w:rsidRDefault="002A19F6" w:rsidP="002A19F6"/>
    <w:p w14:paraId="19327D53" w14:textId="77777777" w:rsidR="002A19F6" w:rsidRDefault="002A19F6" w:rsidP="002A19F6">
      <w:pPr>
        <w:rPr>
          <w:b/>
        </w:rPr>
      </w:pPr>
      <w:r>
        <w:rPr>
          <w:b/>
        </w:rPr>
        <w:t>Statistical analysis</w:t>
      </w:r>
    </w:p>
    <w:p w14:paraId="08BB988B" w14:textId="119C016D" w:rsidR="002E75FC" w:rsidRDefault="002A19F6" w:rsidP="002A19F6">
      <w:r>
        <w:rPr>
          <w:szCs w:val="24"/>
        </w:rPr>
        <w:t>The main analysis was based on the 226 SA3 regions</w:t>
      </w:r>
      <w:r>
        <w:t xml:space="preserve"> that had MBS AEP data. The 34 regions with no data (i.e. no services) and the 73 which had suppressed data were examined in a missing data analysis - see below. Data were analysed and graphed using SPSS (v24). IRSD scores and all MBS AEP-related variables were assessed for normality and extreme outliers.  </w:t>
      </w:r>
      <w:r w:rsidR="000E13A4">
        <w:t xml:space="preserve">We identified few </w:t>
      </w:r>
      <w:r>
        <w:t>outliers</w:t>
      </w:r>
      <w:r w:rsidR="000E13A4">
        <w:t>,</w:t>
      </w:r>
      <w:r>
        <w:t xml:space="preserve">defined as data-points outside the interquartile range by 3 or more magnitudes. Out of 226 possible data points per variable, </w:t>
      </w:r>
      <w:r>
        <w:rPr>
          <w:rFonts w:cs="Times New Roman"/>
        </w:rPr>
        <w:t xml:space="preserve">≤ 3 </w:t>
      </w:r>
      <w:r>
        <w:t xml:space="preserve">data points </w:t>
      </w:r>
      <w:r>
        <w:rPr>
          <w:rFonts w:cs="Times New Roman"/>
        </w:rPr>
        <w:t>(≤1.3%</w:t>
      </w:r>
      <w:r>
        <w:t xml:space="preserve">) were </w:t>
      </w:r>
      <w:r w:rsidR="000E13A4">
        <w:t xml:space="preserve">identified </w:t>
      </w:r>
      <w:r>
        <w:t xml:space="preserve">for the following variables: out-of-pocket expense, patients per provider and providers per 1000 residents. </w:t>
      </w:r>
      <w:r w:rsidR="003B4CD9" w:rsidRPr="003B4CD9">
        <w:t>In a sensitivity analysis, w</w:t>
      </w:r>
      <w:r w:rsidR="000E13A4">
        <w:t xml:space="preserve">e ran analyses with and without outliers and found negligible differences in the </w:t>
      </w:r>
      <w:r w:rsidR="00E834AC">
        <w:t>results,</w:t>
      </w:r>
      <w:r w:rsidR="000E13A4">
        <w:t xml:space="preserve"> so outliers were retained in the dataset. </w:t>
      </w:r>
    </w:p>
    <w:p w14:paraId="333758C3" w14:textId="77777777" w:rsidR="002E75FC" w:rsidRDefault="002E75FC" w:rsidP="002A19F6"/>
    <w:p w14:paraId="40FE9997" w14:textId="7452B0E8" w:rsidR="002A19F6" w:rsidRDefault="002A19F6" w:rsidP="002A19F6">
      <w:r>
        <w:lastRenderedPageBreak/>
        <w:t xml:space="preserve">To address our aim of examining associations between socioeconomic disadvantage (IRSD) and various measures of AEP </w:t>
      </w:r>
      <w:r w:rsidR="000242A4">
        <w:t>utilisation</w:t>
      </w:r>
      <w:r>
        <w:t>, correlations between these factors were conducted. Due to the non-normal and often highly heteroscedastic spread of data, we utilised Spearman’s correlations. Strength of association was based on the following rho (r</w:t>
      </w:r>
      <w:r>
        <w:rPr>
          <w:vertAlign w:val="subscript"/>
        </w:rPr>
        <w:t>s</w:t>
      </w:r>
      <w:r>
        <w:t>) cut-points: &lt;0.3 designated as ‘</w:t>
      </w:r>
      <w:r w:rsidR="008D18E3">
        <w:t>small’</w:t>
      </w:r>
      <w:r>
        <w:t>, 0.3&lt;0.5 as ‘</w:t>
      </w:r>
      <w:r w:rsidR="008D18E3">
        <w:t xml:space="preserve">medium’ </w:t>
      </w:r>
      <w:r>
        <w:t xml:space="preserve">and </w:t>
      </w:r>
      <w:r>
        <w:rPr>
          <w:rFonts w:cs="Times New Roman"/>
        </w:rPr>
        <w:t>≥</w:t>
      </w:r>
      <w:r>
        <w:t>0.5 as ‘</w:t>
      </w:r>
      <w:r w:rsidR="008D18E3">
        <w:t xml:space="preserve">large’ </w:t>
      </w:r>
      <w:r w:rsidR="00E834AC">
        <w:rPr>
          <w:noProof/>
        </w:rPr>
        <w:t>(Cohen, 1988)</w:t>
      </w:r>
      <w:r>
        <w:t xml:space="preserve">. Significance was set at </w:t>
      </w:r>
      <w:r w:rsidR="00155ACF">
        <w:t>p</w:t>
      </w:r>
      <w:r>
        <w:t xml:space="preserve"> &lt;0.05</w:t>
      </w:r>
      <w:r w:rsidR="00155ACF">
        <w:t>.</w:t>
      </w:r>
    </w:p>
    <w:p w14:paraId="025717CA" w14:textId="77777777" w:rsidR="002A19F6" w:rsidRDefault="002A19F6" w:rsidP="002A19F6">
      <w:pPr>
        <w:rPr>
          <w:b/>
          <w:bCs/>
        </w:rPr>
      </w:pPr>
    </w:p>
    <w:p w14:paraId="6238635E" w14:textId="77777777" w:rsidR="002A19F6" w:rsidRDefault="002A19F6" w:rsidP="002A19F6">
      <w:pPr>
        <w:rPr>
          <w:b/>
          <w:bCs/>
        </w:rPr>
      </w:pPr>
      <w:r>
        <w:rPr>
          <w:b/>
          <w:bCs/>
        </w:rPr>
        <w:t>Missing data analysis</w:t>
      </w:r>
    </w:p>
    <w:p w14:paraId="2848F5D4" w14:textId="5783A91C" w:rsidR="002A19F6" w:rsidRDefault="002A19F6" w:rsidP="002A19F6">
      <w:pPr>
        <w:rPr>
          <w:rFonts w:cs="Times New Roman"/>
          <w:b/>
          <w:bCs/>
          <w:szCs w:val="24"/>
        </w:rPr>
      </w:pPr>
      <w:r>
        <w:t xml:space="preserve">As </w:t>
      </w:r>
      <w:r w:rsidR="0065784C">
        <w:t>discussed</w:t>
      </w:r>
      <w:r>
        <w:t>, for the 333 SA3 regions, 34 had no data listed and 73 had suppressed data.</w:t>
      </w:r>
      <w:r w:rsidRPr="0065784C">
        <w:t xml:space="preserve"> </w:t>
      </w:r>
      <w:r w:rsidR="0065784C">
        <w:t>Therefore, a</w:t>
      </w:r>
      <w:r w:rsidRPr="0065784C">
        <w:t xml:space="preserve"> missing data analysis was conducted to check whether</w:t>
      </w:r>
      <w:r w:rsidRPr="00C45AFB">
        <w:rPr>
          <w:b/>
        </w:rPr>
        <w:t xml:space="preserve"> </w:t>
      </w:r>
      <w:r>
        <w:t xml:space="preserve">these SA3 regions were socioeconomically different from those with available data as indicated by IRSD score and Accessibility/Remoteness Index of Australia (ARIA+ 2011) values (https://www.adelaide.edu.au/hugo-centre/spatial_data/aria/). </w:t>
      </w:r>
    </w:p>
    <w:p w14:paraId="5F46112A" w14:textId="77777777" w:rsidR="002A19F6" w:rsidRDefault="002A19F6" w:rsidP="002A19F6">
      <w:pPr>
        <w:pStyle w:val="Heading1"/>
      </w:pPr>
      <w:r>
        <w:t>Results</w:t>
      </w:r>
    </w:p>
    <w:p w14:paraId="1E0D6B20" w14:textId="77777777" w:rsidR="002A19F6" w:rsidRDefault="002A19F6" w:rsidP="002A19F6">
      <w:pPr>
        <w:pStyle w:val="Heading2"/>
      </w:pPr>
      <w:r>
        <w:t>Number of AEP services and benefits claimed</w:t>
      </w:r>
    </w:p>
    <w:p w14:paraId="03D36F90" w14:textId="77777777" w:rsidR="002A19F6" w:rsidRDefault="002A19F6" w:rsidP="002A19F6">
      <w:pPr>
        <w:rPr>
          <w:szCs w:val="24"/>
        </w:rPr>
      </w:pPr>
    </w:p>
    <w:p w14:paraId="616B9EFC" w14:textId="7964CF2C" w:rsidR="002A19F6" w:rsidRDefault="002A19F6" w:rsidP="002A19F6">
      <w:pPr>
        <w:rPr>
          <w:szCs w:val="24"/>
        </w:rPr>
      </w:pPr>
      <w:r>
        <w:rPr>
          <w:szCs w:val="24"/>
        </w:rPr>
        <w:t>In 2015-2016, 242,690 AEP servic</w:t>
      </w:r>
      <w:r w:rsidR="002C52D4">
        <w:rPr>
          <w:szCs w:val="24"/>
        </w:rPr>
        <w:t xml:space="preserve">es were accessed Australia-wide; </w:t>
      </w:r>
      <w:r>
        <w:rPr>
          <w:szCs w:val="24"/>
        </w:rPr>
        <w:t xml:space="preserve">the total amount of benefits claimed </w:t>
      </w:r>
      <w:r w:rsidR="0044027C">
        <w:rPr>
          <w:szCs w:val="24"/>
        </w:rPr>
        <w:t>was</w:t>
      </w:r>
      <w:r>
        <w:rPr>
          <w:szCs w:val="24"/>
        </w:rPr>
        <w:t xml:space="preserve"> $12,936,209. Females (n= 149,046; 61.4%) accessed a greater number of AEP services than males. </w:t>
      </w:r>
      <w:r>
        <w:t xml:space="preserve">Over half all services (59%) were accessed by adults 55+ years </w:t>
      </w:r>
      <w:r>
        <w:rPr>
          <w:szCs w:val="24"/>
        </w:rPr>
        <w:t>(Table 1)</w:t>
      </w:r>
      <w:r w:rsidR="002C52D4">
        <w:rPr>
          <w:szCs w:val="24"/>
        </w:rPr>
        <w:t>.</w:t>
      </w:r>
    </w:p>
    <w:p w14:paraId="7B979F94" w14:textId="32831C68" w:rsidR="002C52D4" w:rsidRDefault="002C52D4" w:rsidP="002A19F6">
      <w:pPr>
        <w:rPr>
          <w:szCs w:val="24"/>
        </w:rPr>
      </w:pPr>
    </w:p>
    <w:p w14:paraId="6AE59F97" w14:textId="109E58E8" w:rsidR="002C52D4" w:rsidRDefault="00C84D2C" w:rsidP="002A19F6">
      <w:pPr>
        <w:rPr>
          <w:szCs w:val="24"/>
        </w:rPr>
      </w:pPr>
      <w:r>
        <w:rPr>
          <w:szCs w:val="24"/>
        </w:rPr>
        <w:t>Table 1 here</w:t>
      </w:r>
    </w:p>
    <w:p w14:paraId="78BF01CF" w14:textId="77777777" w:rsidR="002A19F6" w:rsidRDefault="002A19F6" w:rsidP="002A19F6">
      <w:pPr>
        <w:rPr>
          <w:szCs w:val="24"/>
        </w:rPr>
      </w:pPr>
    </w:p>
    <w:p w14:paraId="52B5615A" w14:textId="223CC873" w:rsidR="002A19F6" w:rsidRDefault="002A19F6" w:rsidP="002A19F6">
      <w:pPr>
        <w:rPr>
          <w:szCs w:val="24"/>
        </w:rPr>
      </w:pPr>
      <w:r w:rsidRPr="00C45AFB">
        <w:rPr>
          <w:szCs w:val="24"/>
        </w:rPr>
        <w:t>Data for our main analysis was based on MBS AEP data matched to SA3 regions which for 2015-2016 included 226 SA3s with available data (see missing data analysis below).</w:t>
      </w:r>
      <w:r>
        <w:rPr>
          <w:szCs w:val="24"/>
        </w:rPr>
        <w:t xml:space="preserve"> In total, </w:t>
      </w:r>
      <w:r>
        <w:rPr>
          <w:szCs w:val="24"/>
        </w:rPr>
        <w:lastRenderedPageBreak/>
        <w:t xml:space="preserve">108,912 patients utilised AEP services representing 0.54% of the population within the 226 SA3 regions. Table 2 shows the summary characteristics with respect to AEP services for the 226 SA3 regions. </w:t>
      </w:r>
    </w:p>
    <w:p w14:paraId="13649CFA" w14:textId="77777777" w:rsidR="002A19F6" w:rsidRDefault="002A19F6" w:rsidP="002A19F6">
      <w:pPr>
        <w:rPr>
          <w:szCs w:val="24"/>
        </w:rPr>
      </w:pPr>
    </w:p>
    <w:p w14:paraId="1D986680" w14:textId="6DF74116" w:rsidR="002A19F6" w:rsidRDefault="00C84D2C" w:rsidP="002A19F6">
      <w:pPr>
        <w:rPr>
          <w:szCs w:val="24"/>
        </w:rPr>
      </w:pPr>
      <w:r>
        <w:rPr>
          <w:szCs w:val="24"/>
        </w:rPr>
        <w:t>Table 2 here</w:t>
      </w:r>
    </w:p>
    <w:p w14:paraId="7AA0F285" w14:textId="77777777" w:rsidR="002A19F6" w:rsidRDefault="002A19F6" w:rsidP="002A19F6">
      <w:pPr>
        <w:pStyle w:val="Heading2"/>
        <w:spacing w:line="360" w:lineRule="auto"/>
      </w:pPr>
      <w:r>
        <w:t>SEIFA characteristics of SA3 regions</w:t>
      </w:r>
    </w:p>
    <w:p w14:paraId="0B84D719" w14:textId="77777777" w:rsidR="002A19F6" w:rsidRDefault="002A19F6" w:rsidP="002A19F6">
      <w:r>
        <w:t xml:space="preserve">The average IRSD decile scores for the 226 SA3s with MBS AEP data ranged from 2-10 (most to least disadvantaged) with a mean (SD) of 5.7 (1.8). The most common IRSD decile designation was 5 representing 45 SA3s (19.9%). For both deciles 2 and 10, only 2 SA3 regions (0.009%) were represented – </w:t>
      </w:r>
      <w:r w:rsidRPr="000E13A4">
        <w:t>as such these deciles were omitted from further relational analyses due to such low representation and therefore lack of certainty regarding group averages and potential high variance.</w:t>
      </w:r>
      <w:r>
        <w:t xml:space="preserve"> </w:t>
      </w:r>
    </w:p>
    <w:p w14:paraId="023C9A73" w14:textId="77777777" w:rsidR="002A19F6" w:rsidRDefault="002A19F6" w:rsidP="002A19F6">
      <w:pPr>
        <w:autoSpaceDE w:val="0"/>
        <w:autoSpaceDN w:val="0"/>
        <w:adjustRightInd w:val="0"/>
        <w:spacing w:line="240" w:lineRule="auto"/>
        <w:rPr>
          <w:rFonts w:cs="Times New Roman"/>
          <w:szCs w:val="24"/>
        </w:rPr>
      </w:pPr>
    </w:p>
    <w:p w14:paraId="69FDE260" w14:textId="77777777" w:rsidR="002A19F6" w:rsidRDefault="002A19F6" w:rsidP="002A19F6">
      <w:pPr>
        <w:autoSpaceDE w:val="0"/>
        <w:autoSpaceDN w:val="0"/>
        <w:adjustRightInd w:val="0"/>
        <w:spacing w:line="240" w:lineRule="auto"/>
        <w:rPr>
          <w:rFonts w:cs="Times New Roman"/>
          <w:szCs w:val="24"/>
        </w:rPr>
      </w:pPr>
    </w:p>
    <w:p w14:paraId="4816B146" w14:textId="77777777" w:rsidR="002A19F6" w:rsidRDefault="002A19F6" w:rsidP="002A19F6">
      <w:pPr>
        <w:rPr>
          <w:b/>
        </w:rPr>
      </w:pPr>
      <w:r>
        <w:rPr>
          <w:b/>
        </w:rPr>
        <w:t>Regional AEP utilisation and relationship to SEIFA</w:t>
      </w:r>
    </w:p>
    <w:p w14:paraId="2006AB0C" w14:textId="5F6E229B" w:rsidR="008255A5" w:rsidRDefault="002A19F6" w:rsidP="00C56BC4">
      <w:pPr>
        <w:rPr>
          <w:rFonts w:cs="Times New Roman"/>
          <w:szCs w:val="24"/>
        </w:rPr>
      </w:pPr>
      <w:r>
        <w:rPr>
          <w:rFonts w:cs="Times New Roman"/>
          <w:szCs w:val="24"/>
        </w:rPr>
        <w:t>Figure 1 shows AEP utilisation variables plotted against average IRSD decile score at the SA3 level. Out-of-pocket expenses/service showed a strong positive correlation with IRSD score (r</w:t>
      </w:r>
      <w:r>
        <w:rPr>
          <w:rFonts w:cs="Times New Roman"/>
          <w:szCs w:val="24"/>
          <w:vertAlign w:val="subscript"/>
        </w:rPr>
        <w:t xml:space="preserve">s </w:t>
      </w:r>
      <w:r>
        <w:rPr>
          <w:rFonts w:cs="Times New Roman"/>
          <w:szCs w:val="24"/>
        </w:rPr>
        <w:t>= 0.5</w:t>
      </w:r>
      <w:r w:rsidR="005628A9">
        <w:rPr>
          <w:rFonts w:cs="Times New Roman"/>
          <w:szCs w:val="24"/>
        </w:rPr>
        <w:t>2</w:t>
      </w:r>
      <w:r>
        <w:rPr>
          <w:rFonts w:cs="Times New Roman"/>
          <w:szCs w:val="24"/>
        </w:rPr>
        <w:t>). For example, out-of-pocket expenses were lowest in SA3s with average decile score of 3 ($0.71/service) and highest in SA3s with average decile score of 9 ($13.59/service)</w:t>
      </w:r>
      <w:r w:rsidR="0065784C">
        <w:rPr>
          <w:rFonts w:cs="Times New Roman"/>
          <w:szCs w:val="24"/>
        </w:rPr>
        <w:t xml:space="preserve">, </w:t>
      </w:r>
      <w:r w:rsidR="00B72434">
        <w:rPr>
          <w:rFonts w:cs="Times New Roman"/>
          <w:szCs w:val="24"/>
        </w:rPr>
        <w:t>representing</w:t>
      </w:r>
      <w:r>
        <w:rPr>
          <w:rFonts w:cs="Times New Roman"/>
          <w:szCs w:val="24"/>
        </w:rPr>
        <w:t xml:space="preserve"> </w:t>
      </w:r>
      <w:r w:rsidR="0065784C">
        <w:rPr>
          <w:rFonts w:cs="Times New Roman"/>
          <w:szCs w:val="24"/>
        </w:rPr>
        <w:t>~</w:t>
      </w:r>
      <w:r>
        <w:rPr>
          <w:rFonts w:cs="Times New Roman"/>
          <w:szCs w:val="24"/>
        </w:rPr>
        <w:t xml:space="preserve">20-fold increase. </w:t>
      </w:r>
      <w:r w:rsidR="0065784C">
        <w:rPr>
          <w:rFonts w:cs="Times New Roman"/>
          <w:szCs w:val="24"/>
        </w:rPr>
        <w:t xml:space="preserve">In contrast, the </w:t>
      </w:r>
      <w:r>
        <w:rPr>
          <w:rFonts w:cs="Times New Roman"/>
          <w:szCs w:val="24"/>
        </w:rPr>
        <w:t>number of patients per provider showed a moderately negative association with IRSD score (r</w:t>
      </w:r>
      <w:r>
        <w:rPr>
          <w:rFonts w:cs="Times New Roman"/>
          <w:szCs w:val="24"/>
          <w:vertAlign w:val="subscript"/>
        </w:rPr>
        <w:t>s</w:t>
      </w:r>
      <w:r>
        <w:rPr>
          <w:rFonts w:cs="Times New Roman"/>
          <w:szCs w:val="24"/>
        </w:rPr>
        <w:t xml:space="preserve"> = -0.4</w:t>
      </w:r>
      <w:r w:rsidR="005628A9">
        <w:rPr>
          <w:rFonts w:cs="Times New Roman"/>
          <w:szCs w:val="24"/>
        </w:rPr>
        <w:t>2</w:t>
      </w:r>
      <w:r>
        <w:rPr>
          <w:rFonts w:cs="Times New Roman"/>
          <w:szCs w:val="24"/>
        </w:rPr>
        <w:t xml:space="preserve">). On average, the number of patients per provider were higher in SA3s with lower-mid deciles scores (e.g. deciles scores 3-6) and markedly lower in the SA3s with the highest decile scores (e.g. 7-9). For example, in decile score 3 the average number of patients/provider was 71.6 compared to </w:t>
      </w:r>
      <w:r w:rsidR="00995947">
        <w:rPr>
          <w:rFonts w:cs="Times New Roman"/>
          <w:szCs w:val="24"/>
        </w:rPr>
        <w:t>41.4</w:t>
      </w:r>
      <w:r>
        <w:rPr>
          <w:rFonts w:cs="Times New Roman"/>
          <w:szCs w:val="24"/>
        </w:rPr>
        <w:t xml:space="preserve"> for decile score 9. </w:t>
      </w:r>
    </w:p>
    <w:p w14:paraId="299B9536" w14:textId="61D951E4" w:rsidR="002A19F6" w:rsidRDefault="002A19F6" w:rsidP="002A19F6">
      <w:pPr>
        <w:rPr>
          <w:rFonts w:cs="Times New Roman"/>
          <w:szCs w:val="24"/>
        </w:rPr>
      </w:pPr>
      <w:r>
        <w:rPr>
          <w:rFonts w:cs="Times New Roman"/>
          <w:szCs w:val="24"/>
        </w:rPr>
        <w:lastRenderedPageBreak/>
        <w:t xml:space="preserve">When examining the number of patients/1000 </w:t>
      </w:r>
      <w:r w:rsidR="002C52D4">
        <w:rPr>
          <w:rFonts w:cs="Times New Roman"/>
          <w:szCs w:val="24"/>
        </w:rPr>
        <w:t>population</w:t>
      </w:r>
      <w:r w:rsidR="008255A5">
        <w:rPr>
          <w:rFonts w:cs="Times New Roman"/>
          <w:szCs w:val="24"/>
        </w:rPr>
        <w:t xml:space="preserve">, </w:t>
      </w:r>
      <w:r>
        <w:rPr>
          <w:rFonts w:cs="Times New Roman"/>
          <w:szCs w:val="24"/>
        </w:rPr>
        <w:t>a weak</w:t>
      </w:r>
      <w:r w:rsidR="008255A5">
        <w:rPr>
          <w:rFonts w:cs="Times New Roman"/>
          <w:szCs w:val="24"/>
        </w:rPr>
        <w:t xml:space="preserve"> but significant</w:t>
      </w:r>
      <w:r>
        <w:rPr>
          <w:rFonts w:cs="Times New Roman"/>
          <w:szCs w:val="24"/>
        </w:rPr>
        <w:t xml:space="preserve"> trend</w:t>
      </w:r>
      <w:r w:rsidR="008255A5">
        <w:rPr>
          <w:rFonts w:cs="Times New Roman"/>
          <w:szCs w:val="24"/>
        </w:rPr>
        <w:t xml:space="preserve"> was</w:t>
      </w:r>
      <w:r>
        <w:rPr>
          <w:rFonts w:cs="Times New Roman"/>
          <w:szCs w:val="24"/>
        </w:rPr>
        <w:t xml:space="preserve"> observed for declining numbers as the average IRSD decile increases (r</w:t>
      </w:r>
      <w:r>
        <w:rPr>
          <w:rFonts w:cs="Times New Roman"/>
          <w:szCs w:val="24"/>
          <w:vertAlign w:val="subscript"/>
        </w:rPr>
        <w:t>s</w:t>
      </w:r>
      <w:r>
        <w:rPr>
          <w:rFonts w:cs="Times New Roman"/>
          <w:szCs w:val="24"/>
        </w:rPr>
        <w:t xml:space="preserve"> = -0.2) - </w:t>
      </w:r>
      <w:r w:rsidRPr="00C45AFB">
        <w:rPr>
          <w:rFonts w:cs="Times New Roman"/>
          <w:szCs w:val="24"/>
        </w:rPr>
        <w:t>for example 7.2 patients/1000 for decile score 4 compared to 3.9 patients/1000 for decile score 9 - although decile 3 somewhat opposed this trend (5.6 patients/1000).</w:t>
      </w:r>
      <w:r>
        <w:rPr>
          <w:rFonts w:cs="Times New Roman"/>
          <w:szCs w:val="24"/>
        </w:rPr>
        <w:t xml:space="preserve"> </w:t>
      </w:r>
      <w:r w:rsidRPr="005628A9">
        <w:rPr>
          <w:rFonts w:cs="Times New Roman"/>
          <w:szCs w:val="24"/>
        </w:rPr>
        <w:t xml:space="preserve">The services per 1000 </w:t>
      </w:r>
      <w:r w:rsidR="002C52D4" w:rsidRPr="005628A9">
        <w:rPr>
          <w:rFonts w:cs="Times New Roman"/>
          <w:szCs w:val="24"/>
        </w:rPr>
        <w:t>population</w:t>
      </w:r>
      <w:r w:rsidRPr="005628A9">
        <w:rPr>
          <w:rFonts w:cs="Times New Roman"/>
          <w:szCs w:val="24"/>
        </w:rPr>
        <w:t xml:space="preserve"> showed a similar pattern to patients per/1000 with the number of services generally declining as decile scores increase (r</w:t>
      </w:r>
      <w:r w:rsidRPr="005628A9">
        <w:rPr>
          <w:rFonts w:cs="Times New Roman"/>
          <w:szCs w:val="24"/>
          <w:vertAlign w:val="subscript"/>
        </w:rPr>
        <w:t>s</w:t>
      </w:r>
      <w:r w:rsidRPr="005628A9">
        <w:rPr>
          <w:rFonts w:cs="Times New Roman"/>
          <w:szCs w:val="24"/>
        </w:rPr>
        <w:t xml:space="preserve"> = -0.18).</w:t>
      </w:r>
      <w:r>
        <w:rPr>
          <w:rFonts w:cs="Times New Roman"/>
          <w:szCs w:val="24"/>
        </w:rPr>
        <w:t xml:space="preserve"> A weak but significant</w:t>
      </w:r>
      <w:r>
        <w:t xml:space="preserve"> </w:t>
      </w:r>
      <w:r>
        <w:rPr>
          <w:szCs w:val="24"/>
        </w:rPr>
        <w:t xml:space="preserve">positive association was also observed for the number of services per </w:t>
      </w:r>
      <w:r>
        <w:rPr>
          <w:rFonts w:cs="Times New Roman"/>
          <w:szCs w:val="24"/>
        </w:rPr>
        <w:t>patient (r</w:t>
      </w:r>
      <w:r>
        <w:rPr>
          <w:rFonts w:cs="Times New Roman"/>
          <w:szCs w:val="24"/>
          <w:vertAlign w:val="subscript"/>
        </w:rPr>
        <w:t>s</w:t>
      </w:r>
      <w:r>
        <w:rPr>
          <w:rFonts w:cs="Times New Roman"/>
          <w:szCs w:val="24"/>
        </w:rPr>
        <w:t xml:space="preserve"> = 0.2), for example, 2.0 services/patient in decile score 3 compared to 2.3 in decile score 9. </w:t>
      </w:r>
      <w:r w:rsidR="005628A9">
        <w:rPr>
          <w:rFonts w:cs="Times New Roman"/>
          <w:szCs w:val="24"/>
        </w:rPr>
        <w:t xml:space="preserve">There was also a </w:t>
      </w:r>
      <w:r w:rsidR="008255A5">
        <w:rPr>
          <w:rFonts w:cs="Times New Roman"/>
          <w:szCs w:val="24"/>
        </w:rPr>
        <w:t xml:space="preserve">statistically </w:t>
      </w:r>
      <w:r>
        <w:rPr>
          <w:rFonts w:cs="Times New Roman"/>
          <w:szCs w:val="24"/>
        </w:rPr>
        <w:t xml:space="preserve">significant pattern observed for the number of providers per 1000 </w:t>
      </w:r>
      <w:r w:rsidR="002C52D4">
        <w:rPr>
          <w:rFonts w:cs="Times New Roman"/>
          <w:szCs w:val="24"/>
        </w:rPr>
        <w:t>population</w:t>
      </w:r>
      <w:r>
        <w:rPr>
          <w:rFonts w:cs="Times New Roman"/>
          <w:szCs w:val="24"/>
        </w:rPr>
        <w:t xml:space="preserve"> (r</w:t>
      </w:r>
      <w:r>
        <w:rPr>
          <w:rFonts w:cs="Times New Roman"/>
          <w:szCs w:val="24"/>
          <w:vertAlign w:val="subscript"/>
        </w:rPr>
        <w:t>s</w:t>
      </w:r>
      <w:r>
        <w:rPr>
          <w:rFonts w:cs="Times New Roman"/>
          <w:szCs w:val="24"/>
        </w:rPr>
        <w:t xml:space="preserve"> = 0.</w:t>
      </w:r>
      <w:r w:rsidR="005628A9">
        <w:rPr>
          <w:rFonts w:cs="Times New Roman"/>
          <w:szCs w:val="24"/>
        </w:rPr>
        <w:t>14</w:t>
      </w:r>
      <w:r>
        <w:rPr>
          <w:rFonts w:cs="Times New Roman"/>
          <w:szCs w:val="24"/>
        </w:rPr>
        <w:t>)</w:t>
      </w:r>
      <w:r w:rsidR="00624CCD">
        <w:rPr>
          <w:rFonts w:cs="Times New Roman"/>
          <w:szCs w:val="24"/>
        </w:rPr>
        <w:t xml:space="preserve"> such that as the average IRSD decile increases so does the number of AEP providers. F</w:t>
      </w:r>
      <w:r w:rsidR="005628A9" w:rsidRPr="00995947">
        <w:rPr>
          <w:rFonts w:cs="Times New Roman"/>
          <w:szCs w:val="24"/>
        </w:rPr>
        <w:t xml:space="preserve">or </w:t>
      </w:r>
      <w:r w:rsidR="00BE6891" w:rsidRPr="00995947">
        <w:rPr>
          <w:rFonts w:cs="Times New Roman"/>
          <w:szCs w:val="24"/>
        </w:rPr>
        <w:t>example,</w:t>
      </w:r>
      <w:r w:rsidR="005628A9" w:rsidRPr="00995947">
        <w:rPr>
          <w:rFonts w:cs="Times New Roman"/>
          <w:szCs w:val="24"/>
        </w:rPr>
        <w:t xml:space="preserve"> </w:t>
      </w:r>
      <w:r w:rsidR="00995947" w:rsidRPr="00995947">
        <w:rPr>
          <w:rFonts w:cs="Times New Roman"/>
          <w:szCs w:val="24"/>
        </w:rPr>
        <w:t xml:space="preserve">there were 0.08 </w:t>
      </w:r>
      <w:r w:rsidR="00A44C34" w:rsidRPr="00995947">
        <w:rPr>
          <w:rFonts w:cs="Times New Roman"/>
          <w:szCs w:val="24"/>
        </w:rPr>
        <w:t xml:space="preserve">providers per 1000 population in decile score 3 compared to </w:t>
      </w:r>
      <w:r w:rsidR="00995947" w:rsidRPr="00995947">
        <w:rPr>
          <w:rFonts w:cs="Times New Roman"/>
          <w:szCs w:val="24"/>
        </w:rPr>
        <w:t>0.13</w:t>
      </w:r>
      <w:r w:rsidR="00A44C34" w:rsidRPr="00995947">
        <w:rPr>
          <w:rFonts w:cs="Times New Roman"/>
          <w:szCs w:val="24"/>
        </w:rPr>
        <w:t xml:space="preserve"> in decile score 9</w:t>
      </w:r>
      <w:r w:rsidRPr="00995947">
        <w:rPr>
          <w:rFonts w:cs="Times New Roman"/>
          <w:szCs w:val="24"/>
        </w:rPr>
        <w:t>.</w:t>
      </w:r>
      <w:r>
        <w:rPr>
          <w:rFonts w:cs="Times New Roman"/>
          <w:szCs w:val="24"/>
        </w:rPr>
        <w:t xml:space="preserve"> </w:t>
      </w:r>
    </w:p>
    <w:p w14:paraId="448EC824" w14:textId="52F067C8" w:rsidR="00DF5929" w:rsidRDefault="00DF5929" w:rsidP="002A19F6">
      <w:pPr>
        <w:rPr>
          <w:rFonts w:cs="Times New Roman"/>
          <w:szCs w:val="24"/>
        </w:rPr>
      </w:pPr>
    </w:p>
    <w:p w14:paraId="6BCA3C4B" w14:textId="319E26B2" w:rsidR="00DF5929" w:rsidRDefault="00DF5929" w:rsidP="002A19F6">
      <w:pPr>
        <w:rPr>
          <w:rFonts w:cs="Times New Roman"/>
          <w:szCs w:val="24"/>
        </w:rPr>
      </w:pPr>
      <w:r>
        <w:rPr>
          <w:rFonts w:cs="Times New Roman"/>
          <w:szCs w:val="24"/>
        </w:rPr>
        <w:t>Figure 1 here</w:t>
      </w:r>
    </w:p>
    <w:p w14:paraId="3C815407" w14:textId="0B0D7235" w:rsidR="002A19F6" w:rsidRDefault="002A19F6" w:rsidP="002A19F6">
      <w:pPr>
        <w:spacing w:after="160" w:line="254" w:lineRule="auto"/>
      </w:pPr>
    </w:p>
    <w:p w14:paraId="3978F3EC" w14:textId="77777777" w:rsidR="002A19F6" w:rsidRDefault="002A19F6" w:rsidP="002A19F6">
      <w:pPr>
        <w:rPr>
          <w:b/>
          <w:bCs/>
        </w:rPr>
      </w:pPr>
      <w:r>
        <w:rPr>
          <w:b/>
          <w:bCs/>
        </w:rPr>
        <w:t>Missing data analysis</w:t>
      </w:r>
    </w:p>
    <w:p w14:paraId="703288B0" w14:textId="4DE3140B" w:rsidR="002A19F6" w:rsidRDefault="00601341" w:rsidP="002A19F6">
      <w:pPr>
        <w:rPr>
          <w:szCs w:val="24"/>
        </w:rPr>
      </w:pPr>
      <w:r>
        <w:t xml:space="preserve">Thirty-four </w:t>
      </w:r>
      <w:r w:rsidR="002A19F6">
        <w:t>SA3 regions (10.2%) had absent data</w:t>
      </w:r>
      <w:r w:rsidR="008255A5">
        <w:t>,</w:t>
      </w:r>
      <w:r w:rsidR="002A19F6">
        <w:t xml:space="preserve"> and presumably no AEP services for 2015-2016. It was </w:t>
      </w:r>
      <w:r>
        <w:t>expected</w:t>
      </w:r>
      <w:r w:rsidR="002A19F6">
        <w:t xml:space="preserve"> that AEP services are generally not provided in remote, sparsely populated areas</w:t>
      </w:r>
      <w:r w:rsidR="008255A5">
        <w:t>,</w:t>
      </w:r>
      <w:r w:rsidR="002A19F6">
        <w:t xml:space="preserve"> and thus the ARIA characteristics of the 34 SA3s was examined. </w:t>
      </w:r>
      <w:r w:rsidR="002A19F6">
        <w:rPr>
          <w:szCs w:val="24"/>
        </w:rPr>
        <w:t xml:space="preserve">The average ARIA score for these 34 SA3s was 7.7 representing “remote” areas in Australia (Supplementary Table 1). </w:t>
      </w:r>
      <w:r w:rsidR="002A19F6">
        <w:t xml:space="preserve">The </w:t>
      </w:r>
      <w:r w:rsidR="002A19F6">
        <w:rPr>
          <w:rFonts w:cs="Times New Roman"/>
          <w:szCs w:val="24"/>
        </w:rPr>
        <w:t xml:space="preserve">average IRSD decile score for these SA3s was lower (4.3 ± 1.6) compared to the </w:t>
      </w:r>
      <w:r w:rsidR="002A19F6">
        <w:rPr>
          <w:szCs w:val="24"/>
        </w:rPr>
        <w:t>226 SA3 regions in the main analysis (5.7</w:t>
      </w:r>
      <w:r w:rsidR="002A19F6">
        <w:rPr>
          <w:rFonts w:cs="Times New Roman"/>
          <w:szCs w:val="24"/>
        </w:rPr>
        <w:t xml:space="preserve"> ± </w:t>
      </w:r>
      <w:r w:rsidR="002A19F6">
        <w:rPr>
          <w:szCs w:val="24"/>
        </w:rPr>
        <w:t xml:space="preserve">1.8). The differing area characteristics indicate that the main findings are generalizable to </w:t>
      </w:r>
      <w:r w:rsidR="002A19F6">
        <w:rPr>
          <w:bCs/>
          <w:szCs w:val="24"/>
        </w:rPr>
        <w:t>non-remote</w:t>
      </w:r>
      <w:r w:rsidR="002A19F6">
        <w:rPr>
          <w:szCs w:val="24"/>
        </w:rPr>
        <w:t xml:space="preserve"> areas in Australia.</w:t>
      </w:r>
    </w:p>
    <w:p w14:paraId="5DB2AD9D" w14:textId="77777777" w:rsidR="002A19F6" w:rsidRDefault="002A19F6" w:rsidP="002A19F6"/>
    <w:p w14:paraId="2ABB4C9C" w14:textId="41082B45" w:rsidR="002A19F6" w:rsidRDefault="002A19F6" w:rsidP="002A19F6">
      <w:pPr>
        <w:rPr>
          <w:rFonts w:cs="Times New Roman"/>
          <w:szCs w:val="24"/>
        </w:rPr>
      </w:pPr>
      <w:r>
        <w:lastRenderedPageBreak/>
        <w:t xml:space="preserve">Suppressed data from </w:t>
      </w:r>
      <w:r>
        <w:rPr>
          <w:szCs w:val="24"/>
        </w:rPr>
        <w:t>73 SA3 regions</w:t>
      </w:r>
      <w:r>
        <w:t xml:space="preserve">: </w:t>
      </w:r>
      <w:r>
        <w:rPr>
          <w:szCs w:val="24"/>
        </w:rPr>
        <w:t xml:space="preserve">Based on available MBS data from the 226 SA3 regions, 228,771 AEP services were accessed representing 94.3% of the total AEP services for 2015-2016. </w:t>
      </w:r>
      <w:r>
        <w:rPr>
          <w:rFonts w:cs="Times New Roman"/>
          <w:szCs w:val="24"/>
        </w:rPr>
        <w:t>The average IRSD decile score for the SA3s</w:t>
      </w:r>
      <w:r w:rsidR="001C7271">
        <w:rPr>
          <w:rFonts w:cs="Times New Roman"/>
          <w:szCs w:val="24"/>
        </w:rPr>
        <w:t xml:space="preserve"> with suppressed data</w:t>
      </w:r>
      <w:r>
        <w:rPr>
          <w:rFonts w:cs="Times New Roman"/>
          <w:szCs w:val="24"/>
        </w:rPr>
        <w:t xml:space="preserve"> (5.0 ± 1.6) was similar to the </w:t>
      </w:r>
      <w:r>
        <w:rPr>
          <w:szCs w:val="24"/>
        </w:rPr>
        <w:t>226 SA3 in the main analysis</w:t>
      </w:r>
      <w:r>
        <w:rPr>
          <w:rFonts w:cs="Times New Roman"/>
          <w:szCs w:val="24"/>
        </w:rPr>
        <w:t xml:space="preserve">. </w:t>
      </w:r>
      <w:r w:rsidR="00601341">
        <w:rPr>
          <w:rFonts w:cs="Times New Roman"/>
          <w:szCs w:val="24"/>
        </w:rPr>
        <w:t xml:space="preserve">This suggests </w:t>
      </w:r>
      <w:r>
        <w:rPr>
          <w:rFonts w:cs="Times New Roman"/>
          <w:szCs w:val="24"/>
        </w:rPr>
        <w:t>that the suppressed data appeared to come from regions having a similar spread of characteristics as the main sample, and therefore the results from the main study are generalizable to these regions.</w:t>
      </w:r>
    </w:p>
    <w:p w14:paraId="6AF9344A" w14:textId="4D411B44" w:rsidR="00DC381C" w:rsidRDefault="00DC381C" w:rsidP="004B0B58">
      <w:pPr>
        <w:pStyle w:val="Heading1"/>
      </w:pPr>
      <w:r>
        <w:t>Discussion</w:t>
      </w:r>
    </w:p>
    <w:p w14:paraId="723697B2" w14:textId="2D1D524E" w:rsidR="00BE6891" w:rsidRDefault="003D43D1" w:rsidP="00D67902">
      <w:pPr>
        <w:rPr>
          <w:rFonts w:cstheme="minorHAnsi"/>
          <w:szCs w:val="24"/>
        </w:rPr>
      </w:pPr>
      <w:r>
        <w:rPr>
          <w:rFonts w:cstheme="minorHAnsi"/>
          <w:szCs w:val="24"/>
        </w:rPr>
        <w:t>So</w:t>
      </w:r>
      <w:r w:rsidR="00B4684D">
        <w:rPr>
          <w:rFonts w:cstheme="minorHAnsi"/>
          <w:szCs w:val="24"/>
        </w:rPr>
        <w:t xml:space="preserve">cioeconomic disadvantage was associated with utilisation of AEP services such that </w:t>
      </w:r>
      <w:r w:rsidR="00D27093">
        <w:rPr>
          <w:rFonts w:cstheme="minorHAnsi"/>
          <w:szCs w:val="24"/>
        </w:rPr>
        <w:t xml:space="preserve">patients </w:t>
      </w:r>
      <w:r w:rsidR="00F16EFC">
        <w:rPr>
          <w:rFonts w:cstheme="minorHAnsi"/>
          <w:szCs w:val="24"/>
        </w:rPr>
        <w:t>from</w:t>
      </w:r>
      <w:r w:rsidR="00D27093">
        <w:rPr>
          <w:rFonts w:cstheme="minorHAnsi"/>
          <w:szCs w:val="24"/>
        </w:rPr>
        <w:t xml:space="preserve"> </w:t>
      </w:r>
      <w:r w:rsidR="00431008">
        <w:rPr>
          <w:rFonts w:cstheme="minorHAnsi"/>
          <w:szCs w:val="24"/>
        </w:rPr>
        <w:t xml:space="preserve">areas of </w:t>
      </w:r>
      <w:r w:rsidR="00796A92">
        <w:rPr>
          <w:rFonts w:cstheme="minorHAnsi"/>
          <w:szCs w:val="24"/>
        </w:rPr>
        <w:t>greater</w:t>
      </w:r>
      <w:r w:rsidR="00431008">
        <w:rPr>
          <w:rFonts w:cstheme="minorHAnsi"/>
          <w:szCs w:val="24"/>
        </w:rPr>
        <w:t xml:space="preserve"> </w:t>
      </w:r>
      <w:r w:rsidR="000D7835">
        <w:rPr>
          <w:rFonts w:cstheme="minorHAnsi"/>
          <w:szCs w:val="24"/>
        </w:rPr>
        <w:t xml:space="preserve">socioeconomic </w:t>
      </w:r>
      <w:r w:rsidR="00431008">
        <w:rPr>
          <w:rFonts w:cstheme="minorHAnsi"/>
          <w:szCs w:val="24"/>
        </w:rPr>
        <w:t>disadvantage</w:t>
      </w:r>
      <w:r w:rsidR="00F16EFC">
        <w:rPr>
          <w:rFonts w:cstheme="minorHAnsi"/>
          <w:szCs w:val="24"/>
        </w:rPr>
        <w:t xml:space="preserve"> accessed AEP services at a higher rate than those from areas of less disadvantage</w:t>
      </w:r>
      <w:r w:rsidR="00007D1F">
        <w:rPr>
          <w:rFonts w:cstheme="minorHAnsi"/>
          <w:szCs w:val="24"/>
        </w:rPr>
        <w:t xml:space="preserve">. </w:t>
      </w:r>
      <w:r w:rsidR="00D67902">
        <w:rPr>
          <w:rFonts w:cstheme="minorHAnsi"/>
          <w:szCs w:val="24"/>
        </w:rPr>
        <w:t xml:space="preserve">Although not directly comparable to our data, which only looked at utilisation, the findings of other studies examining whether the uptake of exercise referral schemes differed according to socioeconomic disadvantage are equivocal </w:t>
      </w:r>
      <w:r w:rsidR="00E834AC">
        <w:rPr>
          <w:noProof/>
        </w:rPr>
        <w:t>(Gidlow et al., 2007; Harrison et al., 2005; Sowden et al., 2008)</w:t>
      </w:r>
      <w:r w:rsidR="00D67902">
        <w:t xml:space="preserve">. </w:t>
      </w:r>
      <w:r w:rsidR="00D67902">
        <w:rPr>
          <w:rFonts w:cstheme="minorHAnsi"/>
          <w:szCs w:val="24"/>
        </w:rPr>
        <w:t xml:space="preserve"> </w:t>
      </w:r>
      <w:r w:rsidR="00142721">
        <w:rPr>
          <w:rFonts w:cstheme="minorHAnsi"/>
          <w:szCs w:val="24"/>
        </w:rPr>
        <w:t>Given that</w:t>
      </w:r>
      <w:r w:rsidR="003E4D8A">
        <w:rPr>
          <w:rFonts w:cstheme="minorHAnsi"/>
          <w:szCs w:val="24"/>
        </w:rPr>
        <w:t xml:space="preserve"> rates of</w:t>
      </w:r>
      <w:r w:rsidR="00142721">
        <w:rPr>
          <w:rFonts w:cstheme="minorHAnsi"/>
          <w:szCs w:val="24"/>
        </w:rPr>
        <w:t xml:space="preserve"> chronic disease </w:t>
      </w:r>
      <w:r w:rsidR="003E4D8A">
        <w:rPr>
          <w:rFonts w:cstheme="minorHAnsi"/>
          <w:szCs w:val="24"/>
        </w:rPr>
        <w:t xml:space="preserve">are </w:t>
      </w:r>
      <w:r w:rsidR="000C71E8">
        <w:rPr>
          <w:rFonts w:cstheme="minorHAnsi"/>
          <w:szCs w:val="24"/>
        </w:rPr>
        <w:t xml:space="preserve">likely to be </w:t>
      </w:r>
      <w:r w:rsidR="003E4D8A">
        <w:rPr>
          <w:rFonts w:cstheme="minorHAnsi"/>
          <w:szCs w:val="24"/>
        </w:rPr>
        <w:t>higher</w:t>
      </w:r>
      <w:r w:rsidR="00142721">
        <w:rPr>
          <w:rFonts w:cstheme="minorHAnsi"/>
          <w:szCs w:val="24"/>
        </w:rPr>
        <w:t xml:space="preserve"> in areas of </w:t>
      </w:r>
      <w:r w:rsidR="00493889">
        <w:rPr>
          <w:rFonts w:cstheme="minorHAnsi"/>
          <w:szCs w:val="24"/>
        </w:rPr>
        <w:t xml:space="preserve">greater </w:t>
      </w:r>
      <w:r w:rsidR="00142721">
        <w:rPr>
          <w:rFonts w:cstheme="minorHAnsi"/>
          <w:szCs w:val="24"/>
        </w:rPr>
        <w:t xml:space="preserve">disadvantage </w:t>
      </w:r>
      <w:r w:rsidR="00E834AC">
        <w:rPr>
          <w:rFonts w:cstheme="minorHAnsi"/>
          <w:noProof/>
          <w:szCs w:val="24"/>
        </w:rPr>
        <w:t>(Australian Institute of Health and Welfare, 2011)</w:t>
      </w:r>
      <w:r w:rsidR="00142721">
        <w:rPr>
          <w:rFonts w:cstheme="minorHAnsi"/>
          <w:szCs w:val="24"/>
        </w:rPr>
        <w:t xml:space="preserve"> and levels of physical activity </w:t>
      </w:r>
      <w:r w:rsidR="000C71E8">
        <w:rPr>
          <w:rFonts w:cstheme="minorHAnsi"/>
          <w:szCs w:val="24"/>
        </w:rPr>
        <w:t xml:space="preserve">often </w:t>
      </w:r>
      <w:r w:rsidR="00142721">
        <w:rPr>
          <w:rFonts w:cstheme="minorHAnsi"/>
          <w:szCs w:val="24"/>
        </w:rPr>
        <w:t xml:space="preserve">lower </w:t>
      </w:r>
      <w:r w:rsidR="00BF5171">
        <w:rPr>
          <w:rFonts w:cstheme="minorHAnsi"/>
          <w:noProof/>
          <w:szCs w:val="24"/>
        </w:rPr>
        <w:t>(Australian Institute of Health and Welfare, 2014a; J. A. Bennie et al., 2016a)</w:t>
      </w:r>
      <w:r w:rsidR="00142721">
        <w:rPr>
          <w:rFonts w:cstheme="minorHAnsi"/>
          <w:szCs w:val="24"/>
        </w:rPr>
        <w:t xml:space="preserve">, </w:t>
      </w:r>
      <w:r w:rsidR="00BE6891">
        <w:rPr>
          <w:rFonts w:cstheme="minorHAnsi"/>
          <w:szCs w:val="24"/>
        </w:rPr>
        <w:t xml:space="preserve">our </w:t>
      </w:r>
      <w:r w:rsidR="00142721">
        <w:rPr>
          <w:rFonts w:cstheme="minorHAnsi"/>
          <w:szCs w:val="24"/>
        </w:rPr>
        <w:t>finding</w:t>
      </w:r>
      <w:r w:rsidR="00BE6891">
        <w:rPr>
          <w:rFonts w:cstheme="minorHAnsi"/>
          <w:szCs w:val="24"/>
        </w:rPr>
        <w:t>s</w:t>
      </w:r>
      <w:r w:rsidR="00142721">
        <w:rPr>
          <w:rFonts w:cstheme="minorHAnsi"/>
          <w:szCs w:val="24"/>
        </w:rPr>
        <w:t xml:space="preserve"> </w:t>
      </w:r>
      <w:r w:rsidR="00535C46">
        <w:rPr>
          <w:rFonts w:cstheme="minorHAnsi"/>
          <w:szCs w:val="24"/>
        </w:rPr>
        <w:t xml:space="preserve">suggest </w:t>
      </w:r>
      <w:r w:rsidR="002B7CFA">
        <w:rPr>
          <w:rFonts w:cstheme="minorHAnsi"/>
          <w:szCs w:val="24"/>
        </w:rPr>
        <w:t xml:space="preserve">that AEP services are </w:t>
      </w:r>
      <w:r w:rsidR="00535C46">
        <w:rPr>
          <w:rFonts w:cstheme="minorHAnsi"/>
          <w:szCs w:val="24"/>
        </w:rPr>
        <w:t xml:space="preserve">theoretically </w:t>
      </w:r>
      <w:r w:rsidR="00142721">
        <w:rPr>
          <w:rFonts w:cstheme="minorHAnsi"/>
          <w:szCs w:val="24"/>
        </w:rPr>
        <w:t xml:space="preserve">reaching those who need </w:t>
      </w:r>
      <w:r w:rsidR="002B7CFA">
        <w:rPr>
          <w:rFonts w:cstheme="minorHAnsi"/>
          <w:szCs w:val="24"/>
        </w:rPr>
        <w:t>them</w:t>
      </w:r>
      <w:r w:rsidR="00142721">
        <w:rPr>
          <w:rFonts w:cstheme="minorHAnsi"/>
          <w:szCs w:val="24"/>
        </w:rPr>
        <w:t xml:space="preserve"> the most. </w:t>
      </w:r>
      <w:r w:rsidR="00C950D5">
        <w:rPr>
          <w:rFonts w:cstheme="minorHAnsi"/>
          <w:szCs w:val="24"/>
        </w:rPr>
        <w:t xml:space="preserve"> </w:t>
      </w:r>
    </w:p>
    <w:p w14:paraId="7C130873" w14:textId="77777777" w:rsidR="00BE6891" w:rsidRDefault="00BE6891" w:rsidP="00D67902">
      <w:pPr>
        <w:rPr>
          <w:rFonts w:cstheme="minorHAnsi"/>
          <w:szCs w:val="24"/>
        </w:rPr>
      </w:pPr>
    </w:p>
    <w:p w14:paraId="2420CD1B" w14:textId="2C0300AB" w:rsidR="00BE6891" w:rsidRDefault="00334412" w:rsidP="00BE6891">
      <w:pPr>
        <w:rPr>
          <w:rFonts w:cstheme="minorHAnsi"/>
          <w:szCs w:val="24"/>
        </w:rPr>
      </w:pPr>
      <w:r>
        <w:rPr>
          <w:rFonts w:cstheme="minorHAnsi"/>
          <w:szCs w:val="24"/>
        </w:rPr>
        <w:t>We conducted exploratory post hoc analyses to further examine the association between utilisation of AEP services, level of chronic disease and socioeconomic disadvantage. After controlling</w:t>
      </w:r>
      <w:r w:rsidR="008925F3">
        <w:rPr>
          <w:rFonts w:cstheme="minorHAnsi"/>
          <w:szCs w:val="24"/>
        </w:rPr>
        <w:t xml:space="preserve"> for</w:t>
      </w:r>
      <w:r w:rsidR="008F6EC3">
        <w:rPr>
          <w:rFonts w:cstheme="minorHAnsi"/>
          <w:szCs w:val="24"/>
        </w:rPr>
        <w:t xml:space="preserve"> the</w:t>
      </w:r>
      <w:r w:rsidR="008925F3">
        <w:rPr>
          <w:rFonts w:cstheme="minorHAnsi"/>
          <w:szCs w:val="24"/>
        </w:rPr>
        <w:t xml:space="preserve"> number of</w:t>
      </w:r>
      <w:r>
        <w:rPr>
          <w:rFonts w:cstheme="minorHAnsi"/>
          <w:szCs w:val="24"/>
        </w:rPr>
        <w:t xml:space="preserve"> team care arrangements and GP management plans, the association b</w:t>
      </w:r>
      <w:r w:rsidR="008925F3">
        <w:rPr>
          <w:rFonts w:cstheme="minorHAnsi"/>
          <w:szCs w:val="24"/>
        </w:rPr>
        <w:t>etween</w:t>
      </w:r>
      <w:r>
        <w:rPr>
          <w:rFonts w:cstheme="minorHAnsi"/>
          <w:szCs w:val="24"/>
        </w:rPr>
        <w:t xml:space="preserve"> </w:t>
      </w:r>
      <w:r w:rsidR="008925F3">
        <w:rPr>
          <w:rFonts w:cstheme="minorHAnsi"/>
          <w:szCs w:val="24"/>
        </w:rPr>
        <w:t xml:space="preserve">the number of patients/1000 population who utilised </w:t>
      </w:r>
      <w:r>
        <w:rPr>
          <w:rFonts w:cstheme="minorHAnsi"/>
          <w:szCs w:val="24"/>
        </w:rPr>
        <w:t>AEP services and socioeconomic disadvantage was no longer significant</w:t>
      </w:r>
      <w:r w:rsidR="00B537CF">
        <w:rPr>
          <w:rFonts w:cstheme="minorHAnsi"/>
          <w:szCs w:val="24"/>
        </w:rPr>
        <w:t xml:space="preserve"> (p = 0.43)</w:t>
      </w:r>
      <w:r w:rsidR="00D67902">
        <w:rPr>
          <w:rFonts w:cstheme="minorHAnsi"/>
          <w:szCs w:val="24"/>
        </w:rPr>
        <w:t>. Thus, the higher</w:t>
      </w:r>
      <w:r>
        <w:rPr>
          <w:rFonts w:cstheme="minorHAnsi"/>
          <w:szCs w:val="24"/>
        </w:rPr>
        <w:t xml:space="preserve"> rates of chronic disease in socioeconomically disadvantaged areas </w:t>
      </w:r>
      <w:r w:rsidR="008925F3">
        <w:rPr>
          <w:rFonts w:cstheme="minorHAnsi"/>
          <w:szCs w:val="24"/>
        </w:rPr>
        <w:t xml:space="preserve">are likely to </w:t>
      </w:r>
      <w:r>
        <w:rPr>
          <w:rFonts w:cstheme="minorHAnsi"/>
          <w:szCs w:val="24"/>
        </w:rPr>
        <w:t xml:space="preserve">explain </w:t>
      </w:r>
      <w:r w:rsidR="00D67902">
        <w:rPr>
          <w:rFonts w:cstheme="minorHAnsi"/>
          <w:szCs w:val="24"/>
        </w:rPr>
        <w:t xml:space="preserve">the higher </w:t>
      </w:r>
      <w:r w:rsidR="00D67902">
        <w:rPr>
          <w:rFonts w:cstheme="minorHAnsi"/>
          <w:szCs w:val="24"/>
        </w:rPr>
        <w:lastRenderedPageBreak/>
        <w:t>utilisation of AEP services</w:t>
      </w:r>
      <w:r w:rsidR="008925F3">
        <w:rPr>
          <w:rFonts w:cstheme="minorHAnsi"/>
          <w:szCs w:val="24"/>
        </w:rPr>
        <w:t xml:space="preserve"> in these areas</w:t>
      </w:r>
      <w:r w:rsidR="00D67902">
        <w:rPr>
          <w:rFonts w:cstheme="minorHAnsi"/>
          <w:szCs w:val="24"/>
        </w:rPr>
        <w:t>.</w:t>
      </w:r>
      <w:r>
        <w:rPr>
          <w:rFonts w:cstheme="minorHAnsi"/>
          <w:szCs w:val="24"/>
        </w:rPr>
        <w:t xml:space="preserve"> </w:t>
      </w:r>
      <w:r w:rsidR="00BE6891">
        <w:rPr>
          <w:rFonts w:cstheme="minorHAnsi"/>
          <w:szCs w:val="24"/>
        </w:rPr>
        <w:t xml:space="preserve">Another factor that might explain the higher utilisation of AEP services in disadvantaged areas is the </w:t>
      </w:r>
      <w:r w:rsidR="00BE6891">
        <w:t xml:space="preserve">higher need for supports for physical activity in these areas due to the low availability and poor quality of spaces and facilities that support participation in physical activity </w:t>
      </w:r>
      <w:r w:rsidR="00BF5171">
        <w:rPr>
          <w:noProof/>
        </w:rPr>
        <w:t>(Crawford et al., 2008; Hanson et al., 2016b; Powell et al., 2006)</w:t>
      </w:r>
      <w:r w:rsidR="00BE6891">
        <w:t xml:space="preserve">. </w:t>
      </w:r>
      <w:r w:rsidR="008F6EC3">
        <w:t>Nevertheless, o</w:t>
      </w:r>
      <w:r w:rsidR="00BE6891">
        <w:rPr>
          <w:rFonts w:cstheme="minorHAnsi"/>
          <w:szCs w:val="24"/>
        </w:rPr>
        <w:t xml:space="preserve">ur findings provide an indication that, when referred by a GP, </w:t>
      </w:r>
      <w:r w:rsidR="008F6EC3">
        <w:rPr>
          <w:rFonts w:cstheme="minorHAnsi"/>
          <w:szCs w:val="24"/>
        </w:rPr>
        <w:t>utilising</w:t>
      </w:r>
      <w:r w:rsidR="00BE6891">
        <w:rPr>
          <w:rFonts w:cstheme="minorHAnsi"/>
          <w:szCs w:val="24"/>
        </w:rPr>
        <w:t xml:space="preserve"> AEP services is acceptable to people living in socioeconomically disadvantaged areas.</w:t>
      </w:r>
      <w:r w:rsidR="00BE6891" w:rsidRPr="00D67902">
        <w:rPr>
          <w:rFonts w:cstheme="minorHAnsi"/>
          <w:szCs w:val="24"/>
        </w:rPr>
        <w:t xml:space="preserve"> </w:t>
      </w:r>
      <w:r w:rsidR="00BE6891">
        <w:rPr>
          <w:rFonts w:cstheme="minorHAnsi"/>
          <w:szCs w:val="24"/>
        </w:rPr>
        <w:t xml:space="preserve">This </w:t>
      </w:r>
      <w:r w:rsidR="008F6EC3">
        <w:rPr>
          <w:rFonts w:cstheme="minorHAnsi"/>
          <w:szCs w:val="24"/>
        </w:rPr>
        <w:t>finding is</w:t>
      </w:r>
      <w:r w:rsidR="00BE6891">
        <w:rPr>
          <w:rFonts w:cstheme="minorHAnsi"/>
          <w:szCs w:val="24"/>
        </w:rPr>
        <w:t xml:space="preserve"> consistent with other studies of disadvantaged communities, which emphasise the important role of health care professionals in the promotion of physical activity </w:t>
      </w:r>
      <w:r w:rsidR="00BF5171">
        <w:rPr>
          <w:rFonts w:cstheme="minorHAnsi"/>
          <w:noProof/>
          <w:szCs w:val="24"/>
        </w:rPr>
        <w:t>(Hanson et al., 2016a)</w:t>
      </w:r>
      <w:r w:rsidR="00BE6891">
        <w:rPr>
          <w:rFonts w:cstheme="minorHAnsi"/>
          <w:szCs w:val="24"/>
        </w:rPr>
        <w:t>.</w:t>
      </w:r>
    </w:p>
    <w:p w14:paraId="4CDB541A" w14:textId="77777777" w:rsidR="00D67902" w:rsidRDefault="00D67902" w:rsidP="00C950D5">
      <w:pPr>
        <w:rPr>
          <w:rFonts w:cstheme="minorHAnsi"/>
          <w:szCs w:val="24"/>
        </w:rPr>
      </w:pPr>
    </w:p>
    <w:p w14:paraId="31EFD25D" w14:textId="620203E4" w:rsidR="00AB4608" w:rsidRDefault="00AB4608" w:rsidP="003D43D1"/>
    <w:p w14:paraId="5124DA03" w14:textId="086A17B0" w:rsidR="00834000" w:rsidRDefault="00391987" w:rsidP="00AF51B0">
      <w:pPr>
        <w:rPr>
          <w:rFonts w:cstheme="minorHAnsi"/>
          <w:szCs w:val="24"/>
        </w:rPr>
      </w:pPr>
      <w:r>
        <w:rPr>
          <w:rFonts w:cstheme="minorHAnsi"/>
          <w:szCs w:val="24"/>
        </w:rPr>
        <w:t xml:space="preserve">There were more patients per </w:t>
      </w:r>
      <w:r w:rsidR="005D176C">
        <w:rPr>
          <w:rFonts w:cstheme="minorHAnsi"/>
          <w:szCs w:val="24"/>
        </w:rPr>
        <w:t xml:space="preserve">AEP </w:t>
      </w:r>
      <w:r>
        <w:rPr>
          <w:rFonts w:cstheme="minorHAnsi"/>
          <w:szCs w:val="24"/>
        </w:rPr>
        <w:t>provider in areas of greater socioeconomic disadvantage and</w:t>
      </w:r>
      <w:r w:rsidR="00FF32E2">
        <w:rPr>
          <w:rFonts w:cstheme="minorHAnsi"/>
          <w:szCs w:val="24"/>
        </w:rPr>
        <w:t xml:space="preserve"> </w:t>
      </w:r>
      <w:r>
        <w:rPr>
          <w:rFonts w:cstheme="minorHAnsi"/>
          <w:szCs w:val="24"/>
        </w:rPr>
        <w:t>thus</w:t>
      </w:r>
      <w:r w:rsidR="00304872">
        <w:rPr>
          <w:rFonts w:cstheme="minorHAnsi"/>
          <w:szCs w:val="24"/>
        </w:rPr>
        <w:t xml:space="preserve"> </w:t>
      </w:r>
      <w:r w:rsidR="00493889">
        <w:rPr>
          <w:rFonts w:cstheme="minorHAnsi"/>
          <w:szCs w:val="24"/>
        </w:rPr>
        <w:t>AEPs</w:t>
      </w:r>
      <w:r w:rsidR="006478BE">
        <w:rPr>
          <w:rFonts w:cstheme="minorHAnsi"/>
          <w:szCs w:val="24"/>
        </w:rPr>
        <w:t xml:space="preserve"> </w:t>
      </w:r>
      <w:r w:rsidR="000D7835">
        <w:rPr>
          <w:rFonts w:cstheme="minorHAnsi"/>
          <w:szCs w:val="24"/>
        </w:rPr>
        <w:t xml:space="preserve">located </w:t>
      </w:r>
      <w:r w:rsidR="000C71E8">
        <w:rPr>
          <w:rFonts w:cstheme="minorHAnsi"/>
          <w:szCs w:val="24"/>
        </w:rPr>
        <w:t xml:space="preserve">in </w:t>
      </w:r>
      <w:r>
        <w:rPr>
          <w:rFonts w:cstheme="minorHAnsi"/>
          <w:szCs w:val="24"/>
        </w:rPr>
        <w:t>these</w:t>
      </w:r>
      <w:r w:rsidR="00AF51B0">
        <w:rPr>
          <w:rFonts w:cstheme="minorHAnsi"/>
          <w:szCs w:val="24"/>
        </w:rPr>
        <w:t xml:space="preserve"> areas</w:t>
      </w:r>
      <w:r w:rsidR="00304872" w:rsidRPr="00304872">
        <w:rPr>
          <w:rFonts w:cstheme="minorHAnsi"/>
          <w:szCs w:val="24"/>
        </w:rPr>
        <w:t xml:space="preserve"> </w:t>
      </w:r>
      <w:r w:rsidR="00304872">
        <w:rPr>
          <w:rFonts w:cstheme="minorHAnsi"/>
          <w:szCs w:val="24"/>
        </w:rPr>
        <w:t xml:space="preserve">had higher caseloads </w:t>
      </w:r>
      <w:r w:rsidR="006478BE">
        <w:rPr>
          <w:rFonts w:cstheme="minorHAnsi"/>
          <w:szCs w:val="24"/>
        </w:rPr>
        <w:t>compared to</w:t>
      </w:r>
      <w:r w:rsidR="00AF51B0">
        <w:rPr>
          <w:rFonts w:cstheme="minorHAnsi"/>
          <w:szCs w:val="24"/>
        </w:rPr>
        <w:t xml:space="preserve"> those in more </w:t>
      </w:r>
      <w:r w:rsidR="00493889">
        <w:rPr>
          <w:rFonts w:cstheme="minorHAnsi"/>
          <w:szCs w:val="24"/>
        </w:rPr>
        <w:t>affluent</w:t>
      </w:r>
      <w:r w:rsidR="00AF51B0">
        <w:rPr>
          <w:rFonts w:cstheme="minorHAnsi"/>
          <w:szCs w:val="24"/>
        </w:rPr>
        <w:t xml:space="preserve"> areas</w:t>
      </w:r>
      <w:r w:rsidR="000D7835">
        <w:rPr>
          <w:rFonts w:cstheme="minorHAnsi"/>
          <w:szCs w:val="24"/>
        </w:rPr>
        <w:t xml:space="preserve">. </w:t>
      </w:r>
      <w:r w:rsidR="00121EAF">
        <w:rPr>
          <w:rFonts w:cstheme="minorHAnsi"/>
          <w:szCs w:val="24"/>
        </w:rPr>
        <w:t xml:space="preserve">This is likely a result of higher demand for AEP services in socioeconomically disadvantaged areas, due to </w:t>
      </w:r>
      <w:r w:rsidR="00FF32E2">
        <w:rPr>
          <w:rFonts w:cstheme="minorHAnsi"/>
          <w:szCs w:val="24"/>
        </w:rPr>
        <w:t>higher</w:t>
      </w:r>
      <w:r w:rsidR="00121EAF">
        <w:rPr>
          <w:rFonts w:cstheme="minorHAnsi"/>
          <w:szCs w:val="24"/>
        </w:rPr>
        <w:t xml:space="preserve"> rates of chronic disease</w:t>
      </w:r>
      <w:r w:rsidR="00E834AC">
        <w:rPr>
          <w:rFonts w:cstheme="minorHAnsi"/>
          <w:noProof/>
          <w:szCs w:val="24"/>
        </w:rPr>
        <w:t>(Australian Institute of Health and Welfare, 2011)</w:t>
      </w:r>
      <w:r w:rsidR="00A44C34">
        <w:rPr>
          <w:rFonts w:cstheme="minorHAnsi"/>
          <w:szCs w:val="24"/>
        </w:rPr>
        <w:t xml:space="preserve"> and a lower proportion of providers </w:t>
      </w:r>
      <w:r w:rsidR="00FF32E2">
        <w:rPr>
          <w:rFonts w:cstheme="minorHAnsi"/>
          <w:szCs w:val="24"/>
        </w:rPr>
        <w:t>per</w:t>
      </w:r>
      <w:r w:rsidR="00121EAF">
        <w:rPr>
          <w:rFonts w:cstheme="minorHAnsi"/>
          <w:szCs w:val="24"/>
        </w:rPr>
        <w:t xml:space="preserve"> capita. </w:t>
      </w:r>
      <w:r w:rsidR="000D7835">
        <w:rPr>
          <w:rFonts w:cstheme="minorHAnsi"/>
          <w:szCs w:val="24"/>
        </w:rPr>
        <w:t>Similarly, in relation to provision of physical activity-related services, a</w:t>
      </w:r>
      <w:r w:rsidR="00AF51B0">
        <w:rPr>
          <w:rFonts w:cstheme="minorHAnsi"/>
          <w:szCs w:val="24"/>
        </w:rPr>
        <w:t xml:space="preserve"> recent study by Bennie et al</w:t>
      </w:r>
      <w:r w:rsidR="00F778DB">
        <w:rPr>
          <w:rFonts w:cstheme="minorHAnsi"/>
          <w:szCs w:val="24"/>
        </w:rPr>
        <w:t xml:space="preserve"> </w:t>
      </w:r>
      <w:r w:rsidR="00BF5171">
        <w:rPr>
          <w:rFonts w:cstheme="minorHAnsi"/>
          <w:noProof/>
          <w:szCs w:val="24"/>
        </w:rPr>
        <w:t>(Jason A. Bennie et al., 2016b)</w:t>
      </w:r>
      <w:r w:rsidR="00AF51B0">
        <w:rPr>
          <w:rFonts w:cstheme="minorHAnsi"/>
          <w:szCs w:val="24"/>
        </w:rPr>
        <w:t xml:space="preserve"> found that </w:t>
      </w:r>
      <w:r w:rsidR="00F778DB">
        <w:rPr>
          <w:rFonts w:cstheme="minorHAnsi"/>
          <w:szCs w:val="24"/>
        </w:rPr>
        <w:t xml:space="preserve">both </w:t>
      </w:r>
      <w:r w:rsidR="00AF51B0">
        <w:rPr>
          <w:rFonts w:cstheme="minorHAnsi"/>
          <w:szCs w:val="24"/>
        </w:rPr>
        <w:t>f</w:t>
      </w:r>
      <w:r w:rsidR="00AF51B0" w:rsidRPr="00AF51B0">
        <w:rPr>
          <w:rFonts w:cstheme="minorHAnsi"/>
          <w:szCs w:val="24"/>
        </w:rPr>
        <w:t xml:space="preserve">ewer </w:t>
      </w:r>
      <w:r w:rsidR="00535C46">
        <w:rPr>
          <w:rFonts w:cstheme="minorHAnsi"/>
          <w:szCs w:val="24"/>
        </w:rPr>
        <w:t>and lower</w:t>
      </w:r>
      <w:r w:rsidR="00F778DB">
        <w:rPr>
          <w:rFonts w:cstheme="minorHAnsi"/>
          <w:szCs w:val="24"/>
        </w:rPr>
        <w:t>-</w:t>
      </w:r>
      <w:r w:rsidR="00535C46">
        <w:rPr>
          <w:rFonts w:cstheme="minorHAnsi"/>
          <w:szCs w:val="24"/>
        </w:rPr>
        <w:t xml:space="preserve">educated </w:t>
      </w:r>
      <w:r w:rsidR="00AF51B0" w:rsidRPr="00AF51B0">
        <w:rPr>
          <w:rFonts w:cstheme="minorHAnsi"/>
          <w:szCs w:val="24"/>
        </w:rPr>
        <w:t xml:space="preserve">Australian fitness trainers </w:t>
      </w:r>
      <w:r w:rsidR="008255A5">
        <w:rPr>
          <w:rFonts w:cstheme="minorHAnsi"/>
          <w:szCs w:val="24"/>
        </w:rPr>
        <w:t xml:space="preserve">(e.g. personal trainers, group instructors) </w:t>
      </w:r>
      <w:r w:rsidR="00AF51B0" w:rsidRPr="00AF51B0">
        <w:rPr>
          <w:rFonts w:cstheme="minorHAnsi"/>
          <w:szCs w:val="24"/>
        </w:rPr>
        <w:t>work</w:t>
      </w:r>
      <w:r w:rsidR="00AF51B0">
        <w:rPr>
          <w:rFonts w:cstheme="minorHAnsi"/>
          <w:szCs w:val="24"/>
        </w:rPr>
        <w:t>ed</w:t>
      </w:r>
      <w:r w:rsidR="00AF51B0" w:rsidRPr="00AF51B0">
        <w:rPr>
          <w:rFonts w:cstheme="minorHAnsi"/>
          <w:szCs w:val="24"/>
        </w:rPr>
        <w:t xml:space="preserve"> in areas </w:t>
      </w:r>
      <w:r w:rsidR="00AF51B0">
        <w:rPr>
          <w:rFonts w:cstheme="minorHAnsi"/>
          <w:szCs w:val="24"/>
        </w:rPr>
        <w:t xml:space="preserve">of </w:t>
      </w:r>
      <w:r w:rsidR="00FE56EC">
        <w:rPr>
          <w:rFonts w:cstheme="minorHAnsi"/>
          <w:szCs w:val="24"/>
        </w:rPr>
        <w:t xml:space="preserve">greater </w:t>
      </w:r>
      <w:r w:rsidR="00B0764B">
        <w:rPr>
          <w:rFonts w:cstheme="minorHAnsi"/>
          <w:szCs w:val="24"/>
        </w:rPr>
        <w:t>socioeconomic disadvantage</w:t>
      </w:r>
      <w:r w:rsidR="00EE0D3A">
        <w:rPr>
          <w:rFonts w:cstheme="minorHAnsi"/>
          <w:szCs w:val="24"/>
        </w:rPr>
        <w:t>, compared to</w:t>
      </w:r>
      <w:r w:rsidR="00AF51B0" w:rsidRPr="00AF51B0">
        <w:rPr>
          <w:rFonts w:cstheme="minorHAnsi"/>
          <w:szCs w:val="24"/>
        </w:rPr>
        <w:t xml:space="preserve"> areas with low levels of disadvantage.</w:t>
      </w:r>
      <w:r w:rsidR="000D7835" w:rsidRPr="000D7835">
        <w:rPr>
          <w:rFonts w:cstheme="minorHAnsi"/>
          <w:szCs w:val="24"/>
        </w:rPr>
        <w:t xml:space="preserve"> </w:t>
      </w:r>
      <w:r w:rsidR="00B114D6">
        <w:rPr>
          <w:rFonts w:cstheme="minorHAnsi"/>
          <w:szCs w:val="24"/>
        </w:rPr>
        <w:t xml:space="preserve">Moreover, </w:t>
      </w:r>
      <w:r w:rsidR="009975F4">
        <w:rPr>
          <w:rFonts w:cstheme="minorHAnsi"/>
          <w:szCs w:val="24"/>
        </w:rPr>
        <w:t xml:space="preserve">studies of other health </w:t>
      </w:r>
      <w:r w:rsidR="007D43F0">
        <w:rPr>
          <w:rFonts w:cstheme="minorHAnsi"/>
          <w:szCs w:val="24"/>
        </w:rPr>
        <w:t xml:space="preserve">care professionals </w:t>
      </w:r>
      <w:r w:rsidR="009975F4">
        <w:rPr>
          <w:rFonts w:cstheme="minorHAnsi"/>
          <w:szCs w:val="24"/>
        </w:rPr>
        <w:t>s</w:t>
      </w:r>
      <w:r w:rsidR="008255A5">
        <w:rPr>
          <w:rFonts w:cstheme="minorHAnsi"/>
          <w:szCs w:val="24"/>
        </w:rPr>
        <w:t xml:space="preserve">, such as </w:t>
      </w:r>
      <w:r w:rsidR="007D43F0">
        <w:rPr>
          <w:rFonts w:cstheme="minorHAnsi"/>
          <w:szCs w:val="24"/>
        </w:rPr>
        <w:t>GPs</w:t>
      </w:r>
      <w:r w:rsidR="008255A5">
        <w:rPr>
          <w:rFonts w:cstheme="minorHAnsi"/>
          <w:szCs w:val="24"/>
        </w:rPr>
        <w:t xml:space="preserve">, </w:t>
      </w:r>
      <w:r w:rsidR="005024C3">
        <w:rPr>
          <w:rFonts w:cstheme="minorHAnsi"/>
          <w:szCs w:val="24"/>
        </w:rPr>
        <w:t xml:space="preserve">show </w:t>
      </w:r>
      <w:r w:rsidR="000D7835">
        <w:rPr>
          <w:rFonts w:cstheme="minorHAnsi"/>
          <w:szCs w:val="24"/>
        </w:rPr>
        <w:t>that</w:t>
      </w:r>
      <w:r w:rsidR="000D7835" w:rsidRPr="00AF51B0">
        <w:rPr>
          <w:rFonts w:cstheme="minorHAnsi"/>
          <w:szCs w:val="24"/>
        </w:rPr>
        <w:t xml:space="preserve"> providers in </w:t>
      </w:r>
      <w:r w:rsidR="00FE56EC">
        <w:rPr>
          <w:rFonts w:cstheme="minorHAnsi"/>
          <w:szCs w:val="24"/>
        </w:rPr>
        <w:t xml:space="preserve">areas of greater </w:t>
      </w:r>
      <w:r w:rsidR="0026466B">
        <w:rPr>
          <w:rFonts w:cstheme="minorHAnsi"/>
          <w:szCs w:val="24"/>
        </w:rPr>
        <w:t>disadvantage</w:t>
      </w:r>
      <w:r w:rsidR="009975F4">
        <w:rPr>
          <w:rFonts w:cstheme="minorHAnsi"/>
          <w:szCs w:val="24"/>
        </w:rPr>
        <w:t xml:space="preserve"> have higher </w:t>
      </w:r>
      <w:r w:rsidR="00F530C6">
        <w:rPr>
          <w:rFonts w:cstheme="minorHAnsi"/>
          <w:szCs w:val="24"/>
        </w:rPr>
        <w:t>caseloads</w:t>
      </w:r>
      <w:r w:rsidR="009975F4">
        <w:rPr>
          <w:rFonts w:cstheme="minorHAnsi"/>
          <w:szCs w:val="24"/>
        </w:rPr>
        <w:t xml:space="preserve">, </w:t>
      </w:r>
      <w:r w:rsidR="000D7835">
        <w:rPr>
          <w:rFonts w:cstheme="minorHAnsi"/>
          <w:szCs w:val="24"/>
        </w:rPr>
        <w:t xml:space="preserve">which may </w:t>
      </w:r>
      <w:r w:rsidR="00F530C6">
        <w:rPr>
          <w:rFonts w:cstheme="minorHAnsi"/>
          <w:szCs w:val="24"/>
        </w:rPr>
        <w:t>indicate</w:t>
      </w:r>
      <w:r w:rsidR="000D7835" w:rsidRPr="00AF51B0">
        <w:rPr>
          <w:rFonts w:cstheme="minorHAnsi"/>
          <w:szCs w:val="24"/>
        </w:rPr>
        <w:t xml:space="preserve"> </w:t>
      </w:r>
      <w:r w:rsidR="009975F4">
        <w:rPr>
          <w:rFonts w:cstheme="minorHAnsi"/>
          <w:szCs w:val="24"/>
        </w:rPr>
        <w:t>shorter</w:t>
      </w:r>
      <w:r w:rsidR="000D7835" w:rsidRPr="00AF51B0">
        <w:rPr>
          <w:rFonts w:cstheme="minorHAnsi"/>
          <w:szCs w:val="24"/>
        </w:rPr>
        <w:t xml:space="preserve"> session times with patients</w:t>
      </w:r>
      <w:r w:rsidR="00F778DB">
        <w:rPr>
          <w:rFonts w:cstheme="minorHAnsi"/>
          <w:szCs w:val="24"/>
        </w:rPr>
        <w:t xml:space="preserve"> </w:t>
      </w:r>
      <w:r w:rsidR="00E834AC">
        <w:rPr>
          <w:rFonts w:cstheme="minorHAnsi"/>
          <w:noProof/>
          <w:szCs w:val="24"/>
        </w:rPr>
        <w:t>(Scott, 2015)</w:t>
      </w:r>
      <w:r w:rsidR="008255A5">
        <w:rPr>
          <w:rFonts w:cstheme="minorHAnsi"/>
          <w:szCs w:val="24"/>
        </w:rPr>
        <w:t>,</w:t>
      </w:r>
      <w:r w:rsidR="000D7835">
        <w:rPr>
          <w:rFonts w:cstheme="minorHAnsi"/>
          <w:szCs w:val="24"/>
        </w:rPr>
        <w:t xml:space="preserve"> and potent</w:t>
      </w:r>
      <w:r w:rsidR="006478BE">
        <w:rPr>
          <w:rFonts w:cstheme="minorHAnsi"/>
          <w:szCs w:val="24"/>
        </w:rPr>
        <w:t>ial</w:t>
      </w:r>
      <w:r w:rsidR="000D7835">
        <w:rPr>
          <w:rFonts w:cstheme="minorHAnsi"/>
          <w:szCs w:val="24"/>
        </w:rPr>
        <w:t xml:space="preserve">ly </w:t>
      </w:r>
      <w:r w:rsidR="00F530C6">
        <w:rPr>
          <w:rFonts w:cstheme="minorHAnsi"/>
          <w:szCs w:val="24"/>
        </w:rPr>
        <w:t>poorer</w:t>
      </w:r>
      <w:r w:rsidR="000D7835">
        <w:rPr>
          <w:rFonts w:cstheme="minorHAnsi"/>
          <w:szCs w:val="24"/>
        </w:rPr>
        <w:t xml:space="preserve"> </w:t>
      </w:r>
      <w:r w:rsidR="0026466B">
        <w:rPr>
          <w:rFonts w:cstheme="minorHAnsi"/>
          <w:szCs w:val="24"/>
        </w:rPr>
        <w:t xml:space="preserve">health </w:t>
      </w:r>
      <w:r w:rsidR="006478BE">
        <w:rPr>
          <w:rFonts w:cstheme="minorHAnsi"/>
          <w:szCs w:val="24"/>
        </w:rPr>
        <w:t>outcomes for patients</w:t>
      </w:r>
      <w:r w:rsidR="000D7835">
        <w:rPr>
          <w:rFonts w:cstheme="minorHAnsi"/>
          <w:szCs w:val="24"/>
        </w:rPr>
        <w:t xml:space="preserve">. </w:t>
      </w:r>
      <w:r w:rsidR="00D9516B">
        <w:rPr>
          <w:rFonts w:cstheme="minorHAnsi"/>
          <w:szCs w:val="24"/>
        </w:rPr>
        <w:t xml:space="preserve">It has been suggested that, without regulation, the supply of health care </w:t>
      </w:r>
      <w:r>
        <w:rPr>
          <w:rFonts w:cstheme="minorHAnsi"/>
          <w:szCs w:val="24"/>
        </w:rPr>
        <w:t>providers</w:t>
      </w:r>
      <w:r w:rsidR="00D9516B">
        <w:rPr>
          <w:rFonts w:cstheme="minorHAnsi"/>
          <w:szCs w:val="24"/>
        </w:rPr>
        <w:t xml:space="preserve"> is distributed to the more affluent areas, who </w:t>
      </w:r>
      <w:r w:rsidR="00266BD5">
        <w:rPr>
          <w:rFonts w:cstheme="minorHAnsi"/>
          <w:szCs w:val="24"/>
        </w:rPr>
        <w:t xml:space="preserve">tend to </w:t>
      </w:r>
      <w:r w:rsidR="00D9516B">
        <w:rPr>
          <w:rFonts w:cstheme="minorHAnsi"/>
          <w:szCs w:val="24"/>
        </w:rPr>
        <w:t xml:space="preserve">need them less. </w:t>
      </w:r>
      <w:r w:rsidR="00075979" w:rsidRPr="00075979">
        <w:rPr>
          <w:rFonts w:cstheme="minorHAnsi"/>
          <w:szCs w:val="24"/>
        </w:rPr>
        <w:t>Well-designed studies are needed</w:t>
      </w:r>
      <w:r w:rsidR="00975B17">
        <w:rPr>
          <w:rFonts w:cstheme="minorHAnsi"/>
          <w:szCs w:val="24"/>
        </w:rPr>
        <w:t xml:space="preserve"> to determine how best to entice </w:t>
      </w:r>
      <w:r>
        <w:rPr>
          <w:rFonts w:cstheme="minorHAnsi"/>
          <w:szCs w:val="24"/>
        </w:rPr>
        <w:lastRenderedPageBreak/>
        <w:t>providers</w:t>
      </w:r>
      <w:r w:rsidR="00F530C6">
        <w:rPr>
          <w:rFonts w:cstheme="minorHAnsi"/>
          <w:szCs w:val="24"/>
        </w:rPr>
        <w:t xml:space="preserve">, including </w:t>
      </w:r>
      <w:r w:rsidR="00493889">
        <w:rPr>
          <w:rFonts w:cstheme="minorHAnsi"/>
          <w:szCs w:val="24"/>
        </w:rPr>
        <w:t>AEPs</w:t>
      </w:r>
      <w:r w:rsidR="00F530C6">
        <w:rPr>
          <w:rFonts w:cstheme="minorHAnsi"/>
          <w:szCs w:val="24"/>
        </w:rPr>
        <w:t>,</w:t>
      </w:r>
      <w:r w:rsidR="00975B17">
        <w:rPr>
          <w:rFonts w:cstheme="minorHAnsi"/>
          <w:szCs w:val="24"/>
        </w:rPr>
        <w:t xml:space="preserve"> to work in </w:t>
      </w:r>
      <w:r w:rsidR="005024C3">
        <w:rPr>
          <w:rFonts w:cstheme="minorHAnsi"/>
          <w:szCs w:val="24"/>
        </w:rPr>
        <w:t xml:space="preserve">disadvantaged </w:t>
      </w:r>
      <w:r w:rsidR="00975B17">
        <w:rPr>
          <w:rFonts w:cstheme="minorHAnsi"/>
          <w:szCs w:val="24"/>
        </w:rPr>
        <w:t>areas</w:t>
      </w:r>
      <w:r>
        <w:rPr>
          <w:rFonts w:cstheme="minorHAnsi"/>
          <w:szCs w:val="24"/>
        </w:rPr>
        <w:t>, where they are needed most</w:t>
      </w:r>
      <w:r w:rsidR="00975B17">
        <w:rPr>
          <w:rFonts w:cstheme="minorHAnsi"/>
          <w:szCs w:val="24"/>
        </w:rPr>
        <w:t xml:space="preserve"> </w:t>
      </w:r>
      <w:r w:rsidR="00BF5171">
        <w:rPr>
          <w:rFonts w:cstheme="minorHAnsi"/>
          <w:noProof/>
          <w:szCs w:val="24"/>
        </w:rPr>
        <w:t>(Grobler et al., 2015)</w:t>
      </w:r>
      <w:r>
        <w:rPr>
          <w:rFonts w:cstheme="minorHAnsi"/>
          <w:szCs w:val="24"/>
        </w:rPr>
        <w:t>.</w:t>
      </w:r>
    </w:p>
    <w:p w14:paraId="4BF009DB" w14:textId="594862D7" w:rsidR="00AF51B0" w:rsidRDefault="00AF51B0" w:rsidP="00AF51B0">
      <w:pPr>
        <w:rPr>
          <w:rFonts w:cstheme="minorHAnsi"/>
          <w:szCs w:val="24"/>
        </w:rPr>
      </w:pPr>
    </w:p>
    <w:p w14:paraId="5ADA9059" w14:textId="02AEC850" w:rsidR="00834000" w:rsidRDefault="00123D9C" w:rsidP="00BE29B0">
      <w:pPr>
        <w:rPr>
          <w:rFonts w:cstheme="minorHAnsi"/>
          <w:szCs w:val="24"/>
        </w:rPr>
      </w:pPr>
      <w:r>
        <w:rPr>
          <w:rFonts w:cstheme="minorHAnsi"/>
          <w:szCs w:val="24"/>
        </w:rPr>
        <w:t>A further key finding was that w</w:t>
      </w:r>
      <w:r w:rsidR="00834000" w:rsidRPr="00F547ED">
        <w:rPr>
          <w:rFonts w:cstheme="minorHAnsi"/>
          <w:szCs w:val="24"/>
        </w:rPr>
        <w:t xml:space="preserve">e found that </w:t>
      </w:r>
      <w:r w:rsidR="00391987">
        <w:rPr>
          <w:rFonts w:cstheme="minorHAnsi"/>
          <w:szCs w:val="24"/>
        </w:rPr>
        <w:t>AEP providers</w:t>
      </w:r>
      <w:r w:rsidR="00601341">
        <w:rPr>
          <w:rFonts w:cstheme="minorHAnsi"/>
          <w:szCs w:val="24"/>
        </w:rPr>
        <w:t xml:space="preserve"> who are</w:t>
      </w:r>
      <w:r w:rsidR="00391987">
        <w:rPr>
          <w:rFonts w:cstheme="minorHAnsi"/>
          <w:szCs w:val="24"/>
        </w:rPr>
        <w:t xml:space="preserve"> </w:t>
      </w:r>
      <w:r w:rsidR="001D54B9" w:rsidRPr="00F547ED">
        <w:rPr>
          <w:rFonts w:cstheme="minorHAnsi"/>
          <w:szCs w:val="24"/>
        </w:rPr>
        <w:t xml:space="preserve">located </w:t>
      </w:r>
      <w:r w:rsidR="00834000" w:rsidRPr="00F547ED">
        <w:rPr>
          <w:rFonts w:cstheme="minorHAnsi"/>
          <w:szCs w:val="24"/>
        </w:rPr>
        <w:t xml:space="preserve">in </w:t>
      </w:r>
      <w:r w:rsidR="00493889">
        <w:rPr>
          <w:rFonts w:cstheme="minorHAnsi"/>
          <w:szCs w:val="24"/>
        </w:rPr>
        <w:t xml:space="preserve">areas of greater disadvantage </w:t>
      </w:r>
      <w:r w:rsidR="001D54B9" w:rsidRPr="00F547ED">
        <w:rPr>
          <w:rFonts w:cstheme="minorHAnsi"/>
          <w:szCs w:val="24"/>
        </w:rPr>
        <w:t>charge less for th</w:t>
      </w:r>
      <w:r w:rsidR="00834000" w:rsidRPr="00F547ED">
        <w:rPr>
          <w:rFonts w:cstheme="minorHAnsi"/>
          <w:szCs w:val="24"/>
        </w:rPr>
        <w:t>eir services</w:t>
      </w:r>
      <w:r w:rsidR="00493889">
        <w:rPr>
          <w:rFonts w:cstheme="minorHAnsi"/>
          <w:szCs w:val="24"/>
        </w:rPr>
        <w:t xml:space="preserve"> than those in more affluent areas</w:t>
      </w:r>
      <w:r w:rsidR="00391987">
        <w:rPr>
          <w:rFonts w:cstheme="minorHAnsi"/>
          <w:szCs w:val="24"/>
        </w:rPr>
        <w:t xml:space="preserve"> and t</w:t>
      </w:r>
      <w:r w:rsidR="00623F3A" w:rsidRPr="00F547ED">
        <w:rPr>
          <w:rFonts w:cstheme="minorHAnsi"/>
          <w:szCs w:val="24"/>
        </w:rPr>
        <w:t xml:space="preserve">here </w:t>
      </w:r>
      <w:r w:rsidR="00391987">
        <w:rPr>
          <w:rFonts w:cstheme="minorHAnsi"/>
          <w:szCs w:val="24"/>
        </w:rPr>
        <w:t>were</w:t>
      </w:r>
      <w:r w:rsidR="00623F3A" w:rsidRPr="00F547ED">
        <w:rPr>
          <w:rFonts w:cstheme="minorHAnsi"/>
          <w:szCs w:val="24"/>
        </w:rPr>
        <w:t xml:space="preserve"> </w:t>
      </w:r>
      <w:r w:rsidR="00B0764B" w:rsidRPr="00F547ED">
        <w:rPr>
          <w:rFonts w:cstheme="minorHAnsi"/>
          <w:szCs w:val="24"/>
        </w:rPr>
        <w:t xml:space="preserve">minimal </w:t>
      </w:r>
      <w:r w:rsidR="00623F3A" w:rsidRPr="00F547ED">
        <w:rPr>
          <w:rFonts w:cstheme="minorHAnsi"/>
          <w:szCs w:val="24"/>
        </w:rPr>
        <w:t xml:space="preserve">out of pocket expenses in </w:t>
      </w:r>
      <w:r w:rsidR="00391987">
        <w:rPr>
          <w:rFonts w:cstheme="minorHAnsi"/>
          <w:szCs w:val="24"/>
        </w:rPr>
        <w:t>areas of greatest s</w:t>
      </w:r>
      <w:r w:rsidR="00601341">
        <w:rPr>
          <w:rFonts w:cstheme="minorHAnsi"/>
          <w:szCs w:val="24"/>
        </w:rPr>
        <w:t>ocioeconomic</w:t>
      </w:r>
      <w:r w:rsidR="00811B0B" w:rsidRPr="00F547ED">
        <w:rPr>
          <w:rFonts w:cstheme="minorHAnsi"/>
          <w:szCs w:val="24"/>
        </w:rPr>
        <w:t xml:space="preserve"> </w:t>
      </w:r>
      <w:r w:rsidR="00391987">
        <w:rPr>
          <w:rFonts w:cstheme="minorHAnsi"/>
          <w:szCs w:val="24"/>
        </w:rPr>
        <w:t>disadvantage</w:t>
      </w:r>
      <w:r w:rsidR="00142721" w:rsidRPr="00F547ED">
        <w:rPr>
          <w:rFonts w:cstheme="minorHAnsi"/>
          <w:szCs w:val="24"/>
        </w:rPr>
        <w:t xml:space="preserve">. </w:t>
      </w:r>
      <w:r w:rsidR="00F8457E">
        <w:rPr>
          <w:rFonts w:cstheme="minorHAnsi"/>
          <w:szCs w:val="24"/>
        </w:rPr>
        <w:t xml:space="preserve">This suggests that </w:t>
      </w:r>
      <w:r w:rsidR="00007D1F">
        <w:rPr>
          <w:rFonts w:cstheme="minorHAnsi"/>
          <w:szCs w:val="24"/>
        </w:rPr>
        <w:t>cost is unlikely to be a barrier to accessing AEP services in areas of disadvantage. However, l</w:t>
      </w:r>
      <w:r w:rsidR="00E46447" w:rsidRPr="00F547ED">
        <w:rPr>
          <w:rFonts w:cstheme="minorHAnsi"/>
          <w:szCs w:val="24"/>
        </w:rPr>
        <w:t xml:space="preserve">ow </w:t>
      </w:r>
      <w:r w:rsidR="00493889">
        <w:rPr>
          <w:rFonts w:cstheme="minorHAnsi"/>
          <w:szCs w:val="24"/>
        </w:rPr>
        <w:t>consultation fees</w:t>
      </w:r>
      <w:r w:rsidR="00E46447" w:rsidRPr="00F547ED">
        <w:rPr>
          <w:rFonts w:cstheme="minorHAnsi"/>
          <w:szCs w:val="24"/>
        </w:rPr>
        <w:t xml:space="preserve"> and high caseloads</w:t>
      </w:r>
      <w:r w:rsidR="00007D1F">
        <w:rPr>
          <w:rFonts w:cstheme="minorHAnsi"/>
          <w:szCs w:val="24"/>
        </w:rPr>
        <w:t>,</w:t>
      </w:r>
      <w:r w:rsidR="00E46447" w:rsidRPr="00F547ED">
        <w:rPr>
          <w:rFonts w:cstheme="minorHAnsi"/>
          <w:szCs w:val="24"/>
        </w:rPr>
        <w:t xml:space="preserve"> </w:t>
      </w:r>
      <w:r w:rsidR="00493889">
        <w:rPr>
          <w:rFonts w:cstheme="minorHAnsi"/>
          <w:szCs w:val="24"/>
        </w:rPr>
        <w:t>which characterise AEP services in areas of greater disadvantage</w:t>
      </w:r>
      <w:r w:rsidR="00007D1F">
        <w:rPr>
          <w:rFonts w:cstheme="minorHAnsi"/>
          <w:szCs w:val="24"/>
        </w:rPr>
        <w:t>,</w:t>
      </w:r>
      <w:r w:rsidR="00493889">
        <w:rPr>
          <w:rFonts w:cstheme="minorHAnsi"/>
          <w:szCs w:val="24"/>
        </w:rPr>
        <w:t xml:space="preserve"> </w:t>
      </w:r>
      <w:r w:rsidR="00E46447" w:rsidRPr="00F547ED">
        <w:rPr>
          <w:rFonts w:cstheme="minorHAnsi"/>
          <w:szCs w:val="24"/>
        </w:rPr>
        <w:t xml:space="preserve">may </w:t>
      </w:r>
      <w:r w:rsidR="00F8457E">
        <w:rPr>
          <w:rFonts w:cstheme="minorHAnsi"/>
          <w:szCs w:val="24"/>
        </w:rPr>
        <w:t xml:space="preserve">translate to </w:t>
      </w:r>
      <w:r w:rsidR="00E46447" w:rsidRPr="00F547ED">
        <w:rPr>
          <w:rFonts w:cstheme="minorHAnsi"/>
          <w:szCs w:val="24"/>
        </w:rPr>
        <w:t xml:space="preserve">reduced consultation times </w:t>
      </w:r>
      <w:r w:rsidR="00E834AC">
        <w:rPr>
          <w:rFonts w:cstheme="minorHAnsi"/>
          <w:noProof/>
          <w:szCs w:val="24"/>
        </w:rPr>
        <w:t>(R. Cant &amp; Aroni, 2007)</w:t>
      </w:r>
      <w:r w:rsidR="00142721" w:rsidRPr="00F547ED">
        <w:rPr>
          <w:rFonts w:cstheme="minorHAnsi"/>
          <w:szCs w:val="24"/>
        </w:rPr>
        <w:t>, and subsequently a lower quality of care</w:t>
      </w:r>
      <w:r w:rsidR="00493889">
        <w:rPr>
          <w:rFonts w:cstheme="minorHAnsi"/>
          <w:szCs w:val="24"/>
        </w:rPr>
        <w:t xml:space="preserve"> in these areas</w:t>
      </w:r>
      <w:r w:rsidR="00142721" w:rsidRPr="00F547ED">
        <w:rPr>
          <w:rFonts w:cstheme="minorHAnsi"/>
          <w:szCs w:val="24"/>
        </w:rPr>
        <w:t xml:space="preserve">. </w:t>
      </w:r>
      <w:r w:rsidR="00493889">
        <w:rPr>
          <w:rFonts w:cstheme="minorHAnsi"/>
          <w:szCs w:val="24"/>
        </w:rPr>
        <w:t xml:space="preserve">Low consultation fees </w:t>
      </w:r>
      <w:r w:rsidR="00E46447" w:rsidRPr="00F547ED">
        <w:rPr>
          <w:rFonts w:cstheme="minorHAnsi"/>
          <w:szCs w:val="24"/>
        </w:rPr>
        <w:t xml:space="preserve">may also make practice unsustainable for </w:t>
      </w:r>
      <w:r w:rsidR="00493889">
        <w:rPr>
          <w:rFonts w:cstheme="minorHAnsi"/>
          <w:szCs w:val="24"/>
        </w:rPr>
        <w:t xml:space="preserve">AEPs </w:t>
      </w:r>
      <w:r w:rsidR="00E834AC">
        <w:rPr>
          <w:rFonts w:cstheme="minorHAnsi"/>
          <w:noProof/>
          <w:szCs w:val="24"/>
        </w:rPr>
        <w:t>(R. P. Cant, 2010)</w:t>
      </w:r>
      <w:r w:rsidR="00E46447" w:rsidRPr="00F547ED">
        <w:rPr>
          <w:rFonts w:cstheme="minorHAnsi"/>
          <w:szCs w:val="24"/>
        </w:rPr>
        <w:t xml:space="preserve"> </w:t>
      </w:r>
      <w:r w:rsidR="00714018" w:rsidRPr="00F547ED">
        <w:rPr>
          <w:rFonts w:cstheme="minorHAnsi"/>
          <w:szCs w:val="24"/>
        </w:rPr>
        <w:t>and encourage them to locate in more affluent areas where people have the means to make co-payments for services.</w:t>
      </w:r>
    </w:p>
    <w:p w14:paraId="6E65E987" w14:textId="4CD15837" w:rsidR="004B0B58" w:rsidRDefault="004B0B58" w:rsidP="00BE29B0">
      <w:pPr>
        <w:rPr>
          <w:rFonts w:cstheme="minorHAnsi"/>
          <w:szCs w:val="24"/>
        </w:rPr>
      </w:pPr>
    </w:p>
    <w:p w14:paraId="0A4C1E21" w14:textId="381F71BA" w:rsidR="004F2883" w:rsidRDefault="00501D1C" w:rsidP="004F2883">
      <w:pPr>
        <w:rPr>
          <w:rFonts w:cstheme="minorHAnsi"/>
          <w:szCs w:val="24"/>
        </w:rPr>
      </w:pPr>
      <w:r>
        <w:rPr>
          <w:rFonts w:cstheme="minorHAnsi"/>
          <w:szCs w:val="24"/>
        </w:rPr>
        <w:t xml:space="preserve">The average number of </w:t>
      </w:r>
      <w:r w:rsidR="00A5221B">
        <w:rPr>
          <w:rFonts w:cstheme="minorHAnsi"/>
          <w:szCs w:val="24"/>
        </w:rPr>
        <w:t xml:space="preserve">AEP services </w:t>
      </w:r>
      <w:r w:rsidR="00007D1F">
        <w:rPr>
          <w:rFonts w:cstheme="minorHAnsi"/>
          <w:szCs w:val="24"/>
        </w:rPr>
        <w:t xml:space="preserve">per patient </w:t>
      </w:r>
      <w:r w:rsidR="00A5221B">
        <w:rPr>
          <w:rFonts w:cstheme="minorHAnsi"/>
          <w:szCs w:val="24"/>
        </w:rPr>
        <w:t>wa</w:t>
      </w:r>
      <w:r w:rsidR="00F530C6">
        <w:rPr>
          <w:rFonts w:cstheme="minorHAnsi"/>
          <w:szCs w:val="24"/>
        </w:rPr>
        <w:t>s lower in areas of</w:t>
      </w:r>
      <w:r w:rsidR="00947BF0">
        <w:rPr>
          <w:rFonts w:cstheme="minorHAnsi"/>
          <w:szCs w:val="24"/>
        </w:rPr>
        <w:t xml:space="preserve"> greater</w:t>
      </w:r>
      <w:r w:rsidR="00F530C6">
        <w:rPr>
          <w:rFonts w:cstheme="minorHAnsi"/>
          <w:szCs w:val="24"/>
        </w:rPr>
        <w:t xml:space="preserve"> d</w:t>
      </w:r>
      <w:r>
        <w:rPr>
          <w:rFonts w:cstheme="minorHAnsi"/>
          <w:szCs w:val="24"/>
        </w:rPr>
        <w:t>isadvantage</w:t>
      </w:r>
      <w:r w:rsidR="00F530C6">
        <w:rPr>
          <w:rFonts w:cstheme="minorHAnsi"/>
          <w:szCs w:val="24"/>
        </w:rPr>
        <w:t>.</w:t>
      </w:r>
      <w:r>
        <w:rPr>
          <w:rFonts w:cstheme="minorHAnsi"/>
          <w:szCs w:val="24"/>
        </w:rPr>
        <w:t xml:space="preserve"> </w:t>
      </w:r>
      <w:r w:rsidR="0023584B">
        <w:rPr>
          <w:rFonts w:cstheme="minorHAnsi"/>
          <w:szCs w:val="24"/>
        </w:rPr>
        <w:t>With the context of the present study, w</w:t>
      </w:r>
      <w:r w:rsidR="001D54B9">
        <w:rPr>
          <w:rFonts w:cstheme="minorHAnsi"/>
          <w:szCs w:val="24"/>
        </w:rPr>
        <w:t xml:space="preserve">e can only speculate as to why </w:t>
      </w:r>
      <w:r w:rsidR="00A5221B">
        <w:rPr>
          <w:rFonts w:cstheme="minorHAnsi"/>
          <w:szCs w:val="24"/>
        </w:rPr>
        <w:t>this is the case</w:t>
      </w:r>
      <w:r w:rsidR="00007D1F">
        <w:rPr>
          <w:rFonts w:cstheme="minorHAnsi"/>
          <w:szCs w:val="24"/>
        </w:rPr>
        <w:t>.</w:t>
      </w:r>
      <w:r w:rsidR="00F530C6">
        <w:rPr>
          <w:rFonts w:cstheme="minorHAnsi"/>
          <w:szCs w:val="24"/>
        </w:rPr>
        <w:t xml:space="preserve"> </w:t>
      </w:r>
      <w:r w:rsidR="001D54B9">
        <w:rPr>
          <w:rFonts w:cstheme="minorHAnsi"/>
          <w:szCs w:val="24"/>
        </w:rPr>
        <w:t xml:space="preserve">It </w:t>
      </w:r>
      <w:r>
        <w:rPr>
          <w:rFonts w:cstheme="minorHAnsi"/>
          <w:szCs w:val="24"/>
        </w:rPr>
        <w:t xml:space="preserve">might be due to </w:t>
      </w:r>
      <w:r w:rsidR="007837C8">
        <w:rPr>
          <w:rFonts w:cstheme="minorHAnsi"/>
          <w:szCs w:val="24"/>
        </w:rPr>
        <w:t xml:space="preserve">GPs providing referrals to </w:t>
      </w:r>
      <w:r w:rsidR="001D54B9">
        <w:rPr>
          <w:rFonts w:cstheme="minorHAnsi"/>
          <w:szCs w:val="24"/>
        </w:rPr>
        <w:t xml:space="preserve">more than one allied </w:t>
      </w:r>
      <w:r>
        <w:rPr>
          <w:rFonts w:cstheme="minorHAnsi"/>
          <w:szCs w:val="24"/>
        </w:rPr>
        <w:t xml:space="preserve">health </w:t>
      </w:r>
      <w:r w:rsidR="00FF32E2">
        <w:rPr>
          <w:rFonts w:cstheme="minorHAnsi"/>
          <w:szCs w:val="24"/>
        </w:rPr>
        <w:t>pro</w:t>
      </w:r>
      <w:r w:rsidR="00344B56">
        <w:rPr>
          <w:rFonts w:cstheme="minorHAnsi"/>
          <w:szCs w:val="24"/>
        </w:rPr>
        <w:t>fessional</w:t>
      </w:r>
      <w:r w:rsidR="00FF32E2">
        <w:rPr>
          <w:rFonts w:cstheme="minorHAnsi"/>
          <w:szCs w:val="24"/>
        </w:rPr>
        <w:t xml:space="preserve"> </w:t>
      </w:r>
      <w:r>
        <w:rPr>
          <w:rFonts w:cstheme="minorHAnsi"/>
          <w:szCs w:val="24"/>
        </w:rPr>
        <w:t>(</w:t>
      </w:r>
      <w:r w:rsidR="001049C1">
        <w:rPr>
          <w:rFonts w:cstheme="minorHAnsi"/>
          <w:szCs w:val="24"/>
        </w:rPr>
        <w:t>the scheme allows a maximum of five</w:t>
      </w:r>
      <w:r>
        <w:rPr>
          <w:rFonts w:cstheme="minorHAnsi"/>
          <w:szCs w:val="24"/>
        </w:rPr>
        <w:t xml:space="preserve"> services</w:t>
      </w:r>
      <w:r w:rsidR="001D54B9">
        <w:rPr>
          <w:rFonts w:cstheme="minorHAnsi"/>
          <w:szCs w:val="24"/>
        </w:rPr>
        <w:t xml:space="preserve"> per year</w:t>
      </w:r>
      <w:r>
        <w:rPr>
          <w:rFonts w:cstheme="minorHAnsi"/>
          <w:szCs w:val="24"/>
        </w:rPr>
        <w:t xml:space="preserve"> shared among allied health </w:t>
      </w:r>
      <w:r w:rsidR="00FF32E2">
        <w:rPr>
          <w:rFonts w:cstheme="minorHAnsi"/>
          <w:szCs w:val="24"/>
        </w:rPr>
        <w:t>professionals</w:t>
      </w:r>
      <w:r>
        <w:rPr>
          <w:rFonts w:cstheme="minorHAnsi"/>
          <w:szCs w:val="24"/>
        </w:rPr>
        <w:t>)</w:t>
      </w:r>
      <w:r w:rsidR="004221C0">
        <w:rPr>
          <w:rFonts w:cstheme="minorHAnsi"/>
          <w:szCs w:val="24"/>
        </w:rPr>
        <w:t xml:space="preserve">. This is </w:t>
      </w:r>
      <w:r w:rsidR="008F6E6E">
        <w:rPr>
          <w:rFonts w:cstheme="minorHAnsi"/>
          <w:szCs w:val="24"/>
        </w:rPr>
        <w:t xml:space="preserve">plausible </w:t>
      </w:r>
      <w:r w:rsidR="004221C0">
        <w:rPr>
          <w:rFonts w:cstheme="minorHAnsi"/>
          <w:szCs w:val="24"/>
        </w:rPr>
        <w:t>because</w:t>
      </w:r>
      <w:r w:rsidR="008F6E6E">
        <w:rPr>
          <w:rFonts w:cstheme="minorHAnsi"/>
          <w:szCs w:val="24"/>
        </w:rPr>
        <w:t xml:space="preserve"> people </w:t>
      </w:r>
      <w:r w:rsidR="00EF65B8">
        <w:rPr>
          <w:rFonts w:cstheme="minorHAnsi"/>
          <w:szCs w:val="24"/>
        </w:rPr>
        <w:t xml:space="preserve">living </w:t>
      </w:r>
      <w:r w:rsidR="006F0187">
        <w:rPr>
          <w:rFonts w:cstheme="minorHAnsi"/>
          <w:szCs w:val="24"/>
        </w:rPr>
        <w:t>in socioeconomically</w:t>
      </w:r>
      <w:r w:rsidR="008F6E6E">
        <w:rPr>
          <w:rFonts w:cstheme="minorHAnsi"/>
          <w:szCs w:val="24"/>
        </w:rPr>
        <w:t xml:space="preserve"> disadvantaged areas </w:t>
      </w:r>
      <w:r w:rsidR="004221C0">
        <w:rPr>
          <w:rFonts w:cstheme="minorHAnsi"/>
          <w:szCs w:val="24"/>
        </w:rPr>
        <w:t xml:space="preserve">are more likely to </w:t>
      </w:r>
      <w:r w:rsidR="008F6E6E">
        <w:rPr>
          <w:rFonts w:cstheme="minorHAnsi"/>
          <w:szCs w:val="24"/>
        </w:rPr>
        <w:t xml:space="preserve">experience multiple chronic health conditions that may require </w:t>
      </w:r>
      <w:r w:rsidR="004221C0">
        <w:rPr>
          <w:rFonts w:cstheme="minorHAnsi"/>
          <w:szCs w:val="24"/>
        </w:rPr>
        <w:t>care</w:t>
      </w:r>
      <w:r w:rsidR="008F6E6E">
        <w:rPr>
          <w:rFonts w:cstheme="minorHAnsi"/>
          <w:szCs w:val="24"/>
        </w:rPr>
        <w:t xml:space="preserve"> from multiple health care </w:t>
      </w:r>
      <w:r w:rsidR="00FF32E2">
        <w:rPr>
          <w:rFonts w:cstheme="minorHAnsi"/>
          <w:szCs w:val="24"/>
        </w:rPr>
        <w:t xml:space="preserve">professionals </w:t>
      </w:r>
      <w:r w:rsidR="00E834AC">
        <w:rPr>
          <w:rFonts w:cstheme="minorHAnsi"/>
          <w:noProof/>
          <w:szCs w:val="24"/>
        </w:rPr>
        <w:t>(Australian Institute of Health and Welfare, 2016)</w:t>
      </w:r>
      <w:r w:rsidR="008F6E6E">
        <w:rPr>
          <w:rFonts w:cstheme="minorHAnsi"/>
          <w:szCs w:val="24"/>
        </w:rPr>
        <w:t xml:space="preserve">. </w:t>
      </w:r>
      <w:r w:rsidR="004F2883" w:rsidRPr="004F2883">
        <w:rPr>
          <w:rFonts w:cstheme="minorHAnsi"/>
          <w:szCs w:val="24"/>
        </w:rPr>
        <w:t xml:space="preserve"> Although in contrast to previous studies which suggest that socioeconomic position is not related to adherence to exercise referral programs</w:t>
      </w:r>
      <w:r w:rsidR="004F2883">
        <w:rPr>
          <w:rFonts w:cstheme="minorHAnsi"/>
          <w:szCs w:val="24"/>
        </w:rPr>
        <w:t>,</w:t>
      </w:r>
      <w:r w:rsidR="004F2883" w:rsidRPr="004F2883">
        <w:rPr>
          <w:rFonts w:cstheme="minorHAnsi"/>
          <w:szCs w:val="24"/>
        </w:rPr>
        <w:t xml:space="preserve"> </w:t>
      </w:r>
      <w:r w:rsidR="00E834AC">
        <w:rPr>
          <w:rFonts w:cstheme="minorHAnsi"/>
          <w:noProof/>
          <w:szCs w:val="24"/>
        </w:rPr>
        <w:t>(Gidlow et al., 2007; Sowden et al., 2008)</w:t>
      </w:r>
      <w:r w:rsidR="004F2883" w:rsidRPr="004F2883">
        <w:rPr>
          <w:rFonts w:cstheme="minorHAnsi"/>
          <w:szCs w:val="24"/>
        </w:rPr>
        <w:t xml:space="preserve"> </w:t>
      </w:r>
      <w:r w:rsidR="004F2883">
        <w:rPr>
          <w:rFonts w:cstheme="minorHAnsi"/>
          <w:szCs w:val="24"/>
        </w:rPr>
        <w:t xml:space="preserve">an </w:t>
      </w:r>
      <w:r w:rsidR="004F2883" w:rsidRPr="004F2883">
        <w:rPr>
          <w:rFonts w:cstheme="minorHAnsi"/>
          <w:szCs w:val="24"/>
        </w:rPr>
        <w:t xml:space="preserve">explanation for our finding is that patients from socioeconomically disadvantaged areas are less likely to adhere to the prescribed number of </w:t>
      </w:r>
      <w:r w:rsidR="004F2883">
        <w:rPr>
          <w:rFonts w:cstheme="minorHAnsi"/>
          <w:szCs w:val="24"/>
        </w:rPr>
        <w:t xml:space="preserve">AEP </w:t>
      </w:r>
      <w:r w:rsidR="004F2883" w:rsidRPr="004F2883">
        <w:rPr>
          <w:rFonts w:cstheme="minorHAnsi"/>
          <w:szCs w:val="24"/>
        </w:rPr>
        <w:t xml:space="preserve">sessions. This is plausible because </w:t>
      </w:r>
      <w:r w:rsidR="004F2883" w:rsidRPr="004F2883">
        <w:rPr>
          <w:rFonts w:cstheme="minorHAnsi"/>
          <w:szCs w:val="24"/>
        </w:rPr>
        <w:lastRenderedPageBreak/>
        <w:t xml:space="preserve">people who experience disadvantage are </w:t>
      </w:r>
      <w:r w:rsidR="004F2883">
        <w:rPr>
          <w:rFonts w:cstheme="minorHAnsi"/>
          <w:szCs w:val="24"/>
        </w:rPr>
        <w:t xml:space="preserve">more </w:t>
      </w:r>
      <w:r w:rsidR="004F2883" w:rsidRPr="004F2883">
        <w:rPr>
          <w:rFonts w:cstheme="minorHAnsi"/>
          <w:szCs w:val="24"/>
        </w:rPr>
        <w:t xml:space="preserve">likely to experience barriers to accessing </w:t>
      </w:r>
      <w:r w:rsidR="004F2883" w:rsidRPr="00D52403">
        <w:rPr>
          <w:rFonts w:cstheme="minorHAnsi"/>
          <w:szCs w:val="24"/>
        </w:rPr>
        <w:t>services</w:t>
      </w:r>
      <w:r w:rsidR="00E834AC">
        <w:rPr>
          <w:rFonts w:cstheme="minorHAnsi"/>
          <w:noProof/>
          <w:szCs w:val="24"/>
        </w:rPr>
        <w:t>(Australian Bureau of Statistics, 2010b)</w:t>
      </w:r>
      <w:r w:rsidR="004F2883" w:rsidRPr="00D52403">
        <w:rPr>
          <w:rFonts w:cstheme="minorHAnsi"/>
          <w:szCs w:val="24"/>
        </w:rPr>
        <w:t>.</w:t>
      </w:r>
      <w:r w:rsidR="004F2883" w:rsidRPr="004F2883">
        <w:rPr>
          <w:rFonts w:cstheme="minorHAnsi"/>
          <w:szCs w:val="24"/>
        </w:rPr>
        <w:t xml:space="preserve"> For example, the cost of taxis, inconvenience of public transport schedules, or unavailability of friends and family to facilitate transport may be prohibitive to attending mul</w:t>
      </w:r>
      <w:r w:rsidR="004F2883">
        <w:rPr>
          <w:rFonts w:cstheme="minorHAnsi"/>
          <w:szCs w:val="24"/>
        </w:rPr>
        <w:t xml:space="preserve">tiple sessions with an AEP. A </w:t>
      </w:r>
      <w:r w:rsidR="004F2883" w:rsidRPr="004F2883">
        <w:rPr>
          <w:rFonts w:cstheme="minorHAnsi"/>
          <w:szCs w:val="24"/>
        </w:rPr>
        <w:t xml:space="preserve">strategy </w:t>
      </w:r>
      <w:r w:rsidR="004F2883">
        <w:rPr>
          <w:rFonts w:cstheme="minorHAnsi"/>
          <w:szCs w:val="24"/>
        </w:rPr>
        <w:t xml:space="preserve">that might </w:t>
      </w:r>
      <w:r w:rsidR="004F2883" w:rsidRPr="004F2883">
        <w:rPr>
          <w:rFonts w:cstheme="minorHAnsi"/>
          <w:szCs w:val="24"/>
        </w:rPr>
        <w:t>overcome this is the co-location of AEP services in GP clinics where patients are familiar with the setting and staff and know how to get there.</w:t>
      </w:r>
    </w:p>
    <w:p w14:paraId="6107380A" w14:textId="77777777" w:rsidR="004F2883" w:rsidRDefault="004F2883" w:rsidP="004F2883"/>
    <w:p w14:paraId="5DC30EDF" w14:textId="295AB6C0" w:rsidR="003234F5" w:rsidRDefault="003234F5" w:rsidP="003234F5">
      <w:pPr>
        <w:rPr>
          <w:rFonts w:cstheme="minorHAnsi"/>
          <w:szCs w:val="24"/>
        </w:rPr>
      </w:pPr>
      <w:r>
        <w:rPr>
          <w:rFonts w:cstheme="minorHAnsi"/>
          <w:szCs w:val="24"/>
        </w:rPr>
        <w:t xml:space="preserve">The strengths of this study include the </w:t>
      </w:r>
      <w:r w:rsidR="00007D1F">
        <w:rPr>
          <w:rFonts w:cstheme="minorHAnsi"/>
          <w:szCs w:val="24"/>
        </w:rPr>
        <w:t xml:space="preserve">analysis of an Australian </w:t>
      </w:r>
      <w:r w:rsidR="00623F3A">
        <w:rPr>
          <w:rFonts w:cstheme="minorHAnsi"/>
          <w:szCs w:val="24"/>
        </w:rPr>
        <w:t>population</w:t>
      </w:r>
      <w:r w:rsidR="007837C8">
        <w:rPr>
          <w:rFonts w:cstheme="minorHAnsi"/>
          <w:szCs w:val="24"/>
        </w:rPr>
        <w:t>-wide</w:t>
      </w:r>
      <w:r w:rsidR="00623F3A">
        <w:rPr>
          <w:rFonts w:cstheme="minorHAnsi"/>
          <w:szCs w:val="24"/>
        </w:rPr>
        <w:t xml:space="preserve"> </w:t>
      </w:r>
      <w:r>
        <w:rPr>
          <w:rFonts w:cstheme="minorHAnsi"/>
          <w:szCs w:val="24"/>
        </w:rPr>
        <w:t>database of Medicare-funded service</w:t>
      </w:r>
      <w:r w:rsidR="009C7F6E">
        <w:rPr>
          <w:rFonts w:cstheme="minorHAnsi"/>
          <w:szCs w:val="24"/>
        </w:rPr>
        <w:t>s</w:t>
      </w:r>
      <w:r>
        <w:rPr>
          <w:rFonts w:cstheme="minorHAnsi"/>
          <w:szCs w:val="24"/>
        </w:rPr>
        <w:t xml:space="preserve"> which ha</w:t>
      </w:r>
      <w:r w:rsidR="009C7F6E">
        <w:rPr>
          <w:rFonts w:cstheme="minorHAnsi"/>
          <w:szCs w:val="24"/>
        </w:rPr>
        <w:t>ve</w:t>
      </w:r>
      <w:r>
        <w:rPr>
          <w:rFonts w:cstheme="minorHAnsi"/>
          <w:szCs w:val="24"/>
        </w:rPr>
        <w:t xml:space="preserve"> received scant research attention. </w:t>
      </w:r>
      <w:r w:rsidR="0032607C">
        <w:rPr>
          <w:rFonts w:cstheme="minorHAnsi"/>
          <w:szCs w:val="24"/>
        </w:rPr>
        <w:t>Given the im</w:t>
      </w:r>
      <w:r w:rsidR="006902CC">
        <w:rPr>
          <w:rFonts w:cstheme="minorHAnsi"/>
          <w:szCs w:val="24"/>
        </w:rPr>
        <w:t>portance of physical activity for</w:t>
      </w:r>
      <w:r w:rsidR="0032607C">
        <w:rPr>
          <w:rFonts w:cstheme="minorHAnsi"/>
          <w:szCs w:val="24"/>
        </w:rPr>
        <w:t xml:space="preserve"> the prevention and management of chronic disease</w:t>
      </w:r>
      <w:r w:rsidR="006902CC">
        <w:rPr>
          <w:rFonts w:cstheme="minorHAnsi"/>
          <w:szCs w:val="24"/>
        </w:rPr>
        <w:t xml:space="preserve"> </w:t>
      </w:r>
      <w:r w:rsidR="00E834AC">
        <w:rPr>
          <w:noProof/>
          <w:szCs w:val="24"/>
        </w:rPr>
        <w:t>(Andersen et al., 2010; Dunstan et al., 2005; Hayashino et al., 2012; Hernandez-Hernandez &amp; Diaz-Gonzalez, 2017; Olney et al., 2006; Rogers et al., 2015)</w:t>
      </w:r>
      <w:r w:rsidR="00917A89">
        <w:rPr>
          <w:rFonts w:cstheme="minorHAnsi"/>
          <w:szCs w:val="24"/>
        </w:rPr>
        <w:t xml:space="preserve"> and the socio</w:t>
      </w:r>
      <w:r w:rsidR="006902CC">
        <w:rPr>
          <w:rFonts w:cstheme="minorHAnsi"/>
          <w:szCs w:val="24"/>
        </w:rPr>
        <w:t xml:space="preserve">economic patterning of physical activity and health outcomes </w:t>
      </w:r>
      <w:r w:rsidR="00BF5171">
        <w:rPr>
          <w:noProof/>
        </w:rPr>
        <w:t>(Australian Institute of Health and Welfare, 2011, 2014a, b; Bauman et al., 2012)</w:t>
      </w:r>
      <w:r w:rsidR="006902CC">
        <w:rPr>
          <w:rFonts w:cstheme="minorHAnsi"/>
          <w:szCs w:val="24"/>
        </w:rPr>
        <w:t>, i</w:t>
      </w:r>
      <w:r w:rsidR="0032607C">
        <w:rPr>
          <w:rFonts w:cstheme="minorHAnsi"/>
          <w:szCs w:val="24"/>
        </w:rPr>
        <w:t xml:space="preserve">t is imperative that </w:t>
      </w:r>
      <w:r w:rsidR="006902CC" w:rsidRPr="006902CC">
        <w:rPr>
          <w:rFonts w:cstheme="minorHAnsi"/>
          <w:szCs w:val="24"/>
        </w:rPr>
        <w:t xml:space="preserve">the </w:t>
      </w:r>
      <w:r w:rsidR="00947BF0">
        <w:rPr>
          <w:rFonts w:cstheme="minorHAnsi"/>
          <w:szCs w:val="24"/>
        </w:rPr>
        <w:t xml:space="preserve">utilisation of </w:t>
      </w:r>
      <w:r w:rsidR="002B7CFA">
        <w:rPr>
          <w:rFonts w:cstheme="minorHAnsi"/>
          <w:szCs w:val="24"/>
        </w:rPr>
        <w:t>AEP services</w:t>
      </w:r>
      <w:r w:rsidR="00007D1F">
        <w:rPr>
          <w:rFonts w:cstheme="minorHAnsi"/>
          <w:szCs w:val="24"/>
        </w:rPr>
        <w:t xml:space="preserve"> across social strata </w:t>
      </w:r>
      <w:r w:rsidR="00947BF0">
        <w:rPr>
          <w:rFonts w:cstheme="minorHAnsi"/>
          <w:szCs w:val="24"/>
        </w:rPr>
        <w:t xml:space="preserve">be examined. </w:t>
      </w:r>
      <w:r w:rsidR="0032607C">
        <w:rPr>
          <w:rFonts w:cstheme="minorHAnsi"/>
          <w:szCs w:val="24"/>
        </w:rPr>
        <w:t>Lim</w:t>
      </w:r>
      <w:r>
        <w:rPr>
          <w:rFonts w:cstheme="minorHAnsi"/>
          <w:szCs w:val="24"/>
        </w:rPr>
        <w:t xml:space="preserve">itations of the </w:t>
      </w:r>
      <w:r w:rsidRPr="00A97DAA">
        <w:rPr>
          <w:rFonts w:cs="Times New Roman"/>
          <w:szCs w:val="24"/>
        </w:rPr>
        <w:t>study</w:t>
      </w:r>
      <w:r w:rsidR="000B569F" w:rsidRPr="00A97DAA">
        <w:rPr>
          <w:rFonts w:cs="Times New Roman"/>
          <w:szCs w:val="24"/>
        </w:rPr>
        <w:t xml:space="preserve"> include that the data on AEP services was restricted to those delivered through </w:t>
      </w:r>
      <w:r w:rsidR="000B569F" w:rsidRPr="00590E19">
        <w:rPr>
          <w:rFonts w:cs="Times New Roman"/>
          <w:szCs w:val="24"/>
        </w:rPr>
        <w:t>CDMP</w:t>
      </w:r>
      <w:r w:rsidR="00A97DAA" w:rsidRPr="00590E19">
        <w:rPr>
          <w:rFonts w:cs="Times New Roman"/>
          <w:szCs w:val="24"/>
        </w:rPr>
        <w:t xml:space="preserve">s and therefore </w:t>
      </w:r>
      <w:r w:rsidR="000B569F" w:rsidRPr="00590E19">
        <w:rPr>
          <w:rFonts w:cs="Times New Roman"/>
          <w:szCs w:val="24"/>
        </w:rPr>
        <w:t>do not reflect the</w:t>
      </w:r>
      <w:r w:rsidR="00A97DAA" w:rsidRPr="0003786E">
        <w:rPr>
          <w:rFonts w:cs="Times New Roman"/>
          <w:szCs w:val="24"/>
        </w:rPr>
        <w:t xml:space="preserve"> full range of</w:t>
      </w:r>
      <w:r w:rsidR="000B569F" w:rsidRPr="0003786E">
        <w:rPr>
          <w:rFonts w:cs="Times New Roman"/>
          <w:szCs w:val="24"/>
        </w:rPr>
        <w:t xml:space="preserve"> services provided by </w:t>
      </w:r>
      <w:r w:rsidR="00A97DAA" w:rsidRPr="0003786E">
        <w:rPr>
          <w:rFonts w:cs="Times New Roman"/>
          <w:szCs w:val="24"/>
        </w:rPr>
        <w:t xml:space="preserve">AEPs through different health care </w:t>
      </w:r>
      <w:r w:rsidR="00A97DAA" w:rsidRPr="00A97DAA">
        <w:rPr>
          <w:rFonts w:cs="Times New Roman"/>
          <w:szCs w:val="24"/>
        </w:rPr>
        <w:t>systems</w:t>
      </w:r>
      <w:r w:rsidR="00A97DAA" w:rsidRPr="00590E19">
        <w:rPr>
          <w:rFonts w:cs="Times New Roman"/>
          <w:szCs w:val="24"/>
        </w:rPr>
        <w:t xml:space="preserve">, such as </w:t>
      </w:r>
      <w:r w:rsidR="000B569F" w:rsidRPr="00A97DAA">
        <w:rPr>
          <w:rFonts w:cs="Times New Roman"/>
          <w:color w:val="212121"/>
        </w:rPr>
        <w:t xml:space="preserve">in-hospital services, or to </w:t>
      </w:r>
      <w:r w:rsidR="00A97DAA" w:rsidRPr="00A97DAA">
        <w:rPr>
          <w:rFonts w:cs="Times New Roman"/>
          <w:color w:val="212121"/>
        </w:rPr>
        <w:t>Department of Veteran Affairs r</w:t>
      </w:r>
      <w:r w:rsidR="000B569F" w:rsidRPr="00A97DAA">
        <w:rPr>
          <w:rFonts w:cs="Times New Roman"/>
          <w:color w:val="212121"/>
        </w:rPr>
        <w:t>ecipients</w:t>
      </w:r>
      <w:r w:rsidR="00A97DAA" w:rsidRPr="00A97DAA">
        <w:rPr>
          <w:rFonts w:cs="Times New Roman"/>
          <w:color w:val="212121"/>
        </w:rPr>
        <w:t>. Other limitations of the study</w:t>
      </w:r>
      <w:r w:rsidR="00A97DAA">
        <w:rPr>
          <w:rFonts w:ascii="Segoe UI" w:hAnsi="Segoe UI" w:cs="Segoe UI"/>
          <w:color w:val="212121"/>
        </w:rPr>
        <w:t xml:space="preserve"> </w:t>
      </w:r>
      <w:r>
        <w:rPr>
          <w:rFonts w:cstheme="minorHAnsi"/>
          <w:szCs w:val="24"/>
        </w:rPr>
        <w:t>include those inherent in studies that rely on publically available data</w:t>
      </w:r>
      <w:r w:rsidR="0023584B">
        <w:rPr>
          <w:rFonts w:cstheme="minorHAnsi"/>
          <w:szCs w:val="24"/>
        </w:rPr>
        <w:t>. For example, our</w:t>
      </w:r>
      <w:r w:rsidR="00917A89">
        <w:t xml:space="preserve"> analysis was limited to the data that is routinely collected by Australian government health departments and the data suppress</w:t>
      </w:r>
      <w:r w:rsidR="002B7CFA">
        <w:t>ion rules protocols they apply</w:t>
      </w:r>
      <w:r w:rsidR="00917A89">
        <w:t xml:space="preserve"> </w:t>
      </w:r>
      <w:r w:rsidR="00E834AC">
        <w:rPr>
          <w:noProof/>
        </w:rPr>
        <w:t>(Department of Health)</w:t>
      </w:r>
      <w:r w:rsidR="00917A89">
        <w:t xml:space="preserve">. </w:t>
      </w:r>
      <w:r>
        <w:rPr>
          <w:rFonts w:cstheme="minorHAnsi"/>
          <w:szCs w:val="24"/>
        </w:rPr>
        <w:t xml:space="preserve"> </w:t>
      </w:r>
    </w:p>
    <w:p w14:paraId="37DC28C7" w14:textId="5933FFD4" w:rsidR="002A1E89" w:rsidRDefault="002A1E89" w:rsidP="002A1E89">
      <w:pPr>
        <w:pStyle w:val="Heading2"/>
      </w:pPr>
      <w:r>
        <w:t>CONCLUSIONS</w:t>
      </w:r>
    </w:p>
    <w:p w14:paraId="3AEA4F31" w14:textId="77777777" w:rsidR="00A07810" w:rsidRPr="00A07810" w:rsidRDefault="00A07810" w:rsidP="00A07810">
      <w:pPr>
        <w:rPr>
          <w:lang w:eastAsia="en-AU"/>
        </w:rPr>
      </w:pPr>
    </w:p>
    <w:p w14:paraId="6B35D4D1" w14:textId="6070672A" w:rsidR="00B23DE6" w:rsidRDefault="000E34C3" w:rsidP="00B23DE6">
      <w:pPr>
        <w:rPr>
          <w:rFonts w:cstheme="minorHAnsi"/>
          <w:szCs w:val="24"/>
        </w:rPr>
      </w:pPr>
      <w:r>
        <w:rPr>
          <w:rFonts w:cstheme="minorHAnsi"/>
          <w:szCs w:val="24"/>
        </w:rPr>
        <w:t>We found that patients from areas of greater socioeconomic disadvantage accessed</w:t>
      </w:r>
      <w:r w:rsidR="002B7CFA">
        <w:rPr>
          <w:rFonts w:cstheme="minorHAnsi"/>
          <w:szCs w:val="24"/>
        </w:rPr>
        <w:t xml:space="preserve"> government-</w:t>
      </w:r>
      <w:r w:rsidR="005E0481">
        <w:rPr>
          <w:rFonts w:cstheme="minorHAnsi"/>
          <w:szCs w:val="24"/>
        </w:rPr>
        <w:t>subsidised</w:t>
      </w:r>
      <w:r w:rsidR="00B72434">
        <w:rPr>
          <w:rFonts w:cstheme="minorHAnsi"/>
          <w:szCs w:val="24"/>
        </w:rPr>
        <w:t xml:space="preserve"> </w:t>
      </w:r>
      <w:r>
        <w:rPr>
          <w:rFonts w:cstheme="minorHAnsi"/>
          <w:szCs w:val="24"/>
        </w:rPr>
        <w:t xml:space="preserve">GP-referred AEP services at a higher rate than those from areas of </w:t>
      </w:r>
      <w:r>
        <w:rPr>
          <w:rFonts w:cstheme="minorHAnsi"/>
          <w:szCs w:val="24"/>
        </w:rPr>
        <w:lastRenderedPageBreak/>
        <w:t>less disadvantage</w:t>
      </w:r>
      <w:r w:rsidR="00947BF0">
        <w:rPr>
          <w:rFonts w:cstheme="minorHAnsi"/>
          <w:szCs w:val="24"/>
        </w:rPr>
        <w:t xml:space="preserve">. </w:t>
      </w:r>
      <w:r w:rsidR="00EA40BB">
        <w:rPr>
          <w:rFonts w:cstheme="minorHAnsi"/>
          <w:szCs w:val="24"/>
        </w:rPr>
        <w:t xml:space="preserve">Thus, </w:t>
      </w:r>
      <w:r w:rsidR="00947BF0">
        <w:rPr>
          <w:rFonts w:cstheme="minorHAnsi"/>
          <w:szCs w:val="24"/>
        </w:rPr>
        <w:t xml:space="preserve">AEP services </w:t>
      </w:r>
      <w:r w:rsidR="00EA40BB">
        <w:rPr>
          <w:rFonts w:cstheme="minorHAnsi"/>
          <w:szCs w:val="24"/>
        </w:rPr>
        <w:t xml:space="preserve">are equitably distributed, from a utilisation perspective, and acceptable to patients </w:t>
      </w:r>
      <w:r w:rsidR="00947BF0">
        <w:rPr>
          <w:rFonts w:cstheme="minorHAnsi"/>
          <w:szCs w:val="24"/>
        </w:rPr>
        <w:t xml:space="preserve">living in areas of </w:t>
      </w:r>
      <w:r>
        <w:rPr>
          <w:rFonts w:cstheme="minorHAnsi"/>
          <w:szCs w:val="24"/>
        </w:rPr>
        <w:t xml:space="preserve">considerable </w:t>
      </w:r>
      <w:r w:rsidR="00EA40BB">
        <w:rPr>
          <w:rFonts w:cstheme="minorHAnsi"/>
          <w:szCs w:val="24"/>
        </w:rPr>
        <w:t>so</w:t>
      </w:r>
      <w:r w:rsidR="005A6117">
        <w:rPr>
          <w:rFonts w:cstheme="minorHAnsi"/>
          <w:szCs w:val="24"/>
        </w:rPr>
        <w:t>cio</w:t>
      </w:r>
      <w:r w:rsidR="00EA40BB">
        <w:rPr>
          <w:rFonts w:cstheme="minorHAnsi"/>
          <w:szCs w:val="24"/>
        </w:rPr>
        <w:t xml:space="preserve">economic disadvantage. </w:t>
      </w:r>
      <w:r w:rsidR="00B23DE6">
        <w:rPr>
          <w:rFonts w:cstheme="minorHAnsi"/>
          <w:szCs w:val="24"/>
        </w:rPr>
        <w:t xml:space="preserve">We also </w:t>
      </w:r>
      <w:r w:rsidR="0023584B">
        <w:rPr>
          <w:rFonts w:cstheme="minorHAnsi"/>
          <w:szCs w:val="24"/>
        </w:rPr>
        <w:t xml:space="preserve">showed </w:t>
      </w:r>
      <w:r w:rsidR="00B23DE6">
        <w:rPr>
          <w:rFonts w:cstheme="minorHAnsi"/>
          <w:szCs w:val="24"/>
        </w:rPr>
        <w:t xml:space="preserve">that out-of-pocket expenses for </w:t>
      </w:r>
      <w:r w:rsidR="00007D1F">
        <w:rPr>
          <w:rFonts w:cstheme="minorHAnsi"/>
          <w:szCs w:val="24"/>
        </w:rPr>
        <w:t xml:space="preserve">AEP services </w:t>
      </w:r>
      <w:r w:rsidR="00B23DE6">
        <w:rPr>
          <w:rFonts w:cstheme="minorHAnsi"/>
          <w:szCs w:val="24"/>
        </w:rPr>
        <w:t>were low</w:t>
      </w:r>
      <w:r w:rsidR="002B7CFA">
        <w:rPr>
          <w:rFonts w:cstheme="minorHAnsi"/>
          <w:szCs w:val="24"/>
        </w:rPr>
        <w:t xml:space="preserve">er </w:t>
      </w:r>
      <w:r w:rsidR="00B23DE6">
        <w:rPr>
          <w:rFonts w:cstheme="minorHAnsi"/>
          <w:szCs w:val="24"/>
        </w:rPr>
        <w:t xml:space="preserve">in areas of </w:t>
      </w:r>
      <w:r w:rsidR="005A6117">
        <w:rPr>
          <w:rFonts w:cstheme="minorHAnsi"/>
          <w:szCs w:val="24"/>
        </w:rPr>
        <w:t xml:space="preserve">greater </w:t>
      </w:r>
      <w:r w:rsidR="00B23DE6">
        <w:rPr>
          <w:rFonts w:cstheme="minorHAnsi"/>
          <w:szCs w:val="24"/>
        </w:rPr>
        <w:t xml:space="preserve">disadvantage. However, </w:t>
      </w:r>
      <w:r w:rsidR="00947BF0">
        <w:rPr>
          <w:rFonts w:cstheme="minorHAnsi"/>
          <w:szCs w:val="24"/>
        </w:rPr>
        <w:t xml:space="preserve">it is likely </w:t>
      </w:r>
      <w:r w:rsidR="00B23DE6">
        <w:rPr>
          <w:rFonts w:cstheme="minorHAnsi"/>
          <w:szCs w:val="24"/>
        </w:rPr>
        <w:t xml:space="preserve">patients in </w:t>
      </w:r>
      <w:r w:rsidR="00947BF0">
        <w:rPr>
          <w:rFonts w:cstheme="minorHAnsi"/>
          <w:szCs w:val="24"/>
        </w:rPr>
        <w:t xml:space="preserve">disadvantaged areas </w:t>
      </w:r>
      <w:r w:rsidR="00B23DE6">
        <w:rPr>
          <w:rFonts w:cstheme="minorHAnsi"/>
          <w:szCs w:val="24"/>
        </w:rPr>
        <w:t xml:space="preserve">receive shorter </w:t>
      </w:r>
      <w:r w:rsidR="00947BF0">
        <w:rPr>
          <w:rFonts w:cstheme="minorHAnsi"/>
          <w:szCs w:val="24"/>
        </w:rPr>
        <w:t xml:space="preserve">consultation times resulting from </w:t>
      </w:r>
      <w:r>
        <w:rPr>
          <w:rFonts w:cstheme="minorHAnsi"/>
          <w:szCs w:val="24"/>
        </w:rPr>
        <w:t xml:space="preserve">the </w:t>
      </w:r>
      <w:r w:rsidR="00947BF0">
        <w:rPr>
          <w:rFonts w:cstheme="minorHAnsi"/>
          <w:szCs w:val="24"/>
        </w:rPr>
        <w:t xml:space="preserve">low service fees and higher caseloads of </w:t>
      </w:r>
      <w:r>
        <w:rPr>
          <w:rFonts w:cstheme="minorHAnsi"/>
          <w:szCs w:val="24"/>
        </w:rPr>
        <w:t>AEP</w:t>
      </w:r>
      <w:r w:rsidR="008D6C9F">
        <w:rPr>
          <w:rFonts w:cstheme="minorHAnsi"/>
          <w:szCs w:val="24"/>
        </w:rPr>
        <w:t xml:space="preserve">s </w:t>
      </w:r>
      <w:r w:rsidR="00947BF0">
        <w:rPr>
          <w:rFonts w:cstheme="minorHAnsi"/>
          <w:szCs w:val="24"/>
        </w:rPr>
        <w:t xml:space="preserve">in these areas. </w:t>
      </w:r>
      <w:r w:rsidR="00917A89">
        <w:rPr>
          <w:rFonts w:cstheme="minorHAnsi"/>
          <w:szCs w:val="24"/>
        </w:rPr>
        <w:t xml:space="preserve">Further examination of </w:t>
      </w:r>
      <w:r w:rsidR="005A6117">
        <w:rPr>
          <w:rFonts w:cstheme="minorHAnsi"/>
          <w:szCs w:val="24"/>
        </w:rPr>
        <w:t xml:space="preserve">exercise referral schemes is </w:t>
      </w:r>
      <w:r w:rsidR="00917A89">
        <w:rPr>
          <w:rFonts w:cstheme="minorHAnsi"/>
          <w:szCs w:val="24"/>
        </w:rPr>
        <w:t xml:space="preserve">warranted, particularly </w:t>
      </w:r>
      <w:r w:rsidR="008D6C9F">
        <w:rPr>
          <w:rFonts w:cstheme="minorHAnsi"/>
          <w:szCs w:val="24"/>
        </w:rPr>
        <w:t xml:space="preserve">whether socioeconomic disadvantage is associated with adherence to exercise sessions and </w:t>
      </w:r>
      <w:r w:rsidR="002A1FD8">
        <w:rPr>
          <w:rFonts w:cstheme="minorHAnsi"/>
          <w:szCs w:val="24"/>
        </w:rPr>
        <w:t>health outcomes</w:t>
      </w:r>
      <w:r w:rsidR="00917A89">
        <w:rPr>
          <w:rFonts w:cstheme="minorHAnsi"/>
          <w:szCs w:val="24"/>
        </w:rPr>
        <w:t>.</w:t>
      </w:r>
    </w:p>
    <w:p w14:paraId="4452CDDA" w14:textId="645D4EAE" w:rsidR="006567F7" w:rsidRDefault="006567F7" w:rsidP="00B23DE6">
      <w:pPr>
        <w:rPr>
          <w:rFonts w:cstheme="minorHAnsi"/>
          <w:szCs w:val="24"/>
        </w:rPr>
      </w:pPr>
    </w:p>
    <w:p w14:paraId="0E6E095C" w14:textId="00A7B9E1" w:rsidR="001F383D" w:rsidRDefault="001F383D">
      <w:pPr>
        <w:spacing w:after="200" w:line="276" w:lineRule="auto"/>
        <w:rPr>
          <w:rFonts w:ascii="Calibri" w:hAnsi="Calibri"/>
          <w:sz w:val="22"/>
          <w:szCs w:val="21"/>
        </w:rPr>
      </w:pPr>
      <w:r>
        <w:br w:type="page"/>
      </w:r>
    </w:p>
    <w:p w14:paraId="4684F7B9" w14:textId="2D6D5193" w:rsidR="00363485" w:rsidRPr="00A07810" w:rsidRDefault="00363485" w:rsidP="00363485">
      <w:pPr>
        <w:pStyle w:val="EndNoteBibliographyTitle"/>
        <w:rPr>
          <w:rFonts w:ascii="Times New Roman" w:hAnsi="Times New Roman" w:cs="Times New Roman"/>
          <w:b/>
          <w:sz w:val="24"/>
          <w:szCs w:val="24"/>
        </w:rPr>
      </w:pPr>
      <w:r w:rsidRPr="00A07810">
        <w:rPr>
          <w:rFonts w:ascii="Times New Roman" w:hAnsi="Times New Roman" w:cs="Times New Roman"/>
          <w:b/>
          <w:sz w:val="24"/>
          <w:szCs w:val="24"/>
        </w:rPr>
        <w:lastRenderedPageBreak/>
        <w:t>References</w:t>
      </w:r>
    </w:p>
    <w:p w14:paraId="2355C2A9"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Achat, H.M., Thomas, P., Close, G.R., Moerkerken, L.R., &amp; Harris, M.F. (2010). General health care service utilisation: where, when and by whom in a socioeconomically disadvantaged population. </w:t>
      </w:r>
      <w:r w:rsidRPr="00A07810">
        <w:rPr>
          <w:rFonts w:ascii="Times New Roman" w:hAnsi="Times New Roman" w:cs="Times New Roman"/>
          <w:i/>
          <w:sz w:val="24"/>
          <w:szCs w:val="24"/>
        </w:rPr>
        <w:t xml:space="preserve">Aust J Prim Health, </w:t>
      </w:r>
      <w:r w:rsidRPr="00A07810">
        <w:rPr>
          <w:rFonts w:ascii="Times New Roman" w:hAnsi="Times New Roman" w:cs="Times New Roman"/>
          <w:sz w:val="24"/>
          <w:szCs w:val="24"/>
        </w:rPr>
        <w:t>16, 132-140.</w:t>
      </w:r>
    </w:p>
    <w:p w14:paraId="43677763"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Andersen, L.L., Christensen, K.B., Holtermann, A., Poulsen, O.M., Sjøgaard, G., Pedersen, M.T., et al. (2010). Effect of physical exercise interventions on musculoskeletal pain in all body regions among office workers: a one-year randomized controlled trial. </w:t>
      </w:r>
      <w:r w:rsidRPr="00A07810">
        <w:rPr>
          <w:rFonts w:ascii="Times New Roman" w:hAnsi="Times New Roman" w:cs="Times New Roman"/>
          <w:i/>
          <w:sz w:val="24"/>
          <w:szCs w:val="24"/>
        </w:rPr>
        <w:t xml:space="preserve">Man Ther, </w:t>
      </w:r>
      <w:r w:rsidRPr="00A07810">
        <w:rPr>
          <w:rFonts w:ascii="Times New Roman" w:hAnsi="Times New Roman" w:cs="Times New Roman"/>
          <w:sz w:val="24"/>
          <w:szCs w:val="24"/>
        </w:rPr>
        <w:t>15, 100-104.</w:t>
      </w:r>
    </w:p>
    <w:p w14:paraId="0E8D5BD6"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Bureau of Statistics. (2010a). Australian Statistical Geography Standard (ASGS): Volume 1 - Main Structure and Greater Capital City Statistical Areas July, 2011. Canberra: ABS.</w:t>
      </w:r>
    </w:p>
    <w:p w14:paraId="5E7260C3"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Bureau of Statistics. (2010b). Health and Socioeconomic Disadvantage.  4102.0 - Australian Social Trends, Mar 2010  Canberra: ABS.</w:t>
      </w:r>
    </w:p>
    <w:p w14:paraId="75DC146D"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Bureau of Statistics. (2011). 2033.0.55.001 - Census of Population and Housing: Socio-Economic Indexes for Areas (SEIFA), Australia, 2011. Canberra: ABS.</w:t>
      </w:r>
    </w:p>
    <w:p w14:paraId="1A539369"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Institute of Health and Welfare. (2011). Key Indicators of Progress for Chronic Disease and Associated Determinants: Data Report Canberra: AIHW.</w:t>
      </w:r>
    </w:p>
    <w:p w14:paraId="3D73B141"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Institute of Health and Welfare. (2014a). Australia’s Health 2014. Canberra: AIHW.</w:t>
      </w:r>
    </w:p>
    <w:p w14:paraId="13EDEAAE"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Institute of Health and Welfare. (2014b). Trends in Coronary Heart Disease Mortality: Age Groups and Populations. Canberra: AIHW.</w:t>
      </w:r>
    </w:p>
    <w:p w14:paraId="1C9169B4"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Australian Institute of Health and Welfare. (2016). Australia’s Health 2016. Canberra: AIHW.</w:t>
      </w:r>
    </w:p>
    <w:p w14:paraId="794E70C5"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lastRenderedPageBreak/>
        <w:t xml:space="preserve">Bauman, A., Curac, N., King, L., Venugopal, K., &amp; Merom, D. (2012). Active, healthy cities--how does population physical activity vary between Australian cities? </w:t>
      </w:r>
      <w:r w:rsidRPr="00A07810">
        <w:rPr>
          <w:rFonts w:ascii="Times New Roman" w:hAnsi="Times New Roman" w:cs="Times New Roman"/>
          <w:i/>
          <w:sz w:val="24"/>
          <w:szCs w:val="24"/>
        </w:rPr>
        <w:t xml:space="preserve">Health Promot J Austr, </w:t>
      </w:r>
      <w:r w:rsidRPr="00A07810">
        <w:rPr>
          <w:rFonts w:ascii="Times New Roman" w:hAnsi="Times New Roman" w:cs="Times New Roman"/>
          <w:sz w:val="24"/>
          <w:szCs w:val="24"/>
        </w:rPr>
        <w:t>23, 201-207.</w:t>
      </w:r>
    </w:p>
    <w:p w14:paraId="4631D06D"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Bennie, J.A., Pedisic, Z., van Uffelen, J.G., Gale, J., Banting, L.K., Vergeer, I., et al. (2016a). The descriptive epidemiology of total physical activity, muscle-strengthening exercises and sedentary behaviour among Australian adults - results from the National Nutrition and Physical Activity Survey. </w:t>
      </w:r>
      <w:r w:rsidRPr="00A07810">
        <w:rPr>
          <w:rFonts w:ascii="Times New Roman" w:hAnsi="Times New Roman" w:cs="Times New Roman"/>
          <w:i/>
          <w:sz w:val="24"/>
          <w:szCs w:val="24"/>
        </w:rPr>
        <w:t xml:space="preserve">BMC Public Health, </w:t>
      </w:r>
      <w:r w:rsidRPr="00A07810">
        <w:rPr>
          <w:rFonts w:ascii="Times New Roman" w:hAnsi="Times New Roman" w:cs="Times New Roman"/>
          <w:sz w:val="24"/>
          <w:szCs w:val="24"/>
        </w:rPr>
        <w:t>16, 73.</w:t>
      </w:r>
    </w:p>
    <w:p w14:paraId="4AB2CCFF"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Bennie, J.A., Thornton, L.E., van Uffelen, J.G.Z., Banting, L.K., &amp; Biddle, S.J.H. (2016b). Variations in area-level disadvantage of Australian registered fitness trainers usual training locations. </w:t>
      </w:r>
      <w:r w:rsidRPr="00A07810">
        <w:rPr>
          <w:rFonts w:ascii="Times New Roman" w:hAnsi="Times New Roman" w:cs="Times New Roman"/>
          <w:i/>
          <w:sz w:val="24"/>
          <w:szCs w:val="24"/>
        </w:rPr>
        <w:t xml:space="preserve">BMC Public Health, </w:t>
      </w:r>
      <w:r w:rsidRPr="00A07810">
        <w:rPr>
          <w:rFonts w:ascii="Times New Roman" w:hAnsi="Times New Roman" w:cs="Times New Roman"/>
          <w:sz w:val="24"/>
          <w:szCs w:val="24"/>
        </w:rPr>
        <w:t>16, 1-7.</w:t>
      </w:r>
    </w:p>
    <w:p w14:paraId="1CB5C3A7"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Britt, H., Miller, G.C., Henderson, J., Bayram, C., Harrison, C., Valenti, L., et al. (2016). General Practice Activity in Australia 2015–16. Sydney: Sydney University Press.</w:t>
      </w:r>
    </w:p>
    <w:p w14:paraId="6D66D3D0"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Cant, R., &amp; Aroni, R. (2007). Melbourne dietitians’ experience of Medicare policy on allied health services (strengthening Medicare; Enhanced Primary Care) in the first 12 months. </w:t>
      </w:r>
      <w:r w:rsidRPr="00A07810">
        <w:rPr>
          <w:rFonts w:ascii="Times New Roman" w:hAnsi="Times New Roman" w:cs="Times New Roman"/>
          <w:i/>
          <w:sz w:val="24"/>
          <w:szCs w:val="24"/>
        </w:rPr>
        <w:t xml:space="preserve">Nutrition &amp; Dietetics, </w:t>
      </w:r>
      <w:r w:rsidRPr="00A07810">
        <w:rPr>
          <w:rFonts w:ascii="Times New Roman" w:hAnsi="Times New Roman" w:cs="Times New Roman"/>
          <w:sz w:val="24"/>
          <w:szCs w:val="24"/>
        </w:rPr>
        <w:t>64, 43-49.</w:t>
      </w:r>
    </w:p>
    <w:p w14:paraId="59157F17"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Cant, R.P. (2010). Patterns of delivery of dietetic care in private practice for patients referred under Medicare Chronic Disease Management: results of a national survey. </w:t>
      </w:r>
      <w:r w:rsidRPr="00A07810">
        <w:rPr>
          <w:rFonts w:ascii="Times New Roman" w:hAnsi="Times New Roman" w:cs="Times New Roman"/>
          <w:i/>
          <w:sz w:val="24"/>
          <w:szCs w:val="24"/>
        </w:rPr>
        <w:t xml:space="preserve">Aust Health Rev, </w:t>
      </w:r>
      <w:r w:rsidRPr="00A07810">
        <w:rPr>
          <w:rFonts w:ascii="Times New Roman" w:hAnsi="Times New Roman" w:cs="Times New Roman"/>
          <w:sz w:val="24"/>
          <w:szCs w:val="24"/>
        </w:rPr>
        <w:t>34, 197-203.</w:t>
      </w:r>
    </w:p>
    <w:p w14:paraId="70C2B69B"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Cohen, J. (1988). </w:t>
      </w:r>
      <w:r w:rsidRPr="00A07810">
        <w:rPr>
          <w:rFonts w:ascii="Times New Roman" w:hAnsi="Times New Roman" w:cs="Times New Roman"/>
          <w:i/>
          <w:sz w:val="24"/>
          <w:szCs w:val="24"/>
        </w:rPr>
        <w:t>Statistical Power Analysis for the Behavioral Sciences</w:t>
      </w:r>
      <w:r w:rsidRPr="00A07810">
        <w:rPr>
          <w:rFonts w:ascii="Times New Roman" w:hAnsi="Times New Roman" w:cs="Times New Roman"/>
          <w:sz w:val="24"/>
          <w:szCs w:val="24"/>
        </w:rPr>
        <w:t>. Hillsdale, NJ: Lawrence Erlbaum Associates.</w:t>
      </w:r>
    </w:p>
    <w:p w14:paraId="0597CCAA"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Crawford, D., Timperio, A., Giles-Corti, B., Ball, K., Hume, C., Roberts, R., et al. (2008). Do features of public open spaces vary according to neighbourhood socio-economic status? </w:t>
      </w:r>
      <w:r w:rsidRPr="00A07810">
        <w:rPr>
          <w:rFonts w:ascii="Times New Roman" w:hAnsi="Times New Roman" w:cs="Times New Roman"/>
          <w:i/>
          <w:sz w:val="24"/>
          <w:szCs w:val="24"/>
        </w:rPr>
        <w:t xml:space="preserve">Health Place, </w:t>
      </w:r>
      <w:r w:rsidRPr="00A07810">
        <w:rPr>
          <w:rFonts w:ascii="Times New Roman" w:hAnsi="Times New Roman" w:cs="Times New Roman"/>
          <w:sz w:val="24"/>
          <w:szCs w:val="24"/>
        </w:rPr>
        <w:t>14.</w:t>
      </w:r>
    </w:p>
    <w:p w14:paraId="24737DBE" w14:textId="35109EBC"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Department of Health. (2014). Chronic Disease Management Individual Allied Health Services Under Medicare. Patient Information Canberra.</w:t>
      </w:r>
    </w:p>
    <w:p w14:paraId="544B217B"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lastRenderedPageBreak/>
        <w:t xml:space="preserve">Dunstan, D.W., Daly, R.M., Owen, N., Jolley, D., Vulikh, E., Shaw, J., et al. (2005). Home-based resistance training is not sufficient to maintain improved glycemic control following supervised training in older individuals with type 2 diabetes. </w:t>
      </w:r>
      <w:r w:rsidRPr="00A07810">
        <w:rPr>
          <w:rFonts w:ascii="Times New Roman" w:hAnsi="Times New Roman" w:cs="Times New Roman"/>
          <w:i/>
          <w:sz w:val="24"/>
          <w:szCs w:val="24"/>
        </w:rPr>
        <w:t xml:space="preserve">Diabetes Care, </w:t>
      </w:r>
      <w:r w:rsidRPr="00A07810">
        <w:rPr>
          <w:rFonts w:ascii="Times New Roman" w:hAnsi="Times New Roman" w:cs="Times New Roman"/>
          <w:sz w:val="24"/>
          <w:szCs w:val="24"/>
        </w:rPr>
        <w:t>28, 3-9.</w:t>
      </w:r>
    </w:p>
    <w:p w14:paraId="19651B84"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Gidlow, C., Johnston, L.H., Crone, D., Morris, C., Smith, A., Foster, C., et al. (2007). Socio-demographic patterning of referral, uptake and attendance in physical activity referral schemes. </w:t>
      </w:r>
      <w:r w:rsidRPr="00A07810">
        <w:rPr>
          <w:rFonts w:ascii="Times New Roman" w:hAnsi="Times New Roman" w:cs="Times New Roman"/>
          <w:i/>
          <w:sz w:val="24"/>
          <w:szCs w:val="24"/>
        </w:rPr>
        <w:t xml:space="preserve">J Public Health, </w:t>
      </w:r>
      <w:r w:rsidRPr="00A07810">
        <w:rPr>
          <w:rFonts w:ascii="Times New Roman" w:hAnsi="Times New Roman" w:cs="Times New Roman"/>
          <w:sz w:val="24"/>
          <w:szCs w:val="24"/>
        </w:rPr>
        <w:t>29, 107-113.</w:t>
      </w:r>
    </w:p>
    <w:p w14:paraId="4E4F8250"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Greulich, T., Kehr, K., Nell, C., Koepke, J., Haid, D., Koehler, U., et al. (2014). A randomized clinical trial to assess the influence of a three months training program (gym-based individualized vs. calisthenics-based non-invidualized) in COPD-patients. </w:t>
      </w:r>
      <w:r w:rsidRPr="00A07810">
        <w:rPr>
          <w:rFonts w:ascii="Times New Roman" w:hAnsi="Times New Roman" w:cs="Times New Roman"/>
          <w:i/>
          <w:sz w:val="24"/>
          <w:szCs w:val="24"/>
        </w:rPr>
        <w:t xml:space="preserve">Respir Res, </w:t>
      </w:r>
      <w:r w:rsidRPr="00A07810">
        <w:rPr>
          <w:rFonts w:ascii="Times New Roman" w:hAnsi="Times New Roman" w:cs="Times New Roman"/>
          <w:sz w:val="24"/>
          <w:szCs w:val="24"/>
        </w:rPr>
        <w:t>15, 36-36.</w:t>
      </w:r>
    </w:p>
    <w:p w14:paraId="4FF024A2"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Grobler, L., Marais, B.J., &amp; Mabunda, S. (2015). Interventions for increasing the proportion of health professionals practising in rural and other underserved areas. </w:t>
      </w:r>
      <w:r w:rsidRPr="00A07810">
        <w:rPr>
          <w:rFonts w:ascii="Times New Roman" w:hAnsi="Times New Roman" w:cs="Times New Roman"/>
          <w:i/>
          <w:sz w:val="24"/>
          <w:szCs w:val="24"/>
        </w:rPr>
        <w:t>Cochrane Database Syst Rev</w:t>
      </w:r>
      <w:r w:rsidRPr="00A07810">
        <w:rPr>
          <w:rFonts w:ascii="Times New Roman" w:hAnsi="Times New Roman" w:cs="Times New Roman"/>
          <w:sz w:val="24"/>
          <w:szCs w:val="24"/>
        </w:rPr>
        <w:t>.</w:t>
      </w:r>
    </w:p>
    <w:p w14:paraId="73053CE5"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Gruber, J. (2006). The role of consumer copayments for health care: Lessons from the RAND health insurance experiment and beyond. Massachusetts: The Henry J Kaiser Foundation.</w:t>
      </w:r>
    </w:p>
    <w:p w14:paraId="481B6139"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Hämäläinen, R.-M., Sandu, P., Syed, A.M., &amp; Jakobsen, M.W. (2016). An evaluation of equity and equality in physical activity policies in four European countries. </w:t>
      </w:r>
      <w:r w:rsidRPr="00A07810">
        <w:rPr>
          <w:rFonts w:ascii="Times New Roman" w:hAnsi="Times New Roman" w:cs="Times New Roman"/>
          <w:i/>
          <w:sz w:val="24"/>
          <w:szCs w:val="24"/>
        </w:rPr>
        <w:t xml:space="preserve">Int J Equity Health, </w:t>
      </w:r>
      <w:r w:rsidRPr="00A07810">
        <w:rPr>
          <w:rFonts w:ascii="Times New Roman" w:hAnsi="Times New Roman" w:cs="Times New Roman"/>
          <w:sz w:val="24"/>
          <w:szCs w:val="24"/>
        </w:rPr>
        <w:t>15, 191.</w:t>
      </w:r>
    </w:p>
    <w:p w14:paraId="56579A7E"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Hamlin, M.J., Yule, E., Elliot, C.A., Stoner, L., &amp; Kathiravel, Y. (2016). Long-term effectiveness of the New Zealand Green Prescription primary health care exercise initiative. </w:t>
      </w:r>
      <w:r w:rsidRPr="00A07810">
        <w:rPr>
          <w:rFonts w:ascii="Times New Roman" w:hAnsi="Times New Roman" w:cs="Times New Roman"/>
          <w:i/>
          <w:sz w:val="24"/>
          <w:szCs w:val="24"/>
        </w:rPr>
        <w:t xml:space="preserve">Public Health, </w:t>
      </w:r>
      <w:r w:rsidRPr="00A07810">
        <w:rPr>
          <w:rFonts w:ascii="Times New Roman" w:hAnsi="Times New Roman" w:cs="Times New Roman"/>
          <w:sz w:val="24"/>
          <w:szCs w:val="24"/>
        </w:rPr>
        <w:t>140, 102-108.</w:t>
      </w:r>
    </w:p>
    <w:p w14:paraId="02B35E9E"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lastRenderedPageBreak/>
        <w:t xml:space="preserve">Hanson, S., Cross, J., &amp; Jones, A. (2016a). Promoting physical activity interventions in communities with poor health and socio-economic profiles: a process evaluation of the implementation of a new walking group scheme. </w:t>
      </w:r>
      <w:r w:rsidRPr="00A07810">
        <w:rPr>
          <w:rFonts w:ascii="Times New Roman" w:hAnsi="Times New Roman" w:cs="Times New Roman"/>
          <w:i/>
          <w:sz w:val="24"/>
          <w:szCs w:val="24"/>
        </w:rPr>
        <w:t xml:space="preserve">Soc Sci Med, </w:t>
      </w:r>
      <w:r w:rsidRPr="00A07810">
        <w:rPr>
          <w:rFonts w:ascii="Times New Roman" w:hAnsi="Times New Roman" w:cs="Times New Roman"/>
          <w:sz w:val="24"/>
          <w:szCs w:val="24"/>
        </w:rPr>
        <w:t>169, 77-85.</w:t>
      </w:r>
    </w:p>
    <w:p w14:paraId="0D78132E"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Hanson, S., Guell, C., &amp; Jones, A. (2016b). Walking groups in socioeconomically deprived communities: a qualitative study using photo elicitation. </w:t>
      </w:r>
      <w:r w:rsidRPr="00A07810">
        <w:rPr>
          <w:rFonts w:ascii="Times New Roman" w:hAnsi="Times New Roman" w:cs="Times New Roman"/>
          <w:i/>
          <w:sz w:val="24"/>
          <w:szCs w:val="24"/>
        </w:rPr>
        <w:t xml:space="preserve">Health Place, </w:t>
      </w:r>
      <w:r w:rsidRPr="00A07810">
        <w:rPr>
          <w:rFonts w:ascii="Times New Roman" w:hAnsi="Times New Roman" w:cs="Times New Roman"/>
          <w:sz w:val="24"/>
          <w:szCs w:val="24"/>
        </w:rPr>
        <w:t>39, 26-33.</w:t>
      </w:r>
    </w:p>
    <w:p w14:paraId="4EAADE3E"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Harrison, R.A., McNair, F., &amp; Dugdill, L. (2005). Access to exercise referral schemes – a population based analysis. </w:t>
      </w:r>
      <w:r w:rsidRPr="00A07810">
        <w:rPr>
          <w:rFonts w:ascii="Times New Roman" w:hAnsi="Times New Roman" w:cs="Times New Roman"/>
          <w:i/>
          <w:sz w:val="24"/>
          <w:szCs w:val="24"/>
        </w:rPr>
        <w:t xml:space="preserve">J Public Health, </w:t>
      </w:r>
      <w:r w:rsidRPr="00A07810">
        <w:rPr>
          <w:rFonts w:ascii="Times New Roman" w:hAnsi="Times New Roman" w:cs="Times New Roman"/>
          <w:sz w:val="24"/>
          <w:szCs w:val="24"/>
        </w:rPr>
        <w:t>27, 326-330.</w:t>
      </w:r>
    </w:p>
    <w:p w14:paraId="63B6A34B"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Hayashino, Y., Jackson, J.L., Fukumori, N., Nakamura, F., &amp; Fukuhara, S. (2012). Effects of supervised exercise on lipid profiles and blood pressure control in people with type 2 diabetes mellitus: a meta-analysis of randomized controlled trials. </w:t>
      </w:r>
      <w:r w:rsidRPr="00A07810">
        <w:rPr>
          <w:rFonts w:ascii="Times New Roman" w:hAnsi="Times New Roman" w:cs="Times New Roman"/>
          <w:i/>
          <w:sz w:val="24"/>
          <w:szCs w:val="24"/>
        </w:rPr>
        <w:t xml:space="preserve">Diabetes Res Clin Pract, </w:t>
      </w:r>
      <w:r w:rsidRPr="00A07810">
        <w:rPr>
          <w:rFonts w:ascii="Times New Roman" w:hAnsi="Times New Roman" w:cs="Times New Roman"/>
          <w:sz w:val="24"/>
          <w:szCs w:val="24"/>
        </w:rPr>
        <w:t>98, 349-360.</w:t>
      </w:r>
    </w:p>
    <w:p w14:paraId="1C472111"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Hernandez-Hernandez, M.V., &amp; Diaz-Gonzalez, F. (2017). Role of physical activity in the management and assessment of rheumatoid arthritis patients. </w:t>
      </w:r>
      <w:r w:rsidRPr="00A07810">
        <w:rPr>
          <w:rFonts w:ascii="Times New Roman" w:hAnsi="Times New Roman" w:cs="Times New Roman"/>
          <w:i/>
          <w:sz w:val="24"/>
          <w:szCs w:val="24"/>
        </w:rPr>
        <w:t xml:space="preserve">Reumatología Clínica, </w:t>
      </w:r>
      <w:r w:rsidRPr="00A07810">
        <w:rPr>
          <w:rFonts w:ascii="Times New Roman" w:hAnsi="Times New Roman" w:cs="Times New Roman"/>
          <w:sz w:val="24"/>
          <w:szCs w:val="24"/>
        </w:rPr>
        <w:t>13, 214-220.</w:t>
      </w:r>
    </w:p>
    <w:p w14:paraId="7518EC8F"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Johar, M., Jones, G., &amp; Savage, E. (2014). What explains the quality and price of GP services? an investigation using linked survey and administrative data. </w:t>
      </w:r>
      <w:r w:rsidRPr="00A07810">
        <w:rPr>
          <w:rFonts w:ascii="Times New Roman" w:hAnsi="Times New Roman" w:cs="Times New Roman"/>
          <w:i/>
          <w:sz w:val="24"/>
          <w:szCs w:val="24"/>
        </w:rPr>
        <w:t xml:space="preserve">Health Econ, </w:t>
      </w:r>
      <w:r w:rsidRPr="00A07810">
        <w:rPr>
          <w:rFonts w:ascii="Times New Roman" w:hAnsi="Times New Roman" w:cs="Times New Roman"/>
          <w:sz w:val="24"/>
          <w:szCs w:val="24"/>
        </w:rPr>
        <w:t>23, 1115-1133.</w:t>
      </w:r>
    </w:p>
    <w:p w14:paraId="79FE76A5"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Johar, M., Mu, C., Gool, K.V., &amp; Wong, C.Y. (2017). Bleeding hearts, profiteers, or both: specialist physician fees in an unregulated market. </w:t>
      </w:r>
      <w:r w:rsidRPr="00A07810">
        <w:rPr>
          <w:rFonts w:ascii="Times New Roman" w:hAnsi="Times New Roman" w:cs="Times New Roman"/>
          <w:i/>
          <w:sz w:val="24"/>
          <w:szCs w:val="24"/>
        </w:rPr>
        <w:t xml:space="preserve">Health Econ, </w:t>
      </w:r>
      <w:r w:rsidRPr="00A07810">
        <w:rPr>
          <w:rFonts w:ascii="Times New Roman" w:hAnsi="Times New Roman" w:cs="Times New Roman"/>
          <w:sz w:val="24"/>
          <w:szCs w:val="24"/>
        </w:rPr>
        <w:t>26, 528-535.</w:t>
      </w:r>
    </w:p>
    <w:p w14:paraId="2D93B225"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Kurdyak, P., Stukel, T.A., Goldbloom, D., Kopp, A., Zagorski, B.M., &amp; Mulsant, B.H. (2014). Universal coverage without universal access: a study of psychiatrist supply and practice patterns in Ontario. </w:t>
      </w:r>
      <w:r w:rsidRPr="00A07810">
        <w:rPr>
          <w:rFonts w:ascii="Times New Roman" w:hAnsi="Times New Roman" w:cs="Times New Roman"/>
          <w:i/>
          <w:sz w:val="24"/>
          <w:szCs w:val="24"/>
        </w:rPr>
        <w:t xml:space="preserve">Open Med, </w:t>
      </w:r>
      <w:r w:rsidRPr="00A07810">
        <w:rPr>
          <w:rFonts w:ascii="Times New Roman" w:hAnsi="Times New Roman" w:cs="Times New Roman"/>
          <w:sz w:val="24"/>
          <w:szCs w:val="24"/>
        </w:rPr>
        <w:t>8, e87-99.</w:t>
      </w:r>
    </w:p>
    <w:p w14:paraId="3E0AC4CC"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Morris, J.H., Macgillivray, S., &amp; McFarlane, S. (2014). Interventions to promote long-term participation in physical activity after stroke: a systematic review of the literature. </w:t>
      </w:r>
      <w:r w:rsidRPr="00A07810">
        <w:rPr>
          <w:rFonts w:ascii="Times New Roman" w:hAnsi="Times New Roman" w:cs="Times New Roman"/>
          <w:i/>
          <w:sz w:val="24"/>
          <w:szCs w:val="24"/>
        </w:rPr>
        <w:t xml:space="preserve">Arch Phys Med Rehabil, </w:t>
      </w:r>
      <w:r w:rsidRPr="00A07810">
        <w:rPr>
          <w:rFonts w:ascii="Times New Roman" w:hAnsi="Times New Roman" w:cs="Times New Roman"/>
          <w:sz w:val="24"/>
          <w:szCs w:val="24"/>
        </w:rPr>
        <w:t>95, 956-967.</w:t>
      </w:r>
    </w:p>
    <w:p w14:paraId="2A92DEA6"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lastRenderedPageBreak/>
        <w:t xml:space="preserve">Murphy, S.M., Edwards, R.T., Williams, N., Raisanen, L., Moore, G., Linck, P., et al. (2012). An evaluation of the effectiveness and cost effectiveness of the National Exercise Referral Scheme in Wales, UK: a randomised controlled trial of a public health policy initiative. </w:t>
      </w:r>
      <w:r w:rsidRPr="00A07810">
        <w:rPr>
          <w:rFonts w:ascii="Times New Roman" w:hAnsi="Times New Roman" w:cs="Times New Roman"/>
          <w:i/>
          <w:sz w:val="24"/>
          <w:szCs w:val="24"/>
        </w:rPr>
        <w:t xml:space="preserve">J Epidemiol Community Health, </w:t>
      </w:r>
      <w:r w:rsidRPr="00A07810">
        <w:rPr>
          <w:rFonts w:ascii="Times New Roman" w:hAnsi="Times New Roman" w:cs="Times New Roman"/>
          <w:sz w:val="24"/>
          <w:szCs w:val="24"/>
        </w:rPr>
        <w:t>66, 745-753.</w:t>
      </w:r>
    </w:p>
    <w:p w14:paraId="5D92AEC9"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Olney, S.J., Nymark, J., Brouwer, B., Culham, E., Day, A., Heard, J., et al. (2006). A randomized controlled trial of supervised versus unsupervised exercise programs for ambulatory stroke survivors. </w:t>
      </w:r>
      <w:r w:rsidRPr="00A07810">
        <w:rPr>
          <w:rFonts w:ascii="Times New Roman" w:hAnsi="Times New Roman" w:cs="Times New Roman"/>
          <w:i/>
          <w:sz w:val="24"/>
          <w:szCs w:val="24"/>
        </w:rPr>
        <w:t xml:space="preserve">Stroke, </w:t>
      </w:r>
      <w:r w:rsidRPr="00A07810">
        <w:rPr>
          <w:rFonts w:ascii="Times New Roman" w:hAnsi="Times New Roman" w:cs="Times New Roman"/>
          <w:sz w:val="24"/>
          <w:szCs w:val="24"/>
        </w:rPr>
        <w:t>37, 476-481.</w:t>
      </w:r>
    </w:p>
    <w:p w14:paraId="2DD469F3"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Pavey, T.G., Anokye, N., Taylor, A.H., Trueman, P., Moxham, T., Fox, K.R., et al. (2011). The clinical effectiveness and cost effectiveness of exercise referral schemes: a systematic review and economic evaluation. </w:t>
      </w:r>
      <w:r w:rsidRPr="00A07810">
        <w:rPr>
          <w:rFonts w:ascii="Times New Roman" w:hAnsi="Times New Roman" w:cs="Times New Roman"/>
          <w:i/>
          <w:sz w:val="24"/>
          <w:szCs w:val="24"/>
        </w:rPr>
        <w:t xml:space="preserve">Health Technol Assess, </w:t>
      </w:r>
      <w:r w:rsidRPr="00A07810">
        <w:rPr>
          <w:rFonts w:ascii="Times New Roman" w:hAnsi="Times New Roman" w:cs="Times New Roman"/>
          <w:sz w:val="24"/>
          <w:szCs w:val="24"/>
        </w:rPr>
        <w:t>15, i-254.</w:t>
      </w:r>
    </w:p>
    <w:p w14:paraId="34BDD9CA"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Powell, L.M., Slater, S., Chaloupka, F.J., &amp; Harper, D. (2006). Availability of physical activity–related facilities and neighborhood demographic and socioeconomic characteristics: a national study. </w:t>
      </w:r>
      <w:r w:rsidRPr="00A07810">
        <w:rPr>
          <w:rFonts w:ascii="Times New Roman" w:hAnsi="Times New Roman" w:cs="Times New Roman"/>
          <w:i/>
          <w:sz w:val="24"/>
          <w:szCs w:val="24"/>
        </w:rPr>
        <w:t xml:space="preserve">Am J Public Health, </w:t>
      </w:r>
      <w:r w:rsidRPr="00A07810">
        <w:rPr>
          <w:rFonts w:ascii="Times New Roman" w:hAnsi="Times New Roman" w:cs="Times New Roman"/>
          <w:sz w:val="24"/>
          <w:szCs w:val="24"/>
        </w:rPr>
        <w:t>96, 1676-1680.</w:t>
      </w:r>
    </w:p>
    <w:p w14:paraId="4357E757"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Qiu, S.H., Sun, Z.L., Cai, X., Liu, L., &amp; Yang, B. (2012). Improving patients' adherence to physical activity in diabetes mellitus: a review. </w:t>
      </w:r>
      <w:r w:rsidRPr="00A07810">
        <w:rPr>
          <w:rFonts w:ascii="Times New Roman" w:hAnsi="Times New Roman" w:cs="Times New Roman"/>
          <w:i/>
          <w:sz w:val="24"/>
          <w:szCs w:val="24"/>
        </w:rPr>
        <w:t xml:space="preserve">Diabetes Metab J, </w:t>
      </w:r>
      <w:r w:rsidRPr="00A07810">
        <w:rPr>
          <w:rFonts w:ascii="Times New Roman" w:hAnsi="Times New Roman" w:cs="Times New Roman"/>
          <w:sz w:val="24"/>
          <w:szCs w:val="24"/>
        </w:rPr>
        <w:t>36, 1-5.</w:t>
      </w:r>
    </w:p>
    <w:p w14:paraId="1A86D8EC"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Rogers, L.Q., Courneya, K.S., Anton, P.M., Hopkins-Price, P., Verhulst, S., Vicari, S.K., et al. (2015). Effects of the BEAT Cancer physical activity behavior change intervention on physical activity, aerobic fitness, and quality of life in breast cancer survivors: A multicenter randomized controlled trial. </w:t>
      </w:r>
      <w:r w:rsidRPr="00A07810">
        <w:rPr>
          <w:rFonts w:ascii="Times New Roman" w:hAnsi="Times New Roman" w:cs="Times New Roman"/>
          <w:i/>
          <w:sz w:val="24"/>
          <w:szCs w:val="24"/>
        </w:rPr>
        <w:t xml:space="preserve">Breast Cancer Res Treat, </w:t>
      </w:r>
      <w:r w:rsidRPr="00A07810">
        <w:rPr>
          <w:rFonts w:ascii="Times New Roman" w:hAnsi="Times New Roman" w:cs="Times New Roman"/>
          <w:sz w:val="24"/>
          <w:szCs w:val="24"/>
        </w:rPr>
        <w:t>149, 109-119.</w:t>
      </w:r>
    </w:p>
    <w:p w14:paraId="32DA95F7"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Scott, A. (2015). The GP Co-payment: A Short Postmortem  and a New Research Agenda on Medicare. Melbourne, Australia: Melbourne Institute of Applied Economic and Social Research, The University of Melbourne </w:t>
      </w:r>
    </w:p>
    <w:p w14:paraId="5874FDD4"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Shaw, B.A., McGeever, K., Vasquez, E., Agahi, N., &amp; Fors, S. (2014). Socioeconomic inequalities in health after age 50: Are health risk behaviors to blame? </w:t>
      </w:r>
      <w:r w:rsidRPr="00A07810">
        <w:rPr>
          <w:rFonts w:ascii="Times New Roman" w:hAnsi="Times New Roman" w:cs="Times New Roman"/>
          <w:i/>
          <w:sz w:val="24"/>
          <w:szCs w:val="24"/>
        </w:rPr>
        <w:t xml:space="preserve">Soc Sci Med, </w:t>
      </w:r>
      <w:r w:rsidRPr="00A07810">
        <w:rPr>
          <w:rFonts w:ascii="Times New Roman" w:hAnsi="Times New Roman" w:cs="Times New Roman"/>
          <w:sz w:val="24"/>
          <w:szCs w:val="24"/>
        </w:rPr>
        <w:t>101, 52-60.</w:t>
      </w:r>
    </w:p>
    <w:p w14:paraId="233CD806"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lastRenderedPageBreak/>
        <w:t xml:space="preserve">Short, C.E., James, E.L., Girgis, A., D'Souza, M.I., &amp; Plotnikoff, R.C. (2015). Main outcomes of the Move More for Life Trial: a randomised controlled trial examining the effects of tailored-print and targeted-print materials for promoting physical activity among post-treatment breast cancer survivors. </w:t>
      </w:r>
      <w:r w:rsidRPr="00A07810">
        <w:rPr>
          <w:rFonts w:ascii="Times New Roman" w:hAnsi="Times New Roman" w:cs="Times New Roman"/>
          <w:i/>
          <w:sz w:val="24"/>
          <w:szCs w:val="24"/>
        </w:rPr>
        <w:t xml:space="preserve">Psychooncology, </w:t>
      </w:r>
      <w:r w:rsidRPr="00A07810">
        <w:rPr>
          <w:rFonts w:ascii="Times New Roman" w:hAnsi="Times New Roman" w:cs="Times New Roman"/>
          <w:sz w:val="24"/>
          <w:szCs w:val="24"/>
        </w:rPr>
        <w:t>24, 771-778.</w:t>
      </w:r>
    </w:p>
    <w:p w14:paraId="33044BF4"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Sowden, S.L., Breeze, E., Barber, J., &amp; Raine, R. (2008). Do general practices provide equitable access to physical activity interventions? </w:t>
      </w:r>
      <w:r w:rsidRPr="00A07810">
        <w:rPr>
          <w:rFonts w:ascii="Times New Roman" w:hAnsi="Times New Roman" w:cs="Times New Roman"/>
          <w:i/>
          <w:sz w:val="24"/>
          <w:szCs w:val="24"/>
        </w:rPr>
        <w:t xml:space="preserve">Br J Gen Pract, </w:t>
      </w:r>
      <w:r w:rsidRPr="00A07810">
        <w:rPr>
          <w:rFonts w:ascii="Times New Roman" w:hAnsi="Times New Roman" w:cs="Times New Roman"/>
          <w:sz w:val="24"/>
          <w:szCs w:val="24"/>
        </w:rPr>
        <w:t>58, e1-8.</w:t>
      </w:r>
    </w:p>
    <w:p w14:paraId="368A37EB" w14:textId="77777777" w:rsidR="00363485" w:rsidRPr="00A07810" w:rsidRDefault="00363485" w:rsidP="00A07810">
      <w:pPr>
        <w:pStyle w:val="EndNoteBibliography"/>
        <w:spacing w:line="480" w:lineRule="auto"/>
        <w:ind w:left="720" w:hanging="720"/>
        <w:rPr>
          <w:rFonts w:ascii="Times New Roman" w:hAnsi="Times New Roman" w:cs="Times New Roman"/>
          <w:sz w:val="24"/>
          <w:szCs w:val="24"/>
        </w:rPr>
      </w:pPr>
      <w:r w:rsidRPr="00A07810">
        <w:rPr>
          <w:rFonts w:ascii="Times New Roman" w:hAnsi="Times New Roman" w:cs="Times New Roman"/>
          <w:sz w:val="24"/>
          <w:szCs w:val="24"/>
        </w:rPr>
        <w:t xml:space="preserve">Welch, V.A., Petticrew, M., O’Neill, J., Waters, E., Armstrong, R., Bhutta, Z.A., et al. (2013). Health equity: evidence synthesis and knowledge translation methods. </w:t>
      </w:r>
      <w:r w:rsidRPr="00A07810">
        <w:rPr>
          <w:rFonts w:ascii="Times New Roman" w:hAnsi="Times New Roman" w:cs="Times New Roman"/>
          <w:i/>
          <w:sz w:val="24"/>
          <w:szCs w:val="24"/>
        </w:rPr>
        <w:t xml:space="preserve">Syst Rev, </w:t>
      </w:r>
      <w:r w:rsidRPr="00A07810">
        <w:rPr>
          <w:rFonts w:ascii="Times New Roman" w:hAnsi="Times New Roman" w:cs="Times New Roman"/>
          <w:sz w:val="24"/>
          <w:szCs w:val="24"/>
        </w:rPr>
        <w:t>2, 43.</w:t>
      </w:r>
    </w:p>
    <w:p w14:paraId="403586B2" w14:textId="77777777" w:rsidR="00F07EE3" w:rsidRDefault="00F07EE3" w:rsidP="00B26F9E">
      <w:pPr>
        <w:spacing w:after="160" w:line="254" w:lineRule="auto"/>
        <w:rPr>
          <w:szCs w:val="24"/>
        </w:rPr>
      </w:pPr>
      <w:r>
        <w:rPr>
          <w:szCs w:val="24"/>
        </w:rPr>
        <w:t>Table 1. Age breakdown of patients who accessed AEP services in 2015-2016.</w:t>
      </w:r>
    </w:p>
    <w:tbl>
      <w:tblPr>
        <w:tblW w:w="3140" w:type="dxa"/>
        <w:tblInd w:w="108" w:type="dxa"/>
        <w:tblBorders>
          <w:top w:val="single" w:sz="4" w:space="0" w:color="auto"/>
          <w:bottom w:val="single" w:sz="4" w:space="0" w:color="auto"/>
        </w:tblBorders>
        <w:tblLook w:val="04A0" w:firstRow="1" w:lastRow="0" w:firstColumn="1" w:lastColumn="0" w:noHBand="0" w:noVBand="1"/>
      </w:tblPr>
      <w:tblGrid>
        <w:gridCol w:w="1160"/>
        <w:gridCol w:w="1000"/>
        <w:gridCol w:w="980"/>
      </w:tblGrid>
      <w:tr w:rsidR="00F07EE3" w14:paraId="7BB1BC54" w14:textId="77777777" w:rsidTr="00F50751">
        <w:trPr>
          <w:trHeight w:val="315"/>
        </w:trPr>
        <w:tc>
          <w:tcPr>
            <w:tcW w:w="1160" w:type="dxa"/>
            <w:tcBorders>
              <w:top w:val="single" w:sz="4" w:space="0" w:color="auto"/>
              <w:left w:val="nil"/>
              <w:bottom w:val="single" w:sz="4" w:space="0" w:color="auto"/>
              <w:right w:val="nil"/>
            </w:tcBorders>
            <w:noWrap/>
            <w:vAlign w:val="bottom"/>
            <w:hideMark/>
          </w:tcPr>
          <w:p w14:paraId="607D2F68" w14:textId="77777777" w:rsidR="00F07EE3" w:rsidRDefault="00F07EE3" w:rsidP="00F50751">
            <w:pPr>
              <w:spacing w:line="240" w:lineRule="auto"/>
              <w:jc w:val="center"/>
              <w:rPr>
                <w:rFonts w:eastAsia="Times New Roman" w:cs="Times New Roman"/>
                <w:b/>
                <w:bCs/>
                <w:color w:val="000000"/>
                <w:szCs w:val="24"/>
                <w:lang w:eastAsia="en-AU"/>
              </w:rPr>
            </w:pPr>
            <w:r>
              <w:rPr>
                <w:rFonts w:eastAsia="Times New Roman" w:cs="Times New Roman"/>
                <w:b/>
                <w:bCs/>
                <w:color w:val="000000"/>
                <w:szCs w:val="24"/>
                <w:lang w:eastAsia="en-AU"/>
              </w:rPr>
              <w:t>Age (years)</w:t>
            </w:r>
          </w:p>
        </w:tc>
        <w:tc>
          <w:tcPr>
            <w:tcW w:w="1000" w:type="dxa"/>
            <w:tcBorders>
              <w:top w:val="single" w:sz="4" w:space="0" w:color="auto"/>
              <w:left w:val="nil"/>
              <w:bottom w:val="single" w:sz="4" w:space="0" w:color="auto"/>
              <w:right w:val="nil"/>
            </w:tcBorders>
            <w:noWrap/>
            <w:vAlign w:val="bottom"/>
            <w:hideMark/>
          </w:tcPr>
          <w:p w14:paraId="3D909354" w14:textId="77777777" w:rsidR="00F07EE3" w:rsidRDefault="00F07EE3" w:rsidP="00F50751">
            <w:pPr>
              <w:spacing w:line="240" w:lineRule="auto"/>
              <w:jc w:val="center"/>
              <w:rPr>
                <w:rFonts w:eastAsia="Times New Roman" w:cs="Times New Roman"/>
                <w:b/>
                <w:bCs/>
                <w:color w:val="000000"/>
                <w:szCs w:val="24"/>
                <w:lang w:eastAsia="en-AU"/>
              </w:rPr>
            </w:pPr>
            <w:r>
              <w:rPr>
                <w:rFonts w:eastAsia="Times New Roman" w:cs="Times New Roman"/>
                <w:b/>
                <w:bCs/>
                <w:color w:val="000000"/>
                <w:szCs w:val="24"/>
                <w:lang w:eastAsia="en-AU"/>
              </w:rPr>
              <w:t>n</w:t>
            </w:r>
          </w:p>
        </w:tc>
        <w:tc>
          <w:tcPr>
            <w:tcW w:w="980" w:type="dxa"/>
            <w:tcBorders>
              <w:top w:val="single" w:sz="4" w:space="0" w:color="auto"/>
              <w:left w:val="nil"/>
              <w:bottom w:val="single" w:sz="4" w:space="0" w:color="auto"/>
              <w:right w:val="nil"/>
            </w:tcBorders>
            <w:noWrap/>
            <w:vAlign w:val="bottom"/>
            <w:hideMark/>
          </w:tcPr>
          <w:p w14:paraId="6E70E297" w14:textId="77777777" w:rsidR="00F07EE3" w:rsidRDefault="00F07EE3" w:rsidP="00F50751">
            <w:pPr>
              <w:spacing w:line="240" w:lineRule="auto"/>
              <w:jc w:val="center"/>
              <w:rPr>
                <w:rFonts w:eastAsia="Times New Roman" w:cs="Times New Roman"/>
                <w:b/>
                <w:bCs/>
                <w:color w:val="000000"/>
                <w:szCs w:val="24"/>
                <w:lang w:eastAsia="en-AU"/>
              </w:rPr>
            </w:pPr>
            <w:r>
              <w:rPr>
                <w:rFonts w:eastAsia="Times New Roman" w:cs="Times New Roman"/>
                <w:b/>
                <w:bCs/>
                <w:color w:val="000000"/>
                <w:szCs w:val="24"/>
                <w:lang w:eastAsia="en-AU"/>
              </w:rPr>
              <w:t>%</w:t>
            </w:r>
          </w:p>
        </w:tc>
      </w:tr>
      <w:tr w:rsidR="00F07EE3" w14:paraId="4F08A5FA" w14:textId="77777777" w:rsidTr="00F50751">
        <w:trPr>
          <w:trHeight w:val="315"/>
        </w:trPr>
        <w:tc>
          <w:tcPr>
            <w:tcW w:w="1160" w:type="dxa"/>
            <w:tcBorders>
              <w:top w:val="nil"/>
              <w:left w:val="nil"/>
              <w:bottom w:val="nil"/>
              <w:right w:val="nil"/>
            </w:tcBorders>
            <w:vAlign w:val="center"/>
            <w:hideMark/>
          </w:tcPr>
          <w:p w14:paraId="6C92DDEC" w14:textId="77777777" w:rsidR="00F07EE3" w:rsidRDefault="00F07EE3" w:rsidP="00F50751">
            <w:pPr>
              <w:spacing w:line="240" w:lineRule="auto"/>
              <w:jc w:val="center"/>
              <w:rPr>
                <w:rFonts w:eastAsia="Times New Roman" w:cs="Times New Roman"/>
                <w:color w:val="000000"/>
                <w:szCs w:val="24"/>
                <w:lang w:eastAsia="en-AU"/>
              </w:rPr>
            </w:pPr>
            <w:r>
              <w:rPr>
                <w:color w:val="000000"/>
              </w:rPr>
              <w:t>0-4</w:t>
            </w:r>
          </w:p>
        </w:tc>
        <w:tc>
          <w:tcPr>
            <w:tcW w:w="1000" w:type="dxa"/>
            <w:tcBorders>
              <w:top w:val="nil"/>
              <w:left w:val="nil"/>
              <w:bottom w:val="nil"/>
              <w:right w:val="nil"/>
            </w:tcBorders>
            <w:vAlign w:val="center"/>
            <w:hideMark/>
          </w:tcPr>
          <w:p w14:paraId="595886DE"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89</w:t>
            </w:r>
          </w:p>
        </w:tc>
        <w:tc>
          <w:tcPr>
            <w:tcW w:w="980" w:type="dxa"/>
            <w:tcBorders>
              <w:top w:val="nil"/>
              <w:left w:val="nil"/>
              <w:bottom w:val="nil"/>
              <w:right w:val="nil"/>
            </w:tcBorders>
            <w:noWrap/>
            <w:vAlign w:val="center"/>
            <w:hideMark/>
          </w:tcPr>
          <w:p w14:paraId="343ACE49" w14:textId="77777777" w:rsidR="00F07EE3" w:rsidRDefault="00F07EE3" w:rsidP="00F50751">
            <w:pPr>
              <w:spacing w:line="240" w:lineRule="auto"/>
              <w:jc w:val="right"/>
              <w:rPr>
                <w:rFonts w:eastAsia="Times New Roman" w:cs="Times New Roman"/>
                <w:color w:val="000000"/>
                <w:szCs w:val="24"/>
                <w:lang w:eastAsia="en-AU"/>
              </w:rPr>
            </w:pPr>
            <w:r>
              <w:rPr>
                <w:color w:val="000000"/>
              </w:rPr>
              <w:t>&lt;0.1</w:t>
            </w:r>
          </w:p>
        </w:tc>
      </w:tr>
      <w:tr w:rsidR="00F07EE3" w14:paraId="6983567B" w14:textId="77777777" w:rsidTr="00F50751">
        <w:trPr>
          <w:trHeight w:val="167"/>
        </w:trPr>
        <w:tc>
          <w:tcPr>
            <w:tcW w:w="1160" w:type="dxa"/>
            <w:tcBorders>
              <w:top w:val="nil"/>
              <w:left w:val="nil"/>
              <w:bottom w:val="nil"/>
              <w:right w:val="nil"/>
            </w:tcBorders>
            <w:vAlign w:val="center"/>
            <w:hideMark/>
          </w:tcPr>
          <w:p w14:paraId="19D45166" w14:textId="77777777" w:rsidR="00F07EE3" w:rsidRDefault="00F07EE3" w:rsidP="00F50751">
            <w:pPr>
              <w:spacing w:line="240" w:lineRule="auto"/>
              <w:jc w:val="center"/>
              <w:rPr>
                <w:rFonts w:eastAsia="Times New Roman" w:cs="Times New Roman"/>
                <w:color w:val="000000"/>
                <w:szCs w:val="24"/>
                <w:lang w:eastAsia="en-AU"/>
              </w:rPr>
            </w:pPr>
            <w:r>
              <w:rPr>
                <w:color w:val="000000"/>
              </w:rPr>
              <w:t xml:space="preserve">  5-14</w:t>
            </w:r>
          </w:p>
        </w:tc>
        <w:tc>
          <w:tcPr>
            <w:tcW w:w="1000" w:type="dxa"/>
            <w:tcBorders>
              <w:top w:val="nil"/>
              <w:left w:val="nil"/>
              <w:bottom w:val="nil"/>
              <w:right w:val="nil"/>
            </w:tcBorders>
            <w:vAlign w:val="center"/>
            <w:hideMark/>
          </w:tcPr>
          <w:p w14:paraId="014366E9"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2,239</w:t>
            </w:r>
          </w:p>
        </w:tc>
        <w:tc>
          <w:tcPr>
            <w:tcW w:w="980" w:type="dxa"/>
            <w:tcBorders>
              <w:top w:val="nil"/>
              <w:left w:val="nil"/>
              <w:bottom w:val="nil"/>
              <w:right w:val="nil"/>
            </w:tcBorders>
            <w:noWrap/>
            <w:vAlign w:val="center"/>
            <w:hideMark/>
          </w:tcPr>
          <w:p w14:paraId="11CFBC9C" w14:textId="77777777" w:rsidR="00F07EE3" w:rsidRDefault="00F07EE3" w:rsidP="00F50751">
            <w:pPr>
              <w:spacing w:line="240" w:lineRule="auto"/>
              <w:jc w:val="right"/>
              <w:rPr>
                <w:rFonts w:eastAsia="Times New Roman" w:cs="Times New Roman"/>
                <w:color w:val="000000"/>
                <w:szCs w:val="24"/>
                <w:lang w:eastAsia="en-AU"/>
              </w:rPr>
            </w:pPr>
            <w:r>
              <w:rPr>
                <w:color w:val="000000"/>
              </w:rPr>
              <w:t>0.9</w:t>
            </w:r>
          </w:p>
        </w:tc>
      </w:tr>
      <w:tr w:rsidR="00F07EE3" w14:paraId="625DDD30" w14:textId="77777777" w:rsidTr="00F50751">
        <w:trPr>
          <w:trHeight w:val="315"/>
        </w:trPr>
        <w:tc>
          <w:tcPr>
            <w:tcW w:w="1160" w:type="dxa"/>
            <w:tcBorders>
              <w:top w:val="nil"/>
              <w:left w:val="nil"/>
              <w:bottom w:val="nil"/>
              <w:right w:val="nil"/>
            </w:tcBorders>
            <w:vAlign w:val="center"/>
            <w:hideMark/>
          </w:tcPr>
          <w:p w14:paraId="6E999FA9" w14:textId="77777777" w:rsidR="00F07EE3" w:rsidRDefault="00F07EE3" w:rsidP="00F50751">
            <w:pPr>
              <w:spacing w:line="240" w:lineRule="auto"/>
              <w:jc w:val="center"/>
              <w:rPr>
                <w:rFonts w:eastAsia="Times New Roman" w:cs="Times New Roman"/>
                <w:color w:val="000000"/>
                <w:szCs w:val="24"/>
                <w:lang w:eastAsia="en-AU"/>
              </w:rPr>
            </w:pPr>
            <w:r>
              <w:rPr>
                <w:color w:val="000000"/>
              </w:rPr>
              <w:t>15-24</w:t>
            </w:r>
          </w:p>
        </w:tc>
        <w:tc>
          <w:tcPr>
            <w:tcW w:w="1000" w:type="dxa"/>
            <w:tcBorders>
              <w:top w:val="nil"/>
              <w:left w:val="nil"/>
              <w:bottom w:val="nil"/>
              <w:right w:val="nil"/>
            </w:tcBorders>
            <w:vAlign w:val="center"/>
            <w:hideMark/>
          </w:tcPr>
          <w:p w14:paraId="168EF901"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10,600</w:t>
            </w:r>
          </w:p>
        </w:tc>
        <w:tc>
          <w:tcPr>
            <w:tcW w:w="980" w:type="dxa"/>
            <w:tcBorders>
              <w:top w:val="nil"/>
              <w:left w:val="nil"/>
              <w:bottom w:val="nil"/>
              <w:right w:val="nil"/>
            </w:tcBorders>
            <w:noWrap/>
            <w:vAlign w:val="center"/>
            <w:hideMark/>
          </w:tcPr>
          <w:p w14:paraId="05F35057" w14:textId="77777777" w:rsidR="00F07EE3" w:rsidRDefault="00F07EE3" w:rsidP="00F50751">
            <w:pPr>
              <w:spacing w:line="240" w:lineRule="auto"/>
              <w:jc w:val="right"/>
              <w:rPr>
                <w:rFonts w:eastAsia="Times New Roman" w:cs="Times New Roman"/>
                <w:color w:val="000000"/>
                <w:szCs w:val="24"/>
                <w:lang w:eastAsia="en-AU"/>
              </w:rPr>
            </w:pPr>
            <w:r>
              <w:rPr>
                <w:color w:val="000000"/>
              </w:rPr>
              <w:t>4.4</w:t>
            </w:r>
          </w:p>
        </w:tc>
      </w:tr>
      <w:tr w:rsidR="00F07EE3" w14:paraId="62A1102D" w14:textId="77777777" w:rsidTr="00F50751">
        <w:trPr>
          <w:trHeight w:val="315"/>
        </w:trPr>
        <w:tc>
          <w:tcPr>
            <w:tcW w:w="1160" w:type="dxa"/>
            <w:tcBorders>
              <w:top w:val="nil"/>
              <w:left w:val="nil"/>
              <w:bottom w:val="nil"/>
              <w:right w:val="nil"/>
            </w:tcBorders>
            <w:vAlign w:val="center"/>
            <w:hideMark/>
          </w:tcPr>
          <w:p w14:paraId="45FB747F" w14:textId="77777777" w:rsidR="00F07EE3" w:rsidRDefault="00F07EE3" w:rsidP="00F50751">
            <w:pPr>
              <w:spacing w:line="240" w:lineRule="auto"/>
              <w:jc w:val="center"/>
              <w:rPr>
                <w:rFonts w:eastAsia="Times New Roman" w:cs="Times New Roman"/>
                <w:color w:val="000000"/>
                <w:szCs w:val="24"/>
                <w:lang w:eastAsia="en-AU"/>
              </w:rPr>
            </w:pPr>
            <w:r>
              <w:rPr>
                <w:color w:val="000000"/>
              </w:rPr>
              <w:t>25-34</w:t>
            </w:r>
          </w:p>
        </w:tc>
        <w:tc>
          <w:tcPr>
            <w:tcW w:w="1000" w:type="dxa"/>
            <w:tcBorders>
              <w:top w:val="nil"/>
              <w:left w:val="nil"/>
              <w:bottom w:val="nil"/>
              <w:right w:val="nil"/>
            </w:tcBorders>
            <w:vAlign w:val="center"/>
            <w:hideMark/>
          </w:tcPr>
          <w:p w14:paraId="5AB101DA"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17,907</w:t>
            </w:r>
          </w:p>
        </w:tc>
        <w:tc>
          <w:tcPr>
            <w:tcW w:w="980" w:type="dxa"/>
            <w:tcBorders>
              <w:top w:val="nil"/>
              <w:left w:val="nil"/>
              <w:bottom w:val="nil"/>
              <w:right w:val="nil"/>
            </w:tcBorders>
            <w:noWrap/>
            <w:vAlign w:val="center"/>
            <w:hideMark/>
          </w:tcPr>
          <w:p w14:paraId="53A1009B" w14:textId="77777777" w:rsidR="00F07EE3" w:rsidRDefault="00F07EE3" w:rsidP="00F50751">
            <w:pPr>
              <w:spacing w:line="240" w:lineRule="auto"/>
              <w:jc w:val="right"/>
              <w:rPr>
                <w:rFonts w:eastAsia="Times New Roman" w:cs="Times New Roman"/>
                <w:color w:val="000000"/>
                <w:szCs w:val="24"/>
                <w:lang w:eastAsia="en-AU"/>
              </w:rPr>
            </w:pPr>
            <w:r>
              <w:rPr>
                <w:color w:val="000000"/>
              </w:rPr>
              <w:t>7.4</w:t>
            </w:r>
          </w:p>
        </w:tc>
      </w:tr>
      <w:tr w:rsidR="00F07EE3" w14:paraId="3D64752A" w14:textId="77777777" w:rsidTr="00F50751">
        <w:trPr>
          <w:trHeight w:val="315"/>
        </w:trPr>
        <w:tc>
          <w:tcPr>
            <w:tcW w:w="1160" w:type="dxa"/>
            <w:tcBorders>
              <w:top w:val="nil"/>
              <w:left w:val="nil"/>
              <w:bottom w:val="nil"/>
              <w:right w:val="nil"/>
            </w:tcBorders>
            <w:vAlign w:val="center"/>
            <w:hideMark/>
          </w:tcPr>
          <w:p w14:paraId="57F66E54" w14:textId="77777777" w:rsidR="00F07EE3" w:rsidRDefault="00F07EE3" w:rsidP="00F50751">
            <w:pPr>
              <w:spacing w:line="240" w:lineRule="auto"/>
              <w:jc w:val="center"/>
              <w:rPr>
                <w:rFonts w:eastAsia="Times New Roman" w:cs="Times New Roman"/>
                <w:color w:val="000000"/>
                <w:szCs w:val="24"/>
                <w:lang w:eastAsia="en-AU"/>
              </w:rPr>
            </w:pPr>
            <w:r>
              <w:rPr>
                <w:color w:val="000000"/>
              </w:rPr>
              <w:t>35-44</w:t>
            </w:r>
          </w:p>
        </w:tc>
        <w:tc>
          <w:tcPr>
            <w:tcW w:w="1000" w:type="dxa"/>
            <w:tcBorders>
              <w:top w:val="nil"/>
              <w:left w:val="nil"/>
              <w:bottom w:val="nil"/>
              <w:right w:val="nil"/>
            </w:tcBorders>
            <w:vAlign w:val="center"/>
            <w:hideMark/>
          </w:tcPr>
          <w:p w14:paraId="23F38082"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27,250</w:t>
            </w:r>
          </w:p>
        </w:tc>
        <w:tc>
          <w:tcPr>
            <w:tcW w:w="980" w:type="dxa"/>
            <w:tcBorders>
              <w:top w:val="nil"/>
              <w:left w:val="nil"/>
              <w:bottom w:val="nil"/>
              <w:right w:val="nil"/>
            </w:tcBorders>
            <w:noWrap/>
            <w:vAlign w:val="center"/>
            <w:hideMark/>
          </w:tcPr>
          <w:p w14:paraId="4F95B598" w14:textId="77777777" w:rsidR="00F07EE3" w:rsidRDefault="00F07EE3" w:rsidP="00F50751">
            <w:pPr>
              <w:spacing w:line="240" w:lineRule="auto"/>
              <w:jc w:val="right"/>
              <w:rPr>
                <w:rFonts w:eastAsia="Times New Roman" w:cs="Times New Roman"/>
                <w:color w:val="000000"/>
                <w:szCs w:val="24"/>
                <w:lang w:eastAsia="en-AU"/>
              </w:rPr>
            </w:pPr>
            <w:r>
              <w:rPr>
                <w:color w:val="000000"/>
              </w:rPr>
              <w:t>11.2</w:t>
            </w:r>
          </w:p>
        </w:tc>
      </w:tr>
      <w:tr w:rsidR="00F07EE3" w14:paraId="6E52ED1C" w14:textId="77777777" w:rsidTr="00F50751">
        <w:trPr>
          <w:trHeight w:val="315"/>
        </w:trPr>
        <w:tc>
          <w:tcPr>
            <w:tcW w:w="1160" w:type="dxa"/>
            <w:tcBorders>
              <w:top w:val="nil"/>
              <w:left w:val="nil"/>
              <w:bottom w:val="nil"/>
              <w:right w:val="nil"/>
            </w:tcBorders>
            <w:vAlign w:val="center"/>
            <w:hideMark/>
          </w:tcPr>
          <w:p w14:paraId="51EFAA24" w14:textId="77777777" w:rsidR="00F07EE3" w:rsidRDefault="00F07EE3" w:rsidP="00F50751">
            <w:pPr>
              <w:spacing w:line="240" w:lineRule="auto"/>
              <w:jc w:val="center"/>
              <w:rPr>
                <w:rFonts w:eastAsia="Times New Roman" w:cs="Times New Roman"/>
                <w:color w:val="000000"/>
                <w:szCs w:val="24"/>
                <w:lang w:eastAsia="en-AU"/>
              </w:rPr>
            </w:pPr>
            <w:r>
              <w:rPr>
                <w:color w:val="000000"/>
              </w:rPr>
              <w:t>45-54</w:t>
            </w:r>
          </w:p>
        </w:tc>
        <w:tc>
          <w:tcPr>
            <w:tcW w:w="1000" w:type="dxa"/>
            <w:tcBorders>
              <w:top w:val="nil"/>
              <w:left w:val="nil"/>
              <w:bottom w:val="nil"/>
              <w:right w:val="nil"/>
            </w:tcBorders>
            <w:vAlign w:val="center"/>
            <w:hideMark/>
          </w:tcPr>
          <w:p w14:paraId="725F17C4"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41,426</w:t>
            </w:r>
          </w:p>
        </w:tc>
        <w:tc>
          <w:tcPr>
            <w:tcW w:w="980" w:type="dxa"/>
            <w:tcBorders>
              <w:top w:val="nil"/>
              <w:left w:val="nil"/>
              <w:bottom w:val="nil"/>
              <w:right w:val="nil"/>
            </w:tcBorders>
            <w:noWrap/>
            <w:vAlign w:val="center"/>
            <w:hideMark/>
          </w:tcPr>
          <w:p w14:paraId="451FC199" w14:textId="77777777" w:rsidR="00F07EE3" w:rsidRDefault="00F07EE3" w:rsidP="00F50751">
            <w:pPr>
              <w:spacing w:line="240" w:lineRule="auto"/>
              <w:jc w:val="right"/>
              <w:rPr>
                <w:rFonts w:eastAsia="Times New Roman" w:cs="Times New Roman"/>
                <w:color w:val="000000"/>
                <w:szCs w:val="24"/>
                <w:lang w:eastAsia="en-AU"/>
              </w:rPr>
            </w:pPr>
            <w:r>
              <w:rPr>
                <w:color w:val="000000"/>
              </w:rPr>
              <w:t>17.1</w:t>
            </w:r>
          </w:p>
        </w:tc>
      </w:tr>
      <w:tr w:rsidR="00F07EE3" w14:paraId="4CD98953" w14:textId="77777777" w:rsidTr="00F50751">
        <w:trPr>
          <w:trHeight w:val="315"/>
        </w:trPr>
        <w:tc>
          <w:tcPr>
            <w:tcW w:w="1160" w:type="dxa"/>
            <w:tcBorders>
              <w:top w:val="nil"/>
              <w:left w:val="nil"/>
              <w:bottom w:val="nil"/>
              <w:right w:val="nil"/>
            </w:tcBorders>
            <w:vAlign w:val="center"/>
            <w:hideMark/>
          </w:tcPr>
          <w:p w14:paraId="7E5F45E7" w14:textId="77777777" w:rsidR="00F07EE3" w:rsidRDefault="00F07EE3" w:rsidP="00F50751">
            <w:pPr>
              <w:spacing w:line="240" w:lineRule="auto"/>
              <w:jc w:val="center"/>
              <w:rPr>
                <w:rFonts w:eastAsia="Times New Roman" w:cs="Times New Roman"/>
                <w:color w:val="000000"/>
                <w:szCs w:val="24"/>
                <w:lang w:eastAsia="en-AU"/>
              </w:rPr>
            </w:pPr>
            <w:r>
              <w:rPr>
                <w:color w:val="000000"/>
              </w:rPr>
              <w:t>55-64</w:t>
            </w:r>
          </w:p>
        </w:tc>
        <w:tc>
          <w:tcPr>
            <w:tcW w:w="1000" w:type="dxa"/>
            <w:tcBorders>
              <w:top w:val="nil"/>
              <w:left w:val="nil"/>
              <w:bottom w:val="nil"/>
              <w:right w:val="nil"/>
            </w:tcBorders>
            <w:vAlign w:val="center"/>
            <w:hideMark/>
          </w:tcPr>
          <w:p w14:paraId="28099D24"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56,876</w:t>
            </w:r>
          </w:p>
        </w:tc>
        <w:tc>
          <w:tcPr>
            <w:tcW w:w="980" w:type="dxa"/>
            <w:tcBorders>
              <w:top w:val="nil"/>
              <w:left w:val="nil"/>
              <w:bottom w:val="nil"/>
              <w:right w:val="nil"/>
            </w:tcBorders>
            <w:noWrap/>
            <w:vAlign w:val="center"/>
            <w:hideMark/>
          </w:tcPr>
          <w:p w14:paraId="13DE290D" w14:textId="77777777" w:rsidR="00F07EE3" w:rsidRDefault="00F07EE3" w:rsidP="00F50751">
            <w:pPr>
              <w:spacing w:line="240" w:lineRule="auto"/>
              <w:jc w:val="right"/>
              <w:rPr>
                <w:rFonts w:eastAsia="Times New Roman" w:cs="Times New Roman"/>
                <w:color w:val="000000"/>
                <w:szCs w:val="24"/>
                <w:lang w:eastAsia="en-AU"/>
              </w:rPr>
            </w:pPr>
            <w:r>
              <w:rPr>
                <w:color w:val="000000"/>
              </w:rPr>
              <w:t>23.4</w:t>
            </w:r>
          </w:p>
        </w:tc>
      </w:tr>
      <w:tr w:rsidR="00F07EE3" w14:paraId="071B701D" w14:textId="77777777" w:rsidTr="00F50751">
        <w:trPr>
          <w:trHeight w:val="315"/>
        </w:trPr>
        <w:tc>
          <w:tcPr>
            <w:tcW w:w="1160" w:type="dxa"/>
            <w:tcBorders>
              <w:top w:val="nil"/>
              <w:left w:val="nil"/>
              <w:bottom w:val="nil"/>
              <w:right w:val="nil"/>
            </w:tcBorders>
            <w:vAlign w:val="center"/>
            <w:hideMark/>
          </w:tcPr>
          <w:p w14:paraId="5076186F" w14:textId="77777777" w:rsidR="00F07EE3" w:rsidRDefault="00F07EE3" w:rsidP="00F50751">
            <w:pPr>
              <w:spacing w:line="240" w:lineRule="auto"/>
              <w:jc w:val="center"/>
              <w:rPr>
                <w:rFonts w:eastAsia="Times New Roman" w:cs="Times New Roman"/>
                <w:color w:val="000000"/>
                <w:szCs w:val="24"/>
                <w:lang w:eastAsia="en-AU"/>
              </w:rPr>
            </w:pPr>
            <w:r>
              <w:rPr>
                <w:color w:val="000000"/>
              </w:rPr>
              <w:t>65-74</w:t>
            </w:r>
          </w:p>
        </w:tc>
        <w:tc>
          <w:tcPr>
            <w:tcW w:w="1000" w:type="dxa"/>
            <w:tcBorders>
              <w:top w:val="nil"/>
              <w:left w:val="nil"/>
              <w:bottom w:val="nil"/>
              <w:right w:val="nil"/>
            </w:tcBorders>
            <w:vAlign w:val="center"/>
            <w:hideMark/>
          </w:tcPr>
          <w:p w14:paraId="5D9427A6"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56,079</w:t>
            </w:r>
          </w:p>
        </w:tc>
        <w:tc>
          <w:tcPr>
            <w:tcW w:w="980" w:type="dxa"/>
            <w:tcBorders>
              <w:top w:val="nil"/>
              <w:left w:val="nil"/>
              <w:bottom w:val="nil"/>
              <w:right w:val="nil"/>
            </w:tcBorders>
            <w:noWrap/>
            <w:vAlign w:val="center"/>
            <w:hideMark/>
          </w:tcPr>
          <w:p w14:paraId="17C1F688" w14:textId="77777777" w:rsidR="00F07EE3" w:rsidRDefault="00F07EE3" w:rsidP="00F50751">
            <w:pPr>
              <w:spacing w:line="240" w:lineRule="auto"/>
              <w:jc w:val="right"/>
              <w:rPr>
                <w:rFonts w:eastAsia="Times New Roman" w:cs="Times New Roman"/>
                <w:color w:val="000000"/>
                <w:szCs w:val="24"/>
                <w:lang w:eastAsia="en-AU"/>
              </w:rPr>
            </w:pPr>
            <w:r>
              <w:rPr>
                <w:color w:val="000000"/>
              </w:rPr>
              <w:t>23.1</w:t>
            </w:r>
          </w:p>
        </w:tc>
      </w:tr>
      <w:tr w:rsidR="00F07EE3" w14:paraId="00F6E68F" w14:textId="77777777" w:rsidTr="00F50751">
        <w:trPr>
          <w:trHeight w:val="315"/>
        </w:trPr>
        <w:tc>
          <w:tcPr>
            <w:tcW w:w="1160" w:type="dxa"/>
            <w:tcBorders>
              <w:top w:val="nil"/>
              <w:left w:val="nil"/>
              <w:bottom w:val="nil"/>
              <w:right w:val="nil"/>
            </w:tcBorders>
            <w:vAlign w:val="center"/>
            <w:hideMark/>
          </w:tcPr>
          <w:p w14:paraId="42A8BE8F" w14:textId="77777777" w:rsidR="00F07EE3" w:rsidRDefault="00F07EE3" w:rsidP="00F50751">
            <w:pPr>
              <w:spacing w:line="240" w:lineRule="auto"/>
              <w:jc w:val="center"/>
              <w:rPr>
                <w:rFonts w:eastAsia="Times New Roman" w:cs="Times New Roman"/>
                <w:color w:val="000000"/>
                <w:szCs w:val="24"/>
                <w:lang w:eastAsia="en-AU"/>
              </w:rPr>
            </w:pPr>
            <w:r>
              <w:rPr>
                <w:color w:val="000000"/>
              </w:rPr>
              <w:t>75-84</w:t>
            </w:r>
          </w:p>
        </w:tc>
        <w:tc>
          <w:tcPr>
            <w:tcW w:w="1000" w:type="dxa"/>
            <w:tcBorders>
              <w:top w:val="nil"/>
              <w:left w:val="nil"/>
              <w:bottom w:val="nil"/>
              <w:right w:val="nil"/>
            </w:tcBorders>
            <w:vAlign w:val="center"/>
            <w:hideMark/>
          </w:tcPr>
          <w:p w14:paraId="5EA34C5D"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24,255</w:t>
            </w:r>
          </w:p>
        </w:tc>
        <w:tc>
          <w:tcPr>
            <w:tcW w:w="980" w:type="dxa"/>
            <w:tcBorders>
              <w:top w:val="nil"/>
              <w:left w:val="nil"/>
              <w:bottom w:val="nil"/>
              <w:right w:val="nil"/>
            </w:tcBorders>
            <w:noWrap/>
            <w:vAlign w:val="center"/>
            <w:hideMark/>
          </w:tcPr>
          <w:p w14:paraId="39B57283" w14:textId="77777777" w:rsidR="00F07EE3" w:rsidRDefault="00F07EE3" w:rsidP="00F50751">
            <w:pPr>
              <w:spacing w:line="240" w:lineRule="auto"/>
              <w:jc w:val="right"/>
              <w:rPr>
                <w:rFonts w:eastAsia="Times New Roman" w:cs="Times New Roman"/>
                <w:color w:val="000000"/>
                <w:szCs w:val="24"/>
                <w:lang w:eastAsia="en-AU"/>
              </w:rPr>
            </w:pPr>
            <w:r>
              <w:rPr>
                <w:color w:val="000000"/>
              </w:rPr>
              <w:t>10.0</w:t>
            </w:r>
          </w:p>
        </w:tc>
      </w:tr>
      <w:tr w:rsidR="00F07EE3" w14:paraId="5A1ABA2F" w14:textId="77777777" w:rsidTr="00F50751">
        <w:trPr>
          <w:trHeight w:val="315"/>
        </w:trPr>
        <w:tc>
          <w:tcPr>
            <w:tcW w:w="1160" w:type="dxa"/>
            <w:tcBorders>
              <w:top w:val="nil"/>
              <w:left w:val="nil"/>
              <w:bottom w:val="nil"/>
              <w:right w:val="nil"/>
            </w:tcBorders>
            <w:vAlign w:val="center"/>
            <w:hideMark/>
          </w:tcPr>
          <w:p w14:paraId="1AF79CB2" w14:textId="77777777" w:rsidR="00F07EE3" w:rsidRDefault="00F07EE3" w:rsidP="00F50751">
            <w:pPr>
              <w:spacing w:line="240" w:lineRule="auto"/>
              <w:jc w:val="center"/>
              <w:rPr>
                <w:rFonts w:eastAsia="Times New Roman" w:cs="Times New Roman"/>
                <w:color w:val="000000"/>
                <w:szCs w:val="24"/>
                <w:lang w:eastAsia="en-AU"/>
              </w:rPr>
            </w:pPr>
            <w:r>
              <w:rPr>
                <w:rFonts w:cs="Times New Roman"/>
                <w:color w:val="000000"/>
              </w:rPr>
              <w:t>≥</w:t>
            </w:r>
            <w:r>
              <w:rPr>
                <w:color w:val="000000"/>
              </w:rPr>
              <w:t>85</w:t>
            </w:r>
          </w:p>
        </w:tc>
        <w:tc>
          <w:tcPr>
            <w:tcW w:w="1000" w:type="dxa"/>
            <w:tcBorders>
              <w:top w:val="nil"/>
              <w:left w:val="nil"/>
              <w:bottom w:val="nil"/>
              <w:right w:val="nil"/>
            </w:tcBorders>
            <w:vAlign w:val="center"/>
            <w:hideMark/>
          </w:tcPr>
          <w:p w14:paraId="28431A9B" w14:textId="77777777" w:rsidR="00F07EE3" w:rsidRDefault="00F07EE3" w:rsidP="00F50751">
            <w:pPr>
              <w:spacing w:line="240" w:lineRule="auto"/>
              <w:jc w:val="right"/>
              <w:rPr>
                <w:rFonts w:eastAsia="Times New Roman" w:cs="Times New Roman"/>
                <w:color w:val="000000"/>
                <w:szCs w:val="24"/>
                <w:lang w:eastAsia="en-AU"/>
              </w:rPr>
            </w:pPr>
            <w:r>
              <w:rPr>
                <w:color w:val="000000"/>
                <w:sz w:val="22"/>
              </w:rPr>
              <w:t>5,969</w:t>
            </w:r>
          </w:p>
        </w:tc>
        <w:tc>
          <w:tcPr>
            <w:tcW w:w="980" w:type="dxa"/>
            <w:tcBorders>
              <w:top w:val="nil"/>
              <w:left w:val="nil"/>
              <w:bottom w:val="nil"/>
              <w:right w:val="nil"/>
            </w:tcBorders>
            <w:noWrap/>
            <w:vAlign w:val="center"/>
            <w:hideMark/>
          </w:tcPr>
          <w:p w14:paraId="3160654B" w14:textId="77777777" w:rsidR="00F07EE3" w:rsidRDefault="00F07EE3" w:rsidP="00F50751">
            <w:pPr>
              <w:spacing w:line="240" w:lineRule="auto"/>
              <w:jc w:val="right"/>
              <w:rPr>
                <w:rFonts w:eastAsia="Times New Roman" w:cs="Times New Roman"/>
                <w:color w:val="000000"/>
                <w:szCs w:val="24"/>
                <w:lang w:eastAsia="en-AU"/>
              </w:rPr>
            </w:pPr>
            <w:r>
              <w:rPr>
                <w:color w:val="000000"/>
              </w:rPr>
              <w:t>2.5</w:t>
            </w:r>
          </w:p>
        </w:tc>
      </w:tr>
      <w:tr w:rsidR="00F07EE3" w14:paraId="7E09A8A7" w14:textId="77777777" w:rsidTr="00F50751">
        <w:trPr>
          <w:trHeight w:val="330"/>
        </w:trPr>
        <w:tc>
          <w:tcPr>
            <w:tcW w:w="1160" w:type="dxa"/>
            <w:tcBorders>
              <w:top w:val="nil"/>
              <w:left w:val="nil"/>
              <w:bottom w:val="single" w:sz="4" w:space="0" w:color="auto"/>
              <w:right w:val="nil"/>
            </w:tcBorders>
            <w:vAlign w:val="center"/>
            <w:hideMark/>
          </w:tcPr>
          <w:p w14:paraId="4E658DA7" w14:textId="77777777" w:rsidR="00F07EE3" w:rsidRDefault="00F07EE3" w:rsidP="00F50751">
            <w:pPr>
              <w:spacing w:line="240" w:lineRule="auto"/>
              <w:jc w:val="center"/>
              <w:rPr>
                <w:rFonts w:eastAsia="Times New Roman" w:cs="Times New Roman"/>
                <w:color w:val="000000"/>
                <w:szCs w:val="24"/>
                <w:lang w:eastAsia="en-AU"/>
              </w:rPr>
            </w:pPr>
            <w:r>
              <w:rPr>
                <w:color w:val="000000"/>
              </w:rPr>
              <w:t>Total</w:t>
            </w:r>
          </w:p>
        </w:tc>
        <w:tc>
          <w:tcPr>
            <w:tcW w:w="1000" w:type="dxa"/>
            <w:tcBorders>
              <w:top w:val="nil"/>
              <w:left w:val="nil"/>
              <w:bottom w:val="single" w:sz="4" w:space="0" w:color="auto"/>
              <w:right w:val="nil"/>
            </w:tcBorders>
            <w:vAlign w:val="center"/>
            <w:hideMark/>
          </w:tcPr>
          <w:p w14:paraId="28F82978" w14:textId="77777777" w:rsidR="00F07EE3" w:rsidRDefault="00F07EE3" w:rsidP="00F50751">
            <w:pPr>
              <w:spacing w:line="240" w:lineRule="auto"/>
              <w:jc w:val="right"/>
              <w:rPr>
                <w:rFonts w:eastAsia="Times New Roman" w:cs="Times New Roman"/>
                <w:color w:val="000000"/>
                <w:szCs w:val="24"/>
                <w:lang w:eastAsia="en-AU"/>
              </w:rPr>
            </w:pPr>
            <w:r>
              <w:rPr>
                <w:color w:val="000000"/>
              </w:rPr>
              <w:t>242,690</w:t>
            </w:r>
          </w:p>
        </w:tc>
        <w:tc>
          <w:tcPr>
            <w:tcW w:w="980" w:type="dxa"/>
            <w:tcBorders>
              <w:top w:val="nil"/>
              <w:left w:val="nil"/>
              <w:bottom w:val="single" w:sz="4" w:space="0" w:color="auto"/>
              <w:right w:val="nil"/>
            </w:tcBorders>
            <w:noWrap/>
            <w:vAlign w:val="center"/>
            <w:hideMark/>
          </w:tcPr>
          <w:p w14:paraId="535BA65A" w14:textId="77777777" w:rsidR="00F07EE3" w:rsidRDefault="00F07EE3" w:rsidP="00F50751">
            <w:pPr>
              <w:spacing w:line="240" w:lineRule="auto"/>
              <w:jc w:val="right"/>
              <w:rPr>
                <w:rFonts w:eastAsia="Times New Roman" w:cs="Times New Roman"/>
                <w:color w:val="000000"/>
                <w:szCs w:val="24"/>
                <w:lang w:eastAsia="en-AU"/>
              </w:rPr>
            </w:pPr>
            <w:r>
              <w:rPr>
                <w:color w:val="000000"/>
              </w:rPr>
              <w:t>100.0</w:t>
            </w:r>
          </w:p>
        </w:tc>
      </w:tr>
    </w:tbl>
    <w:p w14:paraId="53980654" w14:textId="77777777" w:rsidR="00F07EE3" w:rsidRDefault="00F07EE3" w:rsidP="00B26F9E"/>
    <w:p w14:paraId="0A37A181" w14:textId="77777777" w:rsidR="00F07EE3" w:rsidRDefault="00F07EE3" w:rsidP="00B26F9E">
      <w:pPr>
        <w:spacing w:after="200" w:line="276" w:lineRule="auto"/>
      </w:pPr>
      <w:r>
        <w:br w:type="page"/>
      </w:r>
    </w:p>
    <w:p w14:paraId="133B954D" w14:textId="77777777" w:rsidR="00F07EE3" w:rsidRDefault="00F07EE3" w:rsidP="00B26F9E"/>
    <w:p w14:paraId="6FDB70BA" w14:textId="77777777" w:rsidR="00F07EE3" w:rsidRDefault="00F07EE3" w:rsidP="00B26F9E">
      <w:r>
        <w:t xml:space="preserve">Table 2. MBS summary characteristics related to AEP services for 226 SA3 regions </w:t>
      </w:r>
    </w:p>
    <w:tbl>
      <w:tblPr>
        <w:tblW w:w="8800" w:type="dxa"/>
        <w:tblLook w:val="04A0" w:firstRow="1" w:lastRow="0" w:firstColumn="1" w:lastColumn="0" w:noHBand="0" w:noVBand="1"/>
      </w:tblPr>
      <w:tblGrid>
        <w:gridCol w:w="2740"/>
        <w:gridCol w:w="1440"/>
        <w:gridCol w:w="1060"/>
        <w:gridCol w:w="1140"/>
        <w:gridCol w:w="1180"/>
        <w:gridCol w:w="1240"/>
      </w:tblGrid>
      <w:tr w:rsidR="00F07EE3" w14:paraId="7FEA615E" w14:textId="77777777" w:rsidTr="00F50751">
        <w:trPr>
          <w:trHeight w:val="405"/>
        </w:trPr>
        <w:tc>
          <w:tcPr>
            <w:tcW w:w="2740" w:type="dxa"/>
            <w:tcBorders>
              <w:top w:val="single" w:sz="4" w:space="0" w:color="auto"/>
              <w:left w:val="nil"/>
              <w:bottom w:val="single" w:sz="4" w:space="0" w:color="auto"/>
              <w:right w:val="nil"/>
            </w:tcBorders>
            <w:vAlign w:val="bottom"/>
            <w:hideMark/>
          </w:tcPr>
          <w:p w14:paraId="508093E5"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 </w:t>
            </w:r>
          </w:p>
        </w:tc>
        <w:tc>
          <w:tcPr>
            <w:tcW w:w="1440" w:type="dxa"/>
            <w:tcBorders>
              <w:top w:val="single" w:sz="4" w:space="0" w:color="auto"/>
              <w:left w:val="nil"/>
              <w:bottom w:val="single" w:sz="4" w:space="0" w:color="auto"/>
              <w:right w:val="nil"/>
            </w:tcBorders>
            <w:vAlign w:val="bottom"/>
            <w:hideMark/>
          </w:tcPr>
          <w:p w14:paraId="6FB689A3" w14:textId="77777777" w:rsidR="00F07EE3" w:rsidRDefault="00F07EE3" w:rsidP="00F50751">
            <w:pPr>
              <w:spacing w:line="240" w:lineRule="auto"/>
              <w:jc w:val="center"/>
              <w:rPr>
                <w:rFonts w:eastAsia="Times New Roman" w:cs="Times New Roman"/>
                <w:b/>
                <w:bCs/>
                <w:szCs w:val="24"/>
                <w:lang w:eastAsia="en-AU"/>
              </w:rPr>
            </w:pPr>
            <w:r>
              <w:rPr>
                <w:rFonts w:eastAsia="Times New Roman" w:cs="Times New Roman"/>
                <w:b/>
                <w:bCs/>
                <w:szCs w:val="24"/>
                <w:lang w:eastAsia="en-AU"/>
              </w:rPr>
              <w:t>Total (n)</w:t>
            </w:r>
          </w:p>
        </w:tc>
        <w:tc>
          <w:tcPr>
            <w:tcW w:w="1060" w:type="dxa"/>
            <w:tcBorders>
              <w:top w:val="single" w:sz="4" w:space="0" w:color="auto"/>
              <w:left w:val="nil"/>
              <w:bottom w:val="single" w:sz="4" w:space="0" w:color="auto"/>
              <w:right w:val="nil"/>
            </w:tcBorders>
            <w:vAlign w:val="bottom"/>
            <w:hideMark/>
          </w:tcPr>
          <w:p w14:paraId="48CB1D10" w14:textId="77777777" w:rsidR="00F07EE3" w:rsidRDefault="00F07EE3" w:rsidP="00F50751">
            <w:pPr>
              <w:spacing w:line="240" w:lineRule="auto"/>
              <w:jc w:val="center"/>
              <w:rPr>
                <w:rFonts w:eastAsia="Times New Roman" w:cs="Times New Roman"/>
                <w:b/>
                <w:bCs/>
                <w:szCs w:val="24"/>
                <w:lang w:eastAsia="en-AU"/>
              </w:rPr>
            </w:pPr>
            <w:r>
              <w:rPr>
                <w:rFonts w:eastAsia="Times New Roman" w:cs="Times New Roman"/>
                <w:b/>
                <w:bCs/>
                <w:szCs w:val="24"/>
                <w:lang w:eastAsia="en-AU"/>
              </w:rPr>
              <w:t>Min.</w:t>
            </w:r>
          </w:p>
        </w:tc>
        <w:tc>
          <w:tcPr>
            <w:tcW w:w="1140" w:type="dxa"/>
            <w:tcBorders>
              <w:top w:val="single" w:sz="4" w:space="0" w:color="auto"/>
              <w:left w:val="nil"/>
              <w:bottom w:val="single" w:sz="4" w:space="0" w:color="auto"/>
              <w:right w:val="nil"/>
            </w:tcBorders>
            <w:vAlign w:val="bottom"/>
            <w:hideMark/>
          </w:tcPr>
          <w:p w14:paraId="3326C98D" w14:textId="77777777" w:rsidR="00F07EE3" w:rsidRDefault="00F07EE3" w:rsidP="00F50751">
            <w:pPr>
              <w:spacing w:line="240" w:lineRule="auto"/>
              <w:jc w:val="center"/>
              <w:rPr>
                <w:rFonts w:eastAsia="Times New Roman" w:cs="Times New Roman"/>
                <w:b/>
                <w:bCs/>
                <w:szCs w:val="24"/>
                <w:lang w:eastAsia="en-AU"/>
              </w:rPr>
            </w:pPr>
            <w:r>
              <w:rPr>
                <w:rFonts w:eastAsia="Times New Roman" w:cs="Times New Roman"/>
                <w:b/>
                <w:bCs/>
                <w:szCs w:val="24"/>
                <w:lang w:eastAsia="en-AU"/>
              </w:rPr>
              <w:t>Max.</w:t>
            </w:r>
          </w:p>
        </w:tc>
        <w:tc>
          <w:tcPr>
            <w:tcW w:w="1180" w:type="dxa"/>
            <w:tcBorders>
              <w:top w:val="single" w:sz="4" w:space="0" w:color="auto"/>
              <w:left w:val="nil"/>
              <w:bottom w:val="single" w:sz="4" w:space="0" w:color="auto"/>
              <w:right w:val="nil"/>
            </w:tcBorders>
            <w:vAlign w:val="bottom"/>
            <w:hideMark/>
          </w:tcPr>
          <w:p w14:paraId="720EFEC9" w14:textId="77777777" w:rsidR="00F07EE3" w:rsidRDefault="00F07EE3" w:rsidP="00F50751">
            <w:pPr>
              <w:spacing w:line="240" w:lineRule="auto"/>
              <w:jc w:val="center"/>
              <w:rPr>
                <w:rFonts w:eastAsia="Times New Roman" w:cs="Times New Roman"/>
                <w:b/>
                <w:bCs/>
                <w:szCs w:val="24"/>
                <w:lang w:eastAsia="en-AU"/>
              </w:rPr>
            </w:pPr>
            <w:r>
              <w:rPr>
                <w:rFonts w:eastAsia="Times New Roman" w:cs="Times New Roman"/>
                <w:b/>
                <w:bCs/>
                <w:szCs w:val="24"/>
                <w:lang w:eastAsia="en-AU"/>
              </w:rPr>
              <w:t>Mean</w:t>
            </w:r>
          </w:p>
        </w:tc>
        <w:tc>
          <w:tcPr>
            <w:tcW w:w="1240" w:type="dxa"/>
            <w:tcBorders>
              <w:top w:val="single" w:sz="4" w:space="0" w:color="auto"/>
              <w:left w:val="nil"/>
              <w:bottom w:val="single" w:sz="4" w:space="0" w:color="auto"/>
              <w:right w:val="nil"/>
            </w:tcBorders>
            <w:vAlign w:val="bottom"/>
            <w:hideMark/>
          </w:tcPr>
          <w:p w14:paraId="445159AF" w14:textId="77777777" w:rsidR="00F07EE3" w:rsidRDefault="00F07EE3" w:rsidP="00F50751">
            <w:pPr>
              <w:spacing w:line="240" w:lineRule="auto"/>
              <w:jc w:val="center"/>
              <w:rPr>
                <w:rFonts w:eastAsia="Times New Roman" w:cs="Times New Roman"/>
                <w:b/>
                <w:bCs/>
                <w:szCs w:val="24"/>
                <w:lang w:eastAsia="en-AU"/>
              </w:rPr>
            </w:pPr>
            <w:r>
              <w:rPr>
                <w:rFonts w:eastAsia="Times New Roman" w:cs="Times New Roman"/>
                <w:b/>
                <w:bCs/>
                <w:szCs w:val="24"/>
                <w:lang w:eastAsia="en-AU"/>
              </w:rPr>
              <w:t>SD</w:t>
            </w:r>
          </w:p>
        </w:tc>
      </w:tr>
      <w:tr w:rsidR="00F07EE3" w14:paraId="4DA1F554" w14:textId="77777777" w:rsidTr="00F50751">
        <w:trPr>
          <w:trHeight w:val="300"/>
        </w:trPr>
        <w:tc>
          <w:tcPr>
            <w:tcW w:w="2740" w:type="dxa"/>
            <w:hideMark/>
          </w:tcPr>
          <w:p w14:paraId="5DA64856"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Services</w:t>
            </w:r>
          </w:p>
        </w:tc>
        <w:tc>
          <w:tcPr>
            <w:tcW w:w="1440" w:type="dxa"/>
            <w:noWrap/>
            <w:hideMark/>
          </w:tcPr>
          <w:p w14:paraId="4F31E861"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228771</w:t>
            </w:r>
          </w:p>
        </w:tc>
        <w:tc>
          <w:tcPr>
            <w:tcW w:w="1060" w:type="dxa"/>
            <w:noWrap/>
            <w:hideMark/>
          </w:tcPr>
          <w:p w14:paraId="48ACA29C"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14</w:t>
            </w:r>
          </w:p>
        </w:tc>
        <w:tc>
          <w:tcPr>
            <w:tcW w:w="1140" w:type="dxa"/>
            <w:noWrap/>
            <w:hideMark/>
          </w:tcPr>
          <w:p w14:paraId="21E71E8E"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5633</w:t>
            </w:r>
          </w:p>
        </w:tc>
        <w:tc>
          <w:tcPr>
            <w:tcW w:w="1180" w:type="dxa"/>
            <w:noWrap/>
            <w:hideMark/>
          </w:tcPr>
          <w:p w14:paraId="3A8BE5EF"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1012</w:t>
            </w:r>
          </w:p>
        </w:tc>
        <w:tc>
          <w:tcPr>
            <w:tcW w:w="1240" w:type="dxa"/>
            <w:noWrap/>
            <w:hideMark/>
          </w:tcPr>
          <w:p w14:paraId="2400CC15"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910</w:t>
            </w:r>
          </w:p>
        </w:tc>
      </w:tr>
      <w:tr w:rsidR="00F07EE3" w14:paraId="748E8455" w14:textId="77777777" w:rsidTr="00F50751">
        <w:trPr>
          <w:trHeight w:val="300"/>
        </w:trPr>
        <w:tc>
          <w:tcPr>
            <w:tcW w:w="2740" w:type="dxa"/>
            <w:hideMark/>
          </w:tcPr>
          <w:p w14:paraId="594D7E17"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Number of providers*</w:t>
            </w:r>
          </w:p>
        </w:tc>
        <w:tc>
          <w:tcPr>
            <w:tcW w:w="1440" w:type="dxa"/>
            <w:noWrap/>
            <w:hideMark/>
          </w:tcPr>
          <w:p w14:paraId="0CEB2BC0"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1935</w:t>
            </w:r>
          </w:p>
        </w:tc>
        <w:tc>
          <w:tcPr>
            <w:tcW w:w="1060" w:type="dxa"/>
            <w:noWrap/>
            <w:hideMark/>
          </w:tcPr>
          <w:p w14:paraId="34FA0DBD"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0.3</w:t>
            </w:r>
          </w:p>
        </w:tc>
        <w:tc>
          <w:tcPr>
            <w:tcW w:w="1140" w:type="dxa"/>
            <w:noWrap/>
            <w:hideMark/>
          </w:tcPr>
          <w:p w14:paraId="77EDCCD8"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41</w:t>
            </w:r>
          </w:p>
        </w:tc>
        <w:tc>
          <w:tcPr>
            <w:tcW w:w="1180" w:type="dxa"/>
            <w:noWrap/>
            <w:hideMark/>
          </w:tcPr>
          <w:p w14:paraId="78D87BB8"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8.6</w:t>
            </w:r>
          </w:p>
        </w:tc>
        <w:tc>
          <w:tcPr>
            <w:tcW w:w="1240" w:type="dxa"/>
            <w:noWrap/>
            <w:hideMark/>
          </w:tcPr>
          <w:p w14:paraId="240F286C"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6.3</w:t>
            </w:r>
          </w:p>
        </w:tc>
      </w:tr>
      <w:tr w:rsidR="00F07EE3" w14:paraId="2B16BC72" w14:textId="77777777" w:rsidTr="00F50751">
        <w:trPr>
          <w:trHeight w:val="300"/>
        </w:trPr>
        <w:tc>
          <w:tcPr>
            <w:tcW w:w="2740" w:type="dxa"/>
            <w:hideMark/>
          </w:tcPr>
          <w:p w14:paraId="1A77AD90"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Number of patients</w:t>
            </w:r>
          </w:p>
        </w:tc>
        <w:tc>
          <w:tcPr>
            <w:tcW w:w="1440" w:type="dxa"/>
            <w:noWrap/>
            <w:hideMark/>
          </w:tcPr>
          <w:p w14:paraId="7C4A2A60"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108912</w:t>
            </w:r>
          </w:p>
        </w:tc>
        <w:tc>
          <w:tcPr>
            <w:tcW w:w="1060" w:type="dxa"/>
            <w:noWrap/>
            <w:hideMark/>
          </w:tcPr>
          <w:p w14:paraId="4448A680"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9</w:t>
            </w:r>
          </w:p>
        </w:tc>
        <w:tc>
          <w:tcPr>
            <w:tcW w:w="1140" w:type="dxa"/>
            <w:noWrap/>
            <w:hideMark/>
          </w:tcPr>
          <w:p w14:paraId="32285FA2"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2410</w:t>
            </w:r>
          </w:p>
        </w:tc>
        <w:tc>
          <w:tcPr>
            <w:tcW w:w="1180" w:type="dxa"/>
            <w:noWrap/>
            <w:hideMark/>
          </w:tcPr>
          <w:p w14:paraId="51E9893D"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481.9</w:t>
            </w:r>
          </w:p>
        </w:tc>
        <w:tc>
          <w:tcPr>
            <w:tcW w:w="1240" w:type="dxa"/>
            <w:noWrap/>
            <w:hideMark/>
          </w:tcPr>
          <w:p w14:paraId="0742DCA1"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407.4</w:t>
            </w:r>
          </w:p>
        </w:tc>
      </w:tr>
      <w:tr w:rsidR="00F07EE3" w14:paraId="2AAA6649" w14:textId="77777777" w:rsidTr="00F50751">
        <w:trPr>
          <w:trHeight w:val="300"/>
        </w:trPr>
        <w:tc>
          <w:tcPr>
            <w:tcW w:w="2740" w:type="dxa"/>
            <w:hideMark/>
          </w:tcPr>
          <w:p w14:paraId="22481E7C"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Benefits paid ($)</w:t>
            </w:r>
          </w:p>
        </w:tc>
        <w:tc>
          <w:tcPr>
            <w:tcW w:w="1440" w:type="dxa"/>
            <w:noWrap/>
            <w:hideMark/>
          </w:tcPr>
          <w:p w14:paraId="43C62FF2"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12,198,135</w:t>
            </w:r>
          </w:p>
        </w:tc>
        <w:tc>
          <w:tcPr>
            <w:tcW w:w="1060" w:type="dxa"/>
            <w:noWrap/>
            <w:hideMark/>
          </w:tcPr>
          <w:p w14:paraId="252A39E5"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849</w:t>
            </w:r>
          </w:p>
        </w:tc>
        <w:tc>
          <w:tcPr>
            <w:tcW w:w="1140" w:type="dxa"/>
            <w:noWrap/>
            <w:hideMark/>
          </w:tcPr>
          <w:p w14:paraId="5FFBDE01"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298,358</w:t>
            </w:r>
          </w:p>
        </w:tc>
        <w:tc>
          <w:tcPr>
            <w:tcW w:w="1180" w:type="dxa"/>
            <w:noWrap/>
            <w:hideMark/>
          </w:tcPr>
          <w:p w14:paraId="5C80C812"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53,974</w:t>
            </w:r>
          </w:p>
        </w:tc>
        <w:tc>
          <w:tcPr>
            <w:tcW w:w="1240" w:type="dxa"/>
            <w:noWrap/>
            <w:hideMark/>
          </w:tcPr>
          <w:p w14:paraId="5388301B"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48,357</w:t>
            </w:r>
          </w:p>
        </w:tc>
      </w:tr>
      <w:tr w:rsidR="00F07EE3" w14:paraId="5935CCD7" w14:textId="77777777" w:rsidTr="00F50751">
        <w:trPr>
          <w:trHeight w:val="300"/>
        </w:trPr>
        <w:tc>
          <w:tcPr>
            <w:tcW w:w="2740" w:type="dxa"/>
            <w:hideMark/>
          </w:tcPr>
          <w:p w14:paraId="6622B644"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Fees charged ($)</w:t>
            </w:r>
          </w:p>
        </w:tc>
        <w:tc>
          <w:tcPr>
            <w:tcW w:w="1440" w:type="dxa"/>
            <w:noWrap/>
            <w:hideMark/>
          </w:tcPr>
          <w:p w14:paraId="5CB72DF0"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13,091,014</w:t>
            </w:r>
          </w:p>
        </w:tc>
        <w:tc>
          <w:tcPr>
            <w:tcW w:w="1060" w:type="dxa"/>
            <w:noWrap/>
            <w:hideMark/>
          </w:tcPr>
          <w:p w14:paraId="7A6A24DA"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1,276</w:t>
            </w:r>
          </w:p>
        </w:tc>
        <w:tc>
          <w:tcPr>
            <w:tcW w:w="1140" w:type="dxa"/>
            <w:noWrap/>
            <w:hideMark/>
          </w:tcPr>
          <w:p w14:paraId="5514C923"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300,320</w:t>
            </w:r>
          </w:p>
        </w:tc>
        <w:tc>
          <w:tcPr>
            <w:tcW w:w="1180" w:type="dxa"/>
            <w:noWrap/>
            <w:hideMark/>
          </w:tcPr>
          <w:p w14:paraId="19752CFE"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57,925</w:t>
            </w:r>
          </w:p>
        </w:tc>
        <w:tc>
          <w:tcPr>
            <w:tcW w:w="1240" w:type="dxa"/>
            <w:noWrap/>
            <w:hideMark/>
          </w:tcPr>
          <w:p w14:paraId="3F4BC79E"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51,167</w:t>
            </w:r>
          </w:p>
        </w:tc>
      </w:tr>
      <w:tr w:rsidR="00F07EE3" w14:paraId="6D2C4241" w14:textId="77777777" w:rsidTr="00F50751">
        <w:trPr>
          <w:trHeight w:val="375"/>
        </w:trPr>
        <w:tc>
          <w:tcPr>
            <w:tcW w:w="2740" w:type="dxa"/>
            <w:hideMark/>
          </w:tcPr>
          <w:p w14:paraId="00004926"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Out-of-pocket/service ($)</w:t>
            </w:r>
          </w:p>
        </w:tc>
        <w:tc>
          <w:tcPr>
            <w:tcW w:w="1440" w:type="dxa"/>
            <w:noWrap/>
            <w:hideMark/>
          </w:tcPr>
          <w:p w14:paraId="2602DFA4" w14:textId="77777777" w:rsidR="00F07EE3" w:rsidRDefault="00F07EE3" w:rsidP="00F50751">
            <w:pPr>
              <w:spacing w:line="240" w:lineRule="auto"/>
              <w:jc w:val="center"/>
              <w:rPr>
                <w:rFonts w:eastAsia="Times New Roman" w:cs="Times New Roman"/>
                <w:szCs w:val="24"/>
                <w:lang w:eastAsia="en-AU"/>
              </w:rPr>
            </w:pPr>
            <w:r>
              <w:rPr>
                <w:rFonts w:eastAsia="Times New Roman" w:cs="Times New Roman"/>
                <w:szCs w:val="24"/>
                <w:lang w:eastAsia="en-AU"/>
              </w:rPr>
              <w:t>-</w:t>
            </w:r>
          </w:p>
        </w:tc>
        <w:tc>
          <w:tcPr>
            <w:tcW w:w="1060" w:type="dxa"/>
            <w:noWrap/>
            <w:hideMark/>
          </w:tcPr>
          <w:p w14:paraId="574A7031"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-0.07</w:t>
            </w:r>
          </w:p>
        </w:tc>
        <w:tc>
          <w:tcPr>
            <w:tcW w:w="1140" w:type="dxa"/>
            <w:noWrap/>
            <w:hideMark/>
          </w:tcPr>
          <w:p w14:paraId="5DBEF8B7"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49.22</w:t>
            </w:r>
          </w:p>
        </w:tc>
        <w:tc>
          <w:tcPr>
            <w:tcW w:w="1180" w:type="dxa"/>
            <w:noWrap/>
            <w:hideMark/>
          </w:tcPr>
          <w:p w14:paraId="02587A6C"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4.90</w:t>
            </w:r>
          </w:p>
        </w:tc>
        <w:tc>
          <w:tcPr>
            <w:tcW w:w="1240" w:type="dxa"/>
            <w:noWrap/>
            <w:hideMark/>
          </w:tcPr>
          <w:p w14:paraId="175D30F7"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7.57</w:t>
            </w:r>
          </w:p>
        </w:tc>
      </w:tr>
      <w:tr w:rsidR="00F07EE3" w14:paraId="108B2EA2" w14:textId="77777777" w:rsidTr="00F50751">
        <w:trPr>
          <w:trHeight w:val="300"/>
        </w:trPr>
        <w:tc>
          <w:tcPr>
            <w:tcW w:w="2740" w:type="dxa"/>
            <w:hideMark/>
          </w:tcPr>
          <w:p w14:paraId="55F6B63E"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Services/patient</w:t>
            </w:r>
          </w:p>
        </w:tc>
        <w:tc>
          <w:tcPr>
            <w:tcW w:w="1440" w:type="dxa"/>
            <w:noWrap/>
            <w:hideMark/>
          </w:tcPr>
          <w:p w14:paraId="74BA4176" w14:textId="77777777" w:rsidR="00F07EE3" w:rsidRDefault="00F07EE3" w:rsidP="00F50751">
            <w:pPr>
              <w:spacing w:line="240" w:lineRule="auto"/>
              <w:jc w:val="center"/>
              <w:rPr>
                <w:rFonts w:eastAsia="Times New Roman" w:cs="Times New Roman"/>
                <w:szCs w:val="24"/>
                <w:lang w:eastAsia="en-AU"/>
              </w:rPr>
            </w:pPr>
            <w:r>
              <w:rPr>
                <w:rFonts w:eastAsia="Times New Roman" w:cs="Times New Roman"/>
                <w:szCs w:val="24"/>
                <w:lang w:eastAsia="en-AU"/>
              </w:rPr>
              <w:t>-</w:t>
            </w:r>
          </w:p>
        </w:tc>
        <w:tc>
          <w:tcPr>
            <w:tcW w:w="1060" w:type="dxa"/>
            <w:noWrap/>
            <w:hideMark/>
          </w:tcPr>
          <w:p w14:paraId="286E3D03"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1.2</w:t>
            </w:r>
          </w:p>
        </w:tc>
        <w:tc>
          <w:tcPr>
            <w:tcW w:w="1140" w:type="dxa"/>
            <w:noWrap/>
            <w:hideMark/>
          </w:tcPr>
          <w:p w14:paraId="28275A5B"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3.7</w:t>
            </w:r>
          </w:p>
        </w:tc>
        <w:tc>
          <w:tcPr>
            <w:tcW w:w="1180" w:type="dxa"/>
            <w:noWrap/>
            <w:hideMark/>
          </w:tcPr>
          <w:p w14:paraId="08C22CBA"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2.1</w:t>
            </w:r>
          </w:p>
        </w:tc>
        <w:tc>
          <w:tcPr>
            <w:tcW w:w="1240" w:type="dxa"/>
            <w:noWrap/>
            <w:hideMark/>
          </w:tcPr>
          <w:p w14:paraId="1C3AA2FB"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0.4</w:t>
            </w:r>
          </w:p>
        </w:tc>
      </w:tr>
      <w:tr w:rsidR="00F07EE3" w14:paraId="1743ACA9" w14:textId="77777777" w:rsidTr="00F50751">
        <w:trPr>
          <w:trHeight w:val="300"/>
        </w:trPr>
        <w:tc>
          <w:tcPr>
            <w:tcW w:w="2740" w:type="dxa"/>
            <w:hideMark/>
          </w:tcPr>
          <w:p w14:paraId="4688C036"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Patients/provider</w:t>
            </w:r>
          </w:p>
        </w:tc>
        <w:tc>
          <w:tcPr>
            <w:tcW w:w="1440" w:type="dxa"/>
            <w:noWrap/>
            <w:hideMark/>
          </w:tcPr>
          <w:p w14:paraId="0742BCC6" w14:textId="77777777" w:rsidR="00F07EE3" w:rsidRDefault="00F07EE3" w:rsidP="00F50751">
            <w:pPr>
              <w:spacing w:line="240" w:lineRule="auto"/>
              <w:jc w:val="center"/>
              <w:rPr>
                <w:rFonts w:eastAsia="Times New Roman" w:cs="Times New Roman"/>
                <w:szCs w:val="24"/>
                <w:lang w:eastAsia="en-AU"/>
              </w:rPr>
            </w:pPr>
            <w:r>
              <w:rPr>
                <w:rFonts w:eastAsia="Times New Roman" w:cs="Times New Roman"/>
                <w:szCs w:val="24"/>
                <w:lang w:eastAsia="en-AU"/>
              </w:rPr>
              <w:t>-</w:t>
            </w:r>
          </w:p>
        </w:tc>
        <w:tc>
          <w:tcPr>
            <w:tcW w:w="1060" w:type="dxa"/>
            <w:noWrap/>
            <w:hideMark/>
          </w:tcPr>
          <w:p w14:paraId="2650B3A6"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4.5</w:t>
            </w:r>
          </w:p>
        </w:tc>
        <w:tc>
          <w:tcPr>
            <w:tcW w:w="1140" w:type="dxa"/>
            <w:noWrap/>
            <w:hideMark/>
          </w:tcPr>
          <w:p w14:paraId="0108B83B"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447.1</w:t>
            </w:r>
          </w:p>
        </w:tc>
        <w:tc>
          <w:tcPr>
            <w:tcW w:w="1180" w:type="dxa"/>
            <w:noWrap/>
            <w:hideMark/>
          </w:tcPr>
          <w:p w14:paraId="46906981"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65.7</w:t>
            </w:r>
          </w:p>
        </w:tc>
        <w:tc>
          <w:tcPr>
            <w:tcW w:w="1240" w:type="dxa"/>
            <w:noWrap/>
            <w:hideMark/>
          </w:tcPr>
          <w:p w14:paraId="2D2C4AF0"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55.2</w:t>
            </w:r>
          </w:p>
        </w:tc>
      </w:tr>
      <w:tr w:rsidR="00F07EE3" w14:paraId="39956F4C" w14:textId="77777777" w:rsidTr="00F50751">
        <w:trPr>
          <w:trHeight w:val="405"/>
        </w:trPr>
        <w:tc>
          <w:tcPr>
            <w:tcW w:w="2740" w:type="dxa"/>
            <w:hideMark/>
          </w:tcPr>
          <w:p w14:paraId="1A439036"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Providers/1000 residents*</w:t>
            </w:r>
          </w:p>
        </w:tc>
        <w:tc>
          <w:tcPr>
            <w:tcW w:w="1440" w:type="dxa"/>
            <w:noWrap/>
            <w:hideMark/>
          </w:tcPr>
          <w:p w14:paraId="2D001FAA" w14:textId="77777777" w:rsidR="00F07EE3" w:rsidRDefault="00F07EE3" w:rsidP="00F50751">
            <w:pPr>
              <w:spacing w:line="240" w:lineRule="auto"/>
              <w:jc w:val="center"/>
              <w:rPr>
                <w:rFonts w:eastAsia="Times New Roman" w:cs="Times New Roman"/>
                <w:szCs w:val="24"/>
                <w:lang w:eastAsia="en-AU"/>
              </w:rPr>
            </w:pPr>
            <w:r>
              <w:rPr>
                <w:rFonts w:eastAsia="Times New Roman" w:cs="Times New Roman"/>
                <w:szCs w:val="24"/>
                <w:lang w:eastAsia="en-AU"/>
              </w:rPr>
              <w:t>-</w:t>
            </w:r>
          </w:p>
        </w:tc>
        <w:tc>
          <w:tcPr>
            <w:tcW w:w="1060" w:type="dxa"/>
            <w:noWrap/>
            <w:hideMark/>
          </w:tcPr>
          <w:p w14:paraId="78CB9180"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0.01</w:t>
            </w:r>
          </w:p>
        </w:tc>
        <w:tc>
          <w:tcPr>
            <w:tcW w:w="1140" w:type="dxa"/>
            <w:noWrap/>
            <w:hideMark/>
          </w:tcPr>
          <w:p w14:paraId="3499C60D"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0.58</w:t>
            </w:r>
          </w:p>
        </w:tc>
        <w:tc>
          <w:tcPr>
            <w:tcW w:w="1180" w:type="dxa"/>
            <w:noWrap/>
            <w:hideMark/>
          </w:tcPr>
          <w:p w14:paraId="0A4F9F97"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0.10</w:t>
            </w:r>
          </w:p>
        </w:tc>
        <w:tc>
          <w:tcPr>
            <w:tcW w:w="1240" w:type="dxa"/>
            <w:noWrap/>
            <w:hideMark/>
          </w:tcPr>
          <w:p w14:paraId="2BAA268B"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0.07</w:t>
            </w:r>
          </w:p>
        </w:tc>
      </w:tr>
      <w:tr w:rsidR="00F07EE3" w14:paraId="20EA61D8" w14:textId="77777777" w:rsidTr="00F50751">
        <w:trPr>
          <w:trHeight w:val="360"/>
        </w:trPr>
        <w:tc>
          <w:tcPr>
            <w:tcW w:w="2740" w:type="dxa"/>
            <w:hideMark/>
          </w:tcPr>
          <w:p w14:paraId="34DB976B"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Patients/1000 residents</w:t>
            </w:r>
          </w:p>
        </w:tc>
        <w:tc>
          <w:tcPr>
            <w:tcW w:w="1440" w:type="dxa"/>
            <w:noWrap/>
            <w:hideMark/>
          </w:tcPr>
          <w:p w14:paraId="674CB16B" w14:textId="77777777" w:rsidR="00F07EE3" w:rsidRDefault="00F07EE3" w:rsidP="00F50751">
            <w:pPr>
              <w:spacing w:line="240" w:lineRule="auto"/>
              <w:jc w:val="center"/>
              <w:rPr>
                <w:rFonts w:eastAsia="Times New Roman" w:cs="Times New Roman"/>
                <w:szCs w:val="24"/>
                <w:lang w:eastAsia="en-AU"/>
              </w:rPr>
            </w:pPr>
            <w:r>
              <w:rPr>
                <w:rFonts w:eastAsia="Times New Roman" w:cs="Times New Roman"/>
                <w:szCs w:val="24"/>
                <w:lang w:eastAsia="en-AU"/>
              </w:rPr>
              <w:t>-</w:t>
            </w:r>
          </w:p>
        </w:tc>
        <w:tc>
          <w:tcPr>
            <w:tcW w:w="1060" w:type="dxa"/>
            <w:noWrap/>
            <w:hideMark/>
          </w:tcPr>
          <w:p w14:paraId="043F5601"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0.2</w:t>
            </w:r>
          </w:p>
        </w:tc>
        <w:tc>
          <w:tcPr>
            <w:tcW w:w="1140" w:type="dxa"/>
            <w:noWrap/>
            <w:hideMark/>
          </w:tcPr>
          <w:p w14:paraId="0CD308B5"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23.5</w:t>
            </w:r>
          </w:p>
        </w:tc>
        <w:tc>
          <w:tcPr>
            <w:tcW w:w="1180" w:type="dxa"/>
            <w:noWrap/>
            <w:hideMark/>
          </w:tcPr>
          <w:p w14:paraId="1701BEE7"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5.7</w:t>
            </w:r>
          </w:p>
        </w:tc>
        <w:tc>
          <w:tcPr>
            <w:tcW w:w="1240" w:type="dxa"/>
            <w:noWrap/>
            <w:hideMark/>
          </w:tcPr>
          <w:p w14:paraId="390571C5"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4.5</w:t>
            </w:r>
          </w:p>
        </w:tc>
      </w:tr>
      <w:tr w:rsidR="00F07EE3" w14:paraId="6C493BFB" w14:textId="77777777" w:rsidTr="00F50751">
        <w:trPr>
          <w:trHeight w:val="360"/>
        </w:trPr>
        <w:tc>
          <w:tcPr>
            <w:tcW w:w="2740" w:type="dxa"/>
            <w:tcBorders>
              <w:top w:val="nil"/>
              <w:left w:val="nil"/>
              <w:bottom w:val="single" w:sz="4" w:space="0" w:color="auto"/>
              <w:right w:val="nil"/>
            </w:tcBorders>
            <w:hideMark/>
          </w:tcPr>
          <w:p w14:paraId="5AB855B0" w14:textId="77777777" w:rsidR="00F07EE3" w:rsidRDefault="00F07EE3" w:rsidP="00F50751">
            <w:pPr>
              <w:spacing w:line="240" w:lineRule="auto"/>
              <w:rPr>
                <w:rFonts w:eastAsia="Times New Roman" w:cs="Times New Roman"/>
                <w:szCs w:val="24"/>
                <w:lang w:eastAsia="en-AU"/>
              </w:rPr>
            </w:pPr>
            <w:r>
              <w:rPr>
                <w:rFonts w:eastAsia="Times New Roman" w:cs="Times New Roman"/>
                <w:szCs w:val="24"/>
                <w:lang w:eastAsia="en-AU"/>
              </w:rPr>
              <w:t>Services/1000 residents</w:t>
            </w:r>
          </w:p>
        </w:tc>
        <w:tc>
          <w:tcPr>
            <w:tcW w:w="1440" w:type="dxa"/>
            <w:tcBorders>
              <w:top w:val="nil"/>
              <w:left w:val="nil"/>
              <w:bottom w:val="single" w:sz="4" w:space="0" w:color="auto"/>
              <w:right w:val="nil"/>
            </w:tcBorders>
            <w:noWrap/>
            <w:hideMark/>
          </w:tcPr>
          <w:p w14:paraId="6CBC1FF2" w14:textId="77777777" w:rsidR="00F07EE3" w:rsidRDefault="00F07EE3" w:rsidP="00F50751">
            <w:pPr>
              <w:spacing w:line="240" w:lineRule="auto"/>
              <w:jc w:val="center"/>
              <w:rPr>
                <w:rFonts w:eastAsia="Times New Roman" w:cs="Times New Roman"/>
                <w:szCs w:val="24"/>
                <w:lang w:eastAsia="en-AU"/>
              </w:rPr>
            </w:pPr>
            <w:r>
              <w:rPr>
                <w:rFonts w:eastAsia="Times New Roman" w:cs="Times New Roman"/>
                <w:szCs w:val="24"/>
                <w:lang w:eastAsia="en-AU"/>
              </w:rPr>
              <w:t>-</w:t>
            </w:r>
          </w:p>
        </w:tc>
        <w:tc>
          <w:tcPr>
            <w:tcW w:w="1060" w:type="dxa"/>
            <w:tcBorders>
              <w:top w:val="nil"/>
              <w:left w:val="nil"/>
              <w:bottom w:val="single" w:sz="4" w:space="0" w:color="auto"/>
              <w:right w:val="nil"/>
            </w:tcBorders>
            <w:noWrap/>
            <w:hideMark/>
          </w:tcPr>
          <w:p w14:paraId="08226D0C"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0.2</w:t>
            </w:r>
          </w:p>
        </w:tc>
        <w:tc>
          <w:tcPr>
            <w:tcW w:w="1140" w:type="dxa"/>
            <w:tcBorders>
              <w:top w:val="nil"/>
              <w:left w:val="nil"/>
              <w:bottom w:val="single" w:sz="4" w:space="0" w:color="auto"/>
              <w:right w:val="nil"/>
            </w:tcBorders>
            <w:noWrap/>
            <w:hideMark/>
          </w:tcPr>
          <w:p w14:paraId="2BBE08A7"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48.0</w:t>
            </w:r>
          </w:p>
        </w:tc>
        <w:tc>
          <w:tcPr>
            <w:tcW w:w="1180" w:type="dxa"/>
            <w:tcBorders>
              <w:top w:val="nil"/>
              <w:left w:val="nil"/>
              <w:bottom w:val="single" w:sz="4" w:space="0" w:color="auto"/>
              <w:right w:val="nil"/>
            </w:tcBorders>
            <w:noWrap/>
            <w:hideMark/>
          </w:tcPr>
          <w:p w14:paraId="345EB759"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11.9</w:t>
            </w:r>
          </w:p>
        </w:tc>
        <w:tc>
          <w:tcPr>
            <w:tcW w:w="1240" w:type="dxa"/>
            <w:tcBorders>
              <w:top w:val="nil"/>
              <w:left w:val="nil"/>
              <w:bottom w:val="single" w:sz="4" w:space="0" w:color="auto"/>
              <w:right w:val="nil"/>
            </w:tcBorders>
            <w:noWrap/>
            <w:hideMark/>
          </w:tcPr>
          <w:p w14:paraId="30ACB284" w14:textId="77777777" w:rsidR="00F07EE3" w:rsidRDefault="00F07EE3" w:rsidP="00F50751">
            <w:pPr>
              <w:spacing w:line="240" w:lineRule="auto"/>
              <w:jc w:val="right"/>
              <w:rPr>
                <w:rFonts w:eastAsia="Times New Roman" w:cs="Times New Roman"/>
                <w:szCs w:val="24"/>
                <w:lang w:eastAsia="en-AU"/>
              </w:rPr>
            </w:pPr>
            <w:r>
              <w:rPr>
                <w:rFonts w:eastAsia="Times New Roman" w:cs="Times New Roman"/>
                <w:szCs w:val="24"/>
                <w:lang w:eastAsia="en-AU"/>
              </w:rPr>
              <w:t>9.6</w:t>
            </w:r>
          </w:p>
        </w:tc>
      </w:tr>
    </w:tbl>
    <w:p w14:paraId="508EF7B4" w14:textId="77777777" w:rsidR="00F07EE3" w:rsidRDefault="00F07EE3" w:rsidP="00B26F9E">
      <w:pPr>
        <w:spacing w:line="240" w:lineRule="auto"/>
        <w:rPr>
          <w:rFonts w:ascii="Calibri" w:hAnsi="Calibri" w:cs="Calibri"/>
          <w:color w:val="000000"/>
          <w:sz w:val="22"/>
        </w:rPr>
      </w:pPr>
      <w:r>
        <w:rPr>
          <w:szCs w:val="24"/>
        </w:rPr>
        <w:t>*</w:t>
      </w:r>
      <w:r>
        <w:rPr>
          <w:rFonts w:ascii="Calibri" w:hAnsi="Calibri" w:cs="Calibri"/>
          <w:color w:val="000000"/>
          <w:sz w:val="22"/>
        </w:rPr>
        <w:t xml:space="preserve"> </w:t>
      </w:r>
      <w:r>
        <w:rPr>
          <w:rFonts w:cs="Times New Roman"/>
          <w:color w:val="000000"/>
          <w:sz w:val="22"/>
        </w:rPr>
        <w:t>Providers working across multiple SA3 locations are fractionally apportioned allowing for fractional headcounts within a given SA3.</w:t>
      </w:r>
    </w:p>
    <w:p w14:paraId="17C1A769" w14:textId="77777777" w:rsidR="00F07EE3" w:rsidRDefault="00F07EE3" w:rsidP="00B26F9E"/>
    <w:p w14:paraId="7B4013A6" w14:textId="77777777" w:rsidR="00F07EE3" w:rsidRDefault="00F07EE3"/>
    <w:p w14:paraId="22387C12" w14:textId="77777777" w:rsidR="00F07EE3" w:rsidRDefault="00F07EE3" w:rsidP="008C46CE">
      <w:pPr>
        <w:autoSpaceDE w:val="0"/>
        <w:autoSpaceDN w:val="0"/>
        <w:adjustRightInd w:val="0"/>
        <w:spacing w:line="240" w:lineRule="auto"/>
        <w:rPr>
          <w:rFonts w:asciiTheme="minorHAnsi" w:hAnsiTheme="minorHAnsi"/>
          <w:sz w:val="22"/>
        </w:rPr>
      </w:pPr>
      <w:r w:rsidRPr="00783F74">
        <w:rPr>
          <w:b/>
        </w:rPr>
        <w:t>Figure 1.</w:t>
      </w:r>
      <w:r>
        <w:t xml:space="preserve">  Variables related to AEP equity and utilisation </w:t>
      </w:r>
      <w:r>
        <w:rPr>
          <w:i/>
        </w:rPr>
        <w:t>vs.</w:t>
      </w:r>
      <w:r>
        <w:t xml:space="preserve"> average IRSD score at the SA3 level. (A) Out-of-pocket expense per service. (B) Services per patient. (C) Patients per provider. (D) Patients per 1000 residents. (E) Providers per 1000 residents. (F) Services per 1000 residents. Bars show mean </w:t>
      </w:r>
      <w:r>
        <w:rPr>
          <w:rFonts w:cs="Times New Roman"/>
        </w:rPr>
        <w:t>±</w:t>
      </w:r>
      <w:r>
        <w:t xml:space="preserve"> 95% CI for each decile score. Spearman correlation (rho) and significance level shown at top. *** P &lt; 0.001, ** P &lt; 0.01, * P &lt; 0.05.</w:t>
      </w:r>
    </w:p>
    <w:p w14:paraId="6BFC7BAE" w14:textId="77777777" w:rsidR="00F07EE3" w:rsidRDefault="00F07EE3" w:rsidP="008C46CE">
      <w:pPr>
        <w:rPr>
          <w:rFonts w:asciiTheme="minorHAnsi" w:hAnsiTheme="minorHAnsi"/>
          <w:sz w:val="22"/>
        </w:rPr>
      </w:pPr>
    </w:p>
    <w:p w14:paraId="5021A471" w14:textId="77777777" w:rsidR="00F07EE3" w:rsidRDefault="00F07EE3" w:rsidP="008C46CE">
      <w:pPr>
        <w:autoSpaceDE w:val="0"/>
        <w:autoSpaceDN w:val="0"/>
        <w:adjustRightInd w:val="0"/>
        <w:spacing w:line="240" w:lineRule="auto"/>
        <w:rPr>
          <w:rFonts w:cs="Times New Roman"/>
          <w:szCs w:val="24"/>
        </w:rPr>
      </w:pPr>
      <w:r>
        <w:rPr>
          <w:rFonts w:cs="Times New Roman"/>
          <w:noProof/>
          <w:szCs w:val="24"/>
          <w:lang w:eastAsia="en-AU"/>
        </w:rPr>
        <w:drawing>
          <wp:anchor distT="0" distB="0" distL="114300" distR="114300" simplePos="0" relativeHeight="251659264" behindDoc="0" locked="0" layoutInCell="1" allowOverlap="1" wp14:anchorId="052A3F9D" wp14:editId="40D72860">
            <wp:simplePos x="0" y="0"/>
            <wp:positionH relativeFrom="margin">
              <wp:posOffset>19049</wp:posOffset>
            </wp:positionH>
            <wp:positionV relativeFrom="paragraph">
              <wp:posOffset>172720</wp:posOffset>
            </wp:positionV>
            <wp:extent cx="2962275" cy="2266315"/>
            <wp:effectExtent l="0" t="0" r="952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1a_v2.jpg"/>
                    <pic:cNvPicPr/>
                  </pic:nvPicPr>
                  <pic:blipFill>
                    <a:blip r:embed="rId13">
                      <a:extLst>
                        <a:ext uri="{28A0092B-C50C-407E-A947-70E740481C1C}">
                          <a14:useLocalDpi xmlns:a14="http://schemas.microsoft.com/office/drawing/2010/main" val="0"/>
                        </a:ext>
                      </a:extLst>
                    </a:blip>
                    <a:stretch>
                      <a:fillRect/>
                    </a:stretch>
                  </pic:blipFill>
                  <pic:spPr>
                    <a:xfrm>
                      <a:off x="0" y="0"/>
                      <a:ext cx="2962594" cy="2266559"/>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Cs w:val="24"/>
          <w:lang w:eastAsia="en-AU"/>
        </w:rPr>
        <w:drawing>
          <wp:anchor distT="0" distB="0" distL="114300" distR="114300" simplePos="0" relativeHeight="251662336" behindDoc="0" locked="0" layoutInCell="1" allowOverlap="1" wp14:anchorId="1934C983" wp14:editId="192369E1">
            <wp:simplePos x="0" y="0"/>
            <wp:positionH relativeFrom="column">
              <wp:posOffset>3057525</wp:posOffset>
            </wp:positionH>
            <wp:positionV relativeFrom="page">
              <wp:posOffset>2219325</wp:posOffset>
            </wp:positionV>
            <wp:extent cx="2936240" cy="2411568"/>
            <wp:effectExtent l="0" t="0" r="0" b="825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Fig1b.jpeg"/>
                    <pic:cNvPicPr/>
                  </pic:nvPicPr>
                  <pic:blipFill>
                    <a:blip r:embed="rId14">
                      <a:extLst>
                        <a:ext uri="{28A0092B-C50C-407E-A947-70E740481C1C}">
                          <a14:useLocalDpi xmlns:a14="http://schemas.microsoft.com/office/drawing/2010/main" val="0"/>
                        </a:ext>
                      </a:extLst>
                    </a:blip>
                    <a:stretch>
                      <a:fillRect/>
                    </a:stretch>
                  </pic:blipFill>
                  <pic:spPr>
                    <a:xfrm>
                      <a:off x="0" y="0"/>
                      <a:ext cx="2936816" cy="2412041"/>
                    </a:xfrm>
                    <a:prstGeom prst="rect">
                      <a:avLst/>
                    </a:prstGeom>
                  </pic:spPr>
                </pic:pic>
              </a:graphicData>
            </a:graphic>
            <wp14:sizeRelH relativeFrom="page">
              <wp14:pctWidth>0</wp14:pctWidth>
            </wp14:sizeRelH>
            <wp14:sizeRelV relativeFrom="page">
              <wp14:pctHeight>0</wp14:pctHeight>
            </wp14:sizeRelV>
          </wp:anchor>
        </w:drawing>
      </w:r>
      <w:r>
        <w:rPr>
          <w:rFonts w:cs="Times New Roman"/>
          <w:szCs w:val="24"/>
        </w:rPr>
        <w:t xml:space="preserve"> </w:t>
      </w:r>
    </w:p>
    <w:p w14:paraId="35AE61FC" w14:textId="77777777" w:rsidR="00F07EE3" w:rsidRDefault="00F07EE3" w:rsidP="008C46CE">
      <w:pPr>
        <w:autoSpaceDE w:val="0"/>
        <w:autoSpaceDN w:val="0"/>
        <w:adjustRightInd w:val="0"/>
        <w:spacing w:line="240" w:lineRule="auto"/>
        <w:rPr>
          <w:rFonts w:cs="Times New Roman"/>
          <w:szCs w:val="24"/>
        </w:rPr>
      </w:pPr>
    </w:p>
    <w:p w14:paraId="7DF1DFB4" w14:textId="77777777" w:rsidR="00F07EE3" w:rsidRDefault="00F07EE3" w:rsidP="008C46CE">
      <w:pPr>
        <w:autoSpaceDE w:val="0"/>
        <w:autoSpaceDN w:val="0"/>
        <w:adjustRightInd w:val="0"/>
        <w:spacing w:line="240" w:lineRule="auto"/>
        <w:rPr>
          <w:rFonts w:cs="Times New Roman"/>
          <w:szCs w:val="24"/>
        </w:rPr>
      </w:pPr>
    </w:p>
    <w:p w14:paraId="431FF074" w14:textId="77777777" w:rsidR="00F07EE3" w:rsidRDefault="00F07EE3" w:rsidP="008C46CE">
      <w:pPr>
        <w:autoSpaceDE w:val="0"/>
        <w:autoSpaceDN w:val="0"/>
        <w:adjustRightInd w:val="0"/>
        <w:spacing w:line="400" w:lineRule="atLeast"/>
        <w:rPr>
          <w:rFonts w:cs="Times New Roman"/>
          <w:szCs w:val="24"/>
        </w:rPr>
      </w:pPr>
    </w:p>
    <w:p w14:paraId="3B5879EB" w14:textId="77777777" w:rsidR="00F07EE3" w:rsidRDefault="00F07EE3" w:rsidP="008C46CE">
      <w:pPr>
        <w:autoSpaceDE w:val="0"/>
        <w:autoSpaceDN w:val="0"/>
        <w:adjustRightInd w:val="0"/>
        <w:spacing w:line="400" w:lineRule="atLeast"/>
        <w:rPr>
          <w:rFonts w:cs="Times New Roman"/>
          <w:szCs w:val="24"/>
        </w:rPr>
      </w:pPr>
    </w:p>
    <w:p w14:paraId="4C49F5CD" w14:textId="77777777" w:rsidR="00F07EE3" w:rsidRDefault="00F07EE3" w:rsidP="008C46CE">
      <w:pPr>
        <w:autoSpaceDE w:val="0"/>
        <w:autoSpaceDN w:val="0"/>
        <w:adjustRightInd w:val="0"/>
        <w:spacing w:line="240" w:lineRule="auto"/>
        <w:rPr>
          <w:rFonts w:cs="Times New Roman"/>
          <w:szCs w:val="24"/>
        </w:rPr>
      </w:pPr>
    </w:p>
    <w:p w14:paraId="4C67939C" w14:textId="77777777" w:rsidR="00F07EE3" w:rsidRDefault="00F07EE3" w:rsidP="008C46CE">
      <w:pPr>
        <w:autoSpaceDE w:val="0"/>
        <w:autoSpaceDN w:val="0"/>
        <w:adjustRightInd w:val="0"/>
        <w:spacing w:line="240" w:lineRule="auto"/>
        <w:rPr>
          <w:rFonts w:cs="Times New Roman"/>
          <w:szCs w:val="24"/>
        </w:rPr>
      </w:pPr>
    </w:p>
    <w:p w14:paraId="3C96B538" w14:textId="77777777" w:rsidR="00F07EE3" w:rsidRDefault="00F07EE3" w:rsidP="008C46CE">
      <w:pPr>
        <w:autoSpaceDE w:val="0"/>
        <w:autoSpaceDN w:val="0"/>
        <w:adjustRightInd w:val="0"/>
        <w:spacing w:line="400" w:lineRule="atLeast"/>
        <w:rPr>
          <w:rFonts w:cs="Times New Roman"/>
          <w:szCs w:val="24"/>
        </w:rPr>
      </w:pPr>
    </w:p>
    <w:p w14:paraId="7CB2EE3F" w14:textId="77777777" w:rsidR="00F07EE3" w:rsidRDefault="00F07EE3" w:rsidP="008C46CE"/>
    <w:p w14:paraId="776ADCF8" w14:textId="77777777" w:rsidR="00F07EE3" w:rsidRDefault="00F07EE3" w:rsidP="008C46CE">
      <w:pPr>
        <w:autoSpaceDE w:val="0"/>
        <w:autoSpaceDN w:val="0"/>
        <w:adjustRightInd w:val="0"/>
        <w:spacing w:line="240" w:lineRule="auto"/>
        <w:rPr>
          <w:rFonts w:cs="Times New Roman"/>
          <w:szCs w:val="24"/>
        </w:rPr>
      </w:pPr>
    </w:p>
    <w:p w14:paraId="59AC207C" w14:textId="77777777" w:rsidR="00F07EE3" w:rsidRDefault="00F07EE3" w:rsidP="008C46CE">
      <w:pPr>
        <w:autoSpaceDE w:val="0"/>
        <w:autoSpaceDN w:val="0"/>
        <w:adjustRightInd w:val="0"/>
        <w:spacing w:line="240" w:lineRule="auto"/>
        <w:rPr>
          <w:rFonts w:cs="Times New Roman"/>
          <w:szCs w:val="24"/>
        </w:rPr>
      </w:pPr>
    </w:p>
    <w:p w14:paraId="3B6721C5" w14:textId="77777777" w:rsidR="00F07EE3" w:rsidRDefault="00F07EE3" w:rsidP="008C46CE">
      <w:pPr>
        <w:autoSpaceDE w:val="0"/>
        <w:autoSpaceDN w:val="0"/>
        <w:adjustRightInd w:val="0"/>
        <w:spacing w:line="400" w:lineRule="atLeast"/>
        <w:rPr>
          <w:rFonts w:cs="Times New Roman"/>
          <w:szCs w:val="24"/>
        </w:rPr>
      </w:pPr>
      <w:r>
        <w:rPr>
          <w:noProof/>
          <w:lang w:eastAsia="en-AU"/>
        </w:rPr>
        <w:drawing>
          <wp:anchor distT="0" distB="0" distL="114300" distR="114300" simplePos="0" relativeHeight="251660288" behindDoc="0" locked="0" layoutInCell="1" allowOverlap="1" wp14:anchorId="7EA1948E" wp14:editId="17CD1827">
            <wp:simplePos x="0" y="0"/>
            <wp:positionH relativeFrom="margin">
              <wp:posOffset>19050</wp:posOffset>
            </wp:positionH>
            <wp:positionV relativeFrom="paragraph">
              <wp:posOffset>187960</wp:posOffset>
            </wp:positionV>
            <wp:extent cx="2969769" cy="2266315"/>
            <wp:effectExtent l="0" t="0" r="254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71034" cy="226728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322460B8" wp14:editId="389F3070">
            <wp:simplePos x="0" y="0"/>
            <wp:positionH relativeFrom="column">
              <wp:posOffset>3002280</wp:posOffset>
            </wp:positionH>
            <wp:positionV relativeFrom="paragraph">
              <wp:posOffset>178435</wp:posOffset>
            </wp:positionV>
            <wp:extent cx="2985770" cy="239331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85770" cy="2393315"/>
                    </a:xfrm>
                    <a:prstGeom prst="rect">
                      <a:avLst/>
                    </a:prstGeom>
                    <a:noFill/>
                  </pic:spPr>
                </pic:pic>
              </a:graphicData>
            </a:graphic>
            <wp14:sizeRelH relativeFrom="page">
              <wp14:pctWidth>0</wp14:pctWidth>
            </wp14:sizeRelH>
            <wp14:sizeRelV relativeFrom="page">
              <wp14:pctHeight>0</wp14:pctHeight>
            </wp14:sizeRelV>
          </wp:anchor>
        </w:drawing>
      </w:r>
    </w:p>
    <w:p w14:paraId="7E874B8B" w14:textId="77777777" w:rsidR="00F07EE3" w:rsidRDefault="00F07EE3" w:rsidP="008C46CE">
      <w:pPr>
        <w:autoSpaceDE w:val="0"/>
        <w:autoSpaceDN w:val="0"/>
        <w:adjustRightInd w:val="0"/>
        <w:spacing w:line="240" w:lineRule="auto"/>
        <w:rPr>
          <w:rFonts w:cs="Times New Roman"/>
          <w:szCs w:val="24"/>
        </w:rPr>
      </w:pPr>
    </w:p>
    <w:p w14:paraId="276A108E" w14:textId="77777777" w:rsidR="00F07EE3" w:rsidRDefault="00F07EE3" w:rsidP="008C46CE">
      <w:pPr>
        <w:autoSpaceDE w:val="0"/>
        <w:autoSpaceDN w:val="0"/>
        <w:adjustRightInd w:val="0"/>
        <w:spacing w:line="240" w:lineRule="auto"/>
        <w:rPr>
          <w:rFonts w:cs="Times New Roman"/>
          <w:szCs w:val="24"/>
        </w:rPr>
      </w:pPr>
    </w:p>
    <w:p w14:paraId="2B09D135" w14:textId="77777777" w:rsidR="00F07EE3" w:rsidRDefault="00F07EE3" w:rsidP="008C46CE">
      <w:pPr>
        <w:autoSpaceDE w:val="0"/>
        <w:autoSpaceDN w:val="0"/>
        <w:adjustRightInd w:val="0"/>
        <w:spacing w:line="400" w:lineRule="atLeast"/>
        <w:rPr>
          <w:rFonts w:cs="Times New Roman"/>
          <w:szCs w:val="24"/>
        </w:rPr>
      </w:pPr>
    </w:p>
    <w:p w14:paraId="32ABABE1" w14:textId="77777777" w:rsidR="00F07EE3" w:rsidRDefault="00F07EE3" w:rsidP="008C46CE">
      <w:pPr>
        <w:autoSpaceDE w:val="0"/>
        <w:autoSpaceDN w:val="0"/>
        <w:adjustRightInd w:val="0"/>
        <w:spacing w:line="240" w:lineRule="auto"/>
        <w:rPr>
          <w:rFonts w:cs="Times New Roman"/>
          <w:szCs w:val="24"/>
        </w:rPr>
      </w:pPr>
    </w:p>
    <w:p w14:paraId="7EEDB778" w14:textId="77777777" w:rsidR="00F07EE3" w:rsidRDefault="00F07EE3" w:rsidP="008C46CE">
      <w:pPr>
        <w:autoSpaceDE w:val="0"/>
        <w:autoSpaceDN w:val="0"/>
        <w:adjustRightInd w:val="0"/>
        <w:spacing w:line="240" w:lineRule="auto"/>
        <w:rPr>
          <w:rFonts w:cs="Times New Roman"/>
          <w:szCs w:val="24"/>
        </w:rPr>
      </w:pPr>
    </w:p>
    <w:p w14:paraId="00A4638B" w14:textId="77777777" w:rsidR="00F07EE3" w:rsidRDefault="00F07EE3" w:rsidP="008C46CE">
      <w:pPr>
        <w:autoSpaceDE w:val="0"/>
        <w:autoSpaceDN w:val="0"/>
        <w:adjustRightInd w:val="0"/>
        <w:spacing w:line="400" w:lineRule="atLeast"/>
        <w:rPr>
          <w:rFonts w:cs="Times New Roman"/>
          <w:szCs w:val="24"/>
        </w:rPr>
      </w:pPr>
    </w:p>
    <w:p w14:paraId="3D8B832B" w14:textId="77777777" w:rsidR="00F07EE3" w:rsidRDefault="00F07EE3" w:rsidP="008C46CE">
      <w:pPr>
        <w:autoSpaceDE w:val="0"/>
        <w:autoSpaceDN w:val="0"/>
        <w:adjustRightInd w:val="0"/>
        <w:spacing w:line="240" w:lineRule="auto"/>
        <w:rPr>
          <w:rFonts w:cs="Times New Roman"/>
          <w:szCs w:val="24"/>
        </w:rPr>
      </w:pPr>
    </w:p>
    <w:p w14:paraId="2C33E0E4" w14:textId="77777777" w:rsidR="00F07EE3" w:rsidRDefault="00F07EE3" w:rsidP="008C46CE">
      <w:pPr>
        <w:autoSpaceDE w:val="0"/>
        <w:autoSpaceDN w:val="0"/>
        <w:adjustRightInd w:val="0"/>
        <w:spacing w:line="240" w:lineRule="auto"/>
        <w:rPr>
          <w:rFonts w:cs="Times New Roman"/>
          <w:szCs w:val="24"/>
        </w:rPr>
      </w:pPr>
    </w:p>
    <w:p w14:paraId="5D4748B8" w14:textId="77777777" w:rsidR="00F07EE3" w:rsidRDefault="00F07EE3" w:rsidP="008C46CE">
      <w:pPr>
        <w:autoSpaceDE w:val="0"/>
        <w:autoSpaceDN w:val="0"/>
        <w:adjustRightInd w:val="0"/>
        <w:spacing w:line="400" w:lineRule="atLeast"/>
        <w:rPr>
          <w:rFonts w:cs="Times New Roman"/>
          <w:szCs w:val="24"/>
        </w:rPr>
      </w:pPr>
    </w:p>
    <w:p w14:paraId="12BD9609" w14:textId="77777777" w:rsidR="00F07EE3" w:rsidRDefault="00F07EE3" w:rsidP="008C46CE">
      <w:pPr>
        <w:autoSpaceDE w:val="0"/>
        <w:autoSpaceDN w:val="0"/>
        <w:adjustRightInd w:val="0"/>
        <w:spacing w:line="240" w:lineRule="auto"/>
        <w:rPr>
          <w:rFonts w:cs="Times New Roman"/>
          <w:szCs w:val="24"/>
        </w:rPr>
      </w:pPr>
    </w:p>
    <w:p w14:paraId="0E318CEC" w14:textId="77777777" w:rsidR="00F07EE3" w:rsidRDefault="00F07EE3" w:rsidP="008C46CE">
      <w:pPr>
        <w:autoSpaceDE w:val="0"/>
        <w:autoSpaceDN w:val="0"/>
        <w:adjustRightInd w:val="0"/>
        <w:spacing w:line="240" w:lineRule="auto"/>
        <w:rPr>
          <w:rFonts w:cs="Times New Roman"/>
          <w:szCs w:val="24"/>
        </w:rPr>
      </w:pPr>
    </w:p>
    <w:p w14:paraId="1DF7EF4F" w14:textId="77777777" w:rsidR="00F07EE3" w:rsidRDefault="00F07EE3" w:rsidP="008C46CE">
      <w:pPr>
        <w:autoSpaceDE w:val="0"/>
        <w:autoSpaceDN w:val="0"/>
        <w:adjustRightInd w:val="0"/>
        <w:spacing w:line="400" w:lineRule="atLeast"/>
        <w:rPr>
          <w:rFonts w:cs="Times New Roman"/>
          <w:szCs w:val="24"/>
        </w:rPr>
      </w:pPr>
      <w:r>
        <w:rPr>
          <w:noProof/>
          <w:lang w:eastAsia="en-AU"/>
        </w:rPr>
        <w:drawing>
          <wp:anchor distT="0" distB="0" distL="114300" distR="114300" simplePos="0" relativeHeight="251661312" behindDoc="0" locked="0" layoutInCell="1" allowOverlap="1" wp14:anchorId="4E11F800" wp14:editId="22640480">
            <wp:simplePos x="0" y="0"/>
            <wp:positionH relativeFrom="margin">
              <wp:posOffset>9525</wp:posOffset>
            </wp:positionH>
            <wp:positionV relativeFrom="paragraph">
              <wp:posOffset>94615</wp:posOffset>
            </wp:positionV>
            <wp:extent cx="2980114" cy="23425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980747" cy="234301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720D5693" wp14:editId="04BF2876">
            <wp:simplePos x="0" y="0"/>
            <wp:positionH relativeFrom="column">
              <wp:posOffset>3019425</wp:posOffset>
            </wp:positionH>
            <wp:positionV relativeFrom="paragraph">
              <wp:posOffset>85090</wp:posOffset>
            </wp:positionV>
            <wp:extent cx="2974340" cy="2388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74340" cy="2388235"/>
                    </a:xfrm>
                    <a:prstGeom prst="rect">
                      <a:avLst/>
                    </a:prstGeom>
                    <a:noFill/>
                  </pic:spPr>
                </pic:pic>
              </a:graphicData>
            </a:graphic>
            <wp14:sizeRelH relativeFrom="page">
              <wp14:pctWidth>0</wp14:pctWidth>
            </wp14:sizeRelH>
            <wp14:sizeRelV relativeFrom="page">
              <wp14:pctHeight>0</wp14:pctHeight>
            </wp14:sizeRelV>
          </wp:anchor>
        </w:drawing>
      </w:r>
    </w:p>
    <w:p w14:paraId="4BA47EAB" w14:textId="77777777" w:rsidR="00F07EE3" w:rsidRDefault="00F07EE3" w:rsidP="008C46CE">
      <w:pPr>
        <w:autoSpaceDE w:val="0"/>
        <w:autoSpaceDN w:val="0"/>
        <w:adjustRightInd w:val="0"/>
        <w:spacing w:line="240" w:lineRule="auto"/>
        <w:rPr>
          <w:rFonts w:cs="Times New Roman"/>
          <w:szCs w:val="24"/>
        </w:rPr>
      </w:pPr>
    </w:p>
    <w:p w14:paraId="009C3F37" w14:textId="77777777" w:rsidR="00F07EE3" w:rsidRDefault="00F07EE3" w:rsidP="008C46CE">
      <w:pPr>
        <w:autoSpaceDE w:val="0"/>
        <w:autoSpaceDN w:val="0"/>
        <w:adjustRightInd w:val="0"/>
        <w:spacing w:line="240" w:lineRule="auto"/>
        <w:rPr>
          <w:rFonts w:cs="Times New Roman"/>
          <w:szCs w:val="24"/>
        </w:rPr>
      </w:pPr>
    </w:p>
    <w:p w14:paraId="0531D356" w14:textId="77777777" w:rsidR="00F07EE3" w:rsidRDefault="00F07EE3" w:rsidP="008C46CE">
      <w:pPr>
        <w:autoSpaceDE w:val="0"/>
        <w:autoSpaceDN w:val="0"/>
        <w:adjustRightInd w:val="0"/>
        <w:spacing w:line="400" w:lineRule="atLeast"/>
        <w:rPr>
          <w:rFonts w:cs="Times New Roman"/>
          <w:szCs w:val="24"/>
        </w:rPr>
      </w:pPr>
    </w:p>
    <w:p w14:paraId="6385401D" w14:textId="77777777" w:rsidR="00F07EE3" w:rsidRDefault="00F07EE3" w:rsidP="008C46CE">
      <w:pPr>
        <w:autoSpaceDE w:val="0"/>
        <w:autoSpaceDN w:val="0"/>
        <w:adjustRightInd w:val="0"/>
        <w:spacing w:line="240" w:lineRule="auto"/>
        <w:rPr>
          <w:rFonts w:cs="Times New Roman"/>
          <w:szCs w:val="24"/>
        </w:rPr>
      </w:pPr>
    </w:p>
    <w:p w14:paraId="09F994E1" w14:textId="77777777" w:rsidR="00F07EE3" w:rsidRDefault="00F07EE3" w:rsidP="008C46CE">
      <w:pPr>
        <w:autoSpaceDE w:val="0"/>
        <w:autoSpaceDN w:val="0"/>
        <w:adjustRightInd w:val="0"/>
        <w:spacing w:line="240" w:lineRule="auto"/>
        <w:rPr>
          <w:rFonts w:cs="Times New Roman"/>
          <w:szCs w:val="24"/>
        </w:rPr>
      </w:pPr>
    </w:p>
    <w:p w14:paraId="46D12506" w14:textId="77777777" w:rsidR="00F07EE3" w:rsidRDefault="00F07EE3" w:rsidP="008C46CE">
      <w:pPr>
        <w:autoSpaceDE w:val="0"/>
        <w:autoSpaceDN w:val="0"/>
        <w:adjustRightInd w:val="0"/>
        <w:spacing w:line="400" w:lineRule="atLeast"/>
        <w:rPr>
          <w:rFonts w:cs="Times New Roman"/>
          <w:szCs w:val="24"/>
        </w:rPr>
      </w:pPr>
    </w:p>
    <w:p w14:paraId="6086343D" w14:textId="77777777" w:rsidR="00F07EE3" w:rsidRDefault="00F07EE3" w:rsidP="008C46CE">
      <w:pPr>
        <w:spacing w:after="160" w:line="256" w:lineRule="auto"/>
      </w:pPr>
    </w:p>
    <w:p w14:paraId="178EF8EE" w14:textId="77777777" w:rsidR="00F07EE3" w:rsidRDefault="00F07EE3" w:rsidP="00407294">
      <w:pPr>
        <w:rPr>
          <w:szCs w:val="24"/>
        </w:rPr>
      </w:pPr>
    </w:p>
    <w:p w14:paraId="62F08419" w14:textId="77777777" w:rsidR="00F07EE3" w:rsidRDefault="00F07EE3" w:rsidP="00997882">
      <w:pPr>
        <w:rPr>
          <w:szCs w:val="24"/>
        </w:rPr>
      </w:pPr>
    </w:p>
    <w:p w14:paraId="4008916B" w14:textId="77777777" w:rsidR="00F07EE3" w:rsidRDefault="00F07EE3" w:rsidP="00997882">
      <w:pPr>
        <w:rPr>
          <w:szCs w:val="24"/>
        </w:rPr>
      </w:pPr>
    </w:p>
    <w:p w14:paraId="23BF83A6" w14:textId="77777777" w:rsidR="00F07EE3" w:rsidRDefault="00F07EE3" w:rsidP="004546CE"/>
    <w:p w14:paraId="550DDF05" w14:textId="3F458907" w:rsidR="00C84D2C" w:rsidRDefault="00C84D2C" w:rsidP="00A07810">
      <w:bookmarkStart w:id="5" w:name="_GoBack"/>
      <w:bookmarkEnd w:id="5"/>
    </w:p>
    <w:sectPr w:rsidR="00C84D2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9989" w14:textId="77777777" w:rsidR="005E0E04" w:rsidRDefault="005E0E04" w:rsidP="00536A7B">
      <w:pPr>
        <w:spacing w:line="240" w:lineRule="auto"/>
      </w:pPr>
      <w:r>
        <w:separator/>
      </w:r>
    </w:p>
  </w:endnote>
  <w:endnote w:type="continuationSeparator" w:id="0">
    <w:p w14:paraId="2133B2AD" w14:textId="77777777" w:rsidR="005E0E04" w:rsidRDefault="005E0E04" w:rsidP="00536A7B">
      <w:pPr>
        <w:spacing w:line="240" w:lineRule="auto"/>
      </w:pPr>
      <w:r>
        <w:continuationSeparator/>
      </w:r>
    </w:p>
  </w:endnote>
  <w:endnote w:type="continuationNotice" w:id="1">
    <w:p w14:paraId="408B652D" w14:textId="77777777" w:rsidR="005E0E04" w:rsidRDefault="005E0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92407"/>
      <w:docPartObj>
        <w:docPartGallery w:val="Page Numbers (Bottom of Page)"/>
        <w:docPartUnique/>
      </w:docPartObj>
    </w:sdtPr>
    <w:sdtEndPr>
      <w:rPr>
        <w:noProof/>
      </w:rPr>
    </w:sdtEndPr>
    <w:sdtContent>
      <w:p w14:paraId="26D9EE32" w14:textId="5DB2FD04" w:rsidR="00995947" w:rsidRDefault="00995947">
        <w:pPr>
          <w:pStyle w:val="Footer"/>
          <w:jc w:val="center"/>
        </w:pPr>
        <w:r>
          <w:fldChar w:fldCharType="begin"/>
        </w:r>
        <w:r>
          <w:instrText xml:space="preserve"> PAGE   \* MERGEFORMAT </w:instrText>
        </w:r>
        <w:r>
          <w:fldChar w:fldCharType="separate"/>
        </w:r>
        <w:r w:rsidR="00F07EE3">
          <w:rPr>
            <w:noProof/>
          </w:rPr>
          <w:t>25</w:t>
        </w:r>
        <w:r>
          <w:rPr>
            <w:noProof/>
          </w:rPr>
          <w:fldChar w:fldCharType="end"/>
        </w:r>
      </w:p>
    </w:sdtContent>
  </w:sdt>
  <w:p w14:paraId="1193C910" w14:textId="77777777" w:rsidR="00995947" w:rsidRDefault="0099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CBC9" w14:textId="77777777" w:rsidR="005E0E04" w:rsidRDefault="005E0E04" w:rsidP="00536A7B">
      <w:pPr>
        <w:spacing w:line="240" w:lineRule="auto"/>
      </w:pPr>
      <w:r>
        <w:separator/>
      </w:r>
    </w:p>
  </w:footnote>
  <w:footnote w:type="continuationSeparator" w:id="0">
    <w:p w14:paraId="2B1B3945" w14:textId="77777777" w:rsidR="005E0E04" w:rsidRDefault="005E0E04" w:rsidP="00536A7B">
      <w:pPr>
        <w:spacing w:line="240" w:lineRule="auto"/>
      </w:pPr>
      <w:r>
        <w:continuationSeparator/>
      </w:r>
    </w:p>
  </w:footnote>
  <w:footnote w:type="continuationNotice" w:id="1">
    <w:p w14:paraId="5C3686B1" w14:textId="77777777" w:rsidR="005E0E04" w:rsidRDefault="005E0E0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48514C8"/>
    <w:multiLevelType w:val="hybridMultilevel"/>
    <w:tmpl w:val="48C4E65C"/>
    <w:lvl w:ilvl="0" w:tplc="5F48C0A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F3E9A"/>
    <w:multiLevelType w:val="hybridMultilevel"/>
    <w:tmpl w:val="945E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938A5"/>
    <w:multiLevelType w:val="hybridMultilevel"/>
    <w:tmpl w:val="6CD21DE8"/>
    <w:lvl w:ilvl="0" w:tplc="4E2C63F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400A8"/>
    <w:multiLevelType w:val="hybridMultilevel"/>
    <w:tmpl w:val="128624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E2F15F6"/>
    <w:multiLevelType w:val="multilevel"/>
    <w:tmpl w:val="8972525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7332A"/>
    <w:multiLevelType w:val="hybridMultilevel"/>
    <w:tmpl w:val="2462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FC383F"/>
    <w:multiLevelType w:val="hybridMultilevel"/>
    <w:tmpl w:val="75C2E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7378E3"/>
    <w:multiLevelType w:val="hybridMultilevel"/>
    <w:tmpl w:val="C0F40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74099"/>
    <w:multiLevelType w:val="hybridMultilevel"/>
    <w:tmpl w:val="8912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C77ACB"/>
    <w:multiLevelType w:val="hybridMultilevel"/>
    <w:tmpl w:val="013CC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D549AE"/>
    <w:multiLevelType w:val="hybridMultilevel"/>
    <w:tmpl w:val="C7D85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FA31A5"/>
    <w:multiLevelType w:val="hybridMultilevel"/>
    <w:tmpl w:val="B92407E8"/>
    <w:lvl w:ilvl="0" w:tplc="3482AA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91B0A5B"/>
    <w:multiLevelType w:val="hybridMultilevel"/>
    <w:tmpl w:val="EADE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12810"/>
    <w:multiLevelType w:val="hybridMultilevel"/>
    <w:tmpl w:val="71BE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485CE8"/>
    <w:multiLevelType w:val="hybridMultilevel"/>
    <w:tmpl w:val="46209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980EAC"/>
    <w:multiLevelType w:val="hybridMultilevel"/>
    <w:tmpl w:val="18C6D3F0"/>
    <w:lvl w:ilvl="0" w:tplc="488A26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F622E2"/>
    <w:multiLevelType w:val="multilevel"/>
    <w:tmpl w:val="0200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9D0873"/>
    <w:multiLevelType w:val="multilevel"/>
    <w:tmpl w:val="8EE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5"/>
  </w:num>
  <w:num w:numId="5">
    <w:abstractNumId w:val="6"/>
  </w:num>
  <w:num w:numId="6">
    <w:abstractNumId w:val="11"/>
  </w:num>
  <w:num w:numId="7">
    <w:abstractNumId w:val="8"/>
  </w:num>
  <w:num w:numId="8">
    <w:abstractNumId w:val="9"/>
  </w:num>
  <w:num w:numId="9">
    <w:abstractNumId w:val="2"/>
  </w:num>
  <w:num w:numId="10">
    <w:abstractNumId w:val="12"/>
  </w:num>
  <w:num w:numId="11">
    <w:abstractNumId w:val="0"/>
  </w:num>
  <w:num w:numId="12">
    <w:abstractNumId w:val="10"/>
  </w:num>
  <w:num w:numId="13">
    <w:abstractNumId w:val="4"/>
  </w:num>
  <w:num w:numId="14">
    <w:abstractNumId w:val="17"/>
  </w:num>
  <w:num w:numId="15">
    <w:abstractNumId w:val="16"/>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dsfpwtrzr9v0ez95uvded3s2sszrr5afte&quot;&gt;Equity_SSM_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6&lt;/item&gt;&lt;item&gt;37&lt;/item&gt;&lt;item&gt;38&lt;/item&gt;&lt;item&gt;39&lt;/item&gt;&lt;item&gt;40&lt;/item&gt;&lt;item&gt;41&lt;/item&gt;&lt;item&gt;42&lt;/item&gt;&lt;item&gt;43&lt;/item&gt;&lt;item&gt;44&lt;/item&gt;&lt;item&gt;45&lt;/item&gt;&lt;item&gt;46&lt;/item&gt;&lt;item&gt;47&lt;/item&gt;&lt;item&gt;49&lt;/item&gt;&lt;/record-ids&gt;&lt;/item&gt;&lt;/Libraries&gt;"/>
  </w:docVars>
  <w:rsids>
    <w:rsidRoot w:val="00D313E4"/>
    <w:rsid w:val="00004BDD"/>
    <w:rsid w:val="00005179"/>
    <w:rsid w:val="000079A3"/>
    <w:rsid w:val="00007D1F"/>
    <w:rsid w:val="000100B8"/>
    <w:rsid w:val="0001077B"/>
    <w:rsid w:val="00020398"/>
    <w:rsid w:val="000242A4"/>
    <w:rsid w:val="000334EC"/>
    <w:rsid w:val="000337B3"/>
    <w:rsid w:val="000337CE"/>
    <w:rsid w:val="00035E5D"/>
    <w:rsid w:val="0003786E"/>
    <w:rsid w:val="00046894"/>
    <w:rsid w:val="00054A89"/>
    <w:rsid w:val="0005604B"/>
    <w:rsid w:val="00067B19"/>
    <w:rsid w:val="000722A4"/>
    <w:rsid w:val="00075362"/>
    <w:rsid w:val="00075979"/>
    <w:rsid w:val="0007638A"/>
    <w:rsid w:val="0008013D"/>
    <w:rsid w:val="000821DC"/>
    <w:rsid w:val="00082E1C"/>
    <w:rsid w:val="00083F77"/>
    <w:rsid w:val="0008400C"/>
    <w:rsid w:val="00085164"/>
    <w:rsid w:val="0008796F"/>
    <w:rsid w:val="000919A7"/>
    <w:rsid w:val="000930EF"/>
    <w:rsid w:val="000A1136"/>
    <w:rsid w:val="000A1880"/>
    <w:rsid w:val="000A1F2C"/>
    <w:rsid w:val="000A2AFC"/>
    <w:rsid w:val="000B2F89"/>
    <w:rsid w:val="000B569F"/>
    <w:rsid w:val="000B60B1"/>
    <w:rsid w:val="000C6DE4"/>
    <w:rsid w:val="000C71E8"/>
    <w:rsid w:val="000D3E14"/>
    <w:rsid w:val="000D66BE"/>
    <w:rsid w:val="000D67E0"/>
    <w:rsid w:val="000D6C8A"/>
    <w:rsid w:val="000D7835"/>
    <w:rsid w:val="000E13A4"/>
    <w:rsid w:val="000E34C3"/>
    <w:rsid w:val="000E4E14"/>
    <w:rsid w:val="000E4F53"/>
    <w:rsid w:val="000E5812"/>
    <w:rsid w:val="000F0D9C"/>
    <w:rsid w:val="000F6F6A"/>
    <w:rsid w:val="00101572"/>
    <w:rsid w:val="001025D7"/>
    <w:rsid w:val="001049C1"/>
    <w:rsid w:val="0011264F"/>
    <w:rsid w:val="0011471C"/>
    <w:rsid w:val="00117B0C"/>
    <w:rsid w:val="001217D5"/>
    <w:rsid w:val="00121EAF"/>
    <w:rsid w:val="0012265A"/>
    <w:rsid w:val="00123D9C"/>
    <w:rsid w:val="00126B69"/>
    <w:rsid w:val="00126BD5"/>
    <w:rsid w:val="001309FD"/>
    <w:rsid w:val="001331BC"/>
    <w:rsid w:val="001345E8"/>
    <w:rsid w:val="00137BBE"/>
    <w:rsid w:val="00140BEA"/>
    <w:rsid w:val="0014201A"/>
    <w:rsid w:val="00142721"/>
    <w:rsid w:val="0014311F"/>
    <w:rsid w:val="001475F5"/>
    <w:rsid w:val="0015240F"/>
    <w:rsid w:val="00155ACF"/>
    <w:rsid w:val="001649A1"/>
    <w:rsid w:val="00170A2F"/>
    <w:rsid w:val="00170DB7"/>
    <w:rsid w:val="00170ED7"/>
    <w:rsid w:val="00173485"/>
    <w:rsid w:val="001755F4"/>
    <w:rsid w:val="0017636A"/>
    <w:rsid w:val="00177273"/>
    <w:rsid w:val="00180741"/>
    <w:rsid w:val="00182F37"/>
    <w:rsid w:val="00183158"/>
    <w:rsid w:val="0018336B"/>
    <w:rsid w:val="0019185D"/>
    <w:rsid w:val="001928D3"/>
    <w:rsid w:val="001955FC"/>
    <w:rsid w:val="001963E6"/>
    <w:rsid w:val="001A075F"/>
    <w:rsid w:val="001A0E93"/>
    <w:rsid w:val="001A1F52"/>
    <w:rsid w:val="001A219B"/>
    <w:rsid w:val="001B479F"/>
    <w:rsid w:val="001B6249"/>
    <w:rsid w:val="001C220B"/>
    <w:rsid w:val="001C2F70"/>
    <w:rsid w:val="001C4D3D"/>
    <w:rsid w:val="001C7271"/>
    <w:rsid w:val="001D08AB"/>
    <w:rsid w:val="001D2B29"/>
    <w:rsid w:val="001D54B9"/>
    <w:rsid w:val="001D79D2"/>
    <w:rsid w:val="001E0F4C"/>
    <w:rsid w:val="001E116F"/>
    <w:rsid w:val="001E2696"/>
    <w:rsid w:val="001E46C9"/>
    <w:rsid w:val="001E610D"/>
    <w:rsid w:val="001E6A4D"/>
    <w:rsid w:val="001E7E3F"/>
    <w:rsid w:val="001F383D"/>
    <w:rsid w:val="00200C57"/>
    <w:rsid w:val="00200F14"/>
    <w:rsid w:val="002013B8"/>
    <w:rsid w:val="0021086D"/>
    <w:rsid w:val="00214234"/>
    <w:rsid w:val="00214E01"/>
    <w:rsid w:val="00214F31"/>
    <w:rsid w:val="002201E3"/>
    <w:rsid w:val="002225CF"/>
    <w:rsid w:val="002305CD"/>
    <w:rsid w:val="00231714"/>
    <w:rsid w:val="00233074"/>
    <w:rsid w:val="00233F17"/>
    <w:rsid w:val="002345EB"/>
    <w:rsid w:val="0023584B"/>
    <w:rsid w:val="00236C70"/>
    <w:rsid w:val="002413DD"/>
    <w:rsid w:val="00241949"/>
    <w:rsid w:val="00247454"/>
    <w:rsid w:val="0025145D"/>
    <w:rsid w:val="002534B4"/>
    <w:rsid w:val="00255CDA"/>
    <w:rsid w:val="00257849"/>
    <w:rsid w:val="00260007"/>
    <w:rsid w:val="00261A4B"/>
    <w:rsid w:val="0026466B"/>
    <w:rsid w:val="002668D7"/>
    <w:rsid w:val="00266BD5"/>
    <w:rsid w:val="002670DF"/>
    <w:rsid w:val="002756E7"/>
    <w:rsid w:val="00277051"/>
    <w:rsid w:val="00277DCD"/>
    <w:rsid w:val="00280DB7"/>
    <w:rsid w:val="00281395"/>
    <w:rsid w:val="00282785"/>
    <w:rsid w:val="0028780F"/>
    <w:rsid w:val="002909B4"/>
    <w:rsid w:val="0029351B"/>
    <w:rsid w:val="00296520"/>
    <w:rsid w:val="002A19F6"/>
    <w:rsid w:val="002A1E89"/>
    <w:rsid w:val="002A1FD8"/>
    <w:rsid w:val="002A220A"/>
    <w:rsid w:val="002B393E"/>
    <w:rsid w:val="002B4AF7"/>
    <w:rsid w:val="002B7CFA"/>
    <w:rsid w:val="002C2DE8"/>
    <w:rsid w:val="002C344C"/>
    <w:rsid w:val="002C52D4"/>
    <w:rsid w:val="002C5A75"/>
    <w:rsid w:val="002C6A2A"/>
    <w:rsid w:val="002D2343"/>
    <w:rsid w:val="002D3797"/>
    <w:rsid w:val="002D5D92"/>
    <w:rsid w:val="002E04D5"/>
    <w:rsid w:val="002E1804"/>
    <w:rsid w:val="002E2A93"/>
    <w:rsid w:val="002E32DE"/>
    <w:rsid w:val="002E3B4D"/>
    <w:rsid w:val="002E75FC"/>
    <w:rsid w:val="002F238D"/>
    <w:rsid w:val="002F329E"/>
    <w:rsid w:val="002F5AC0"/>
    <w:rsid w:val="002F7C1F"/>
    <w:rsid w:val="00304872"/>
    <w:rsid w:val="00310D36"/>
    <w:rsid w:val="0031116C"/>
    <w:rsid w:val="00311A48"/>
    <w:rsid w:val="0031351E"/>
    <w:rsid w:val="003156D9"/>
    <w:rsid w:val="00316170"/>
    <w:rsid w:val="003215D5"/>
    <w:rsid w:val="003234F5"/>
    <w:rsid w:val="00323E32"/>
    <w:rsid w:val="0032607C"/>
    <w:rsid w:val="00327A2C"/>
    <w:rsid w:val="00327FD4"/>
    <w:rsid w:val="0033069F"/>
    <w:rsid w:val="003329AC"/>
    <w:rsid w:val="00334412"/>
    <w:rsid w:val="00336555"/>
    <w:rsid w:val="00336AB1"/>
    <w:rsid w:val="00340354"/>
    <w:rsid w:val="00340E6D"/>
    <w:rsid w:val="00342EE5"/>
    <w:rsid w:val="00344B56"/>
    <w:rsid w:val="00363485"/>
    <w:rsid w:val="003669E0"/>
    <w:rsid w:val="00373E03"/>
    <w:rsid w:val="00381C46"/>
    <w:rsid w:val="00386A2B"/>
    <w:rsid w:val="00386BE9"/>
    <w:rsid w:val="003877B9"/>
    <w:rsid w:val="003905FF"/>
    <w:rsid w:val="00391987"/>
    <w:rsid w:val="00392CC5"/>
    <w:rsid w:val="003A080B"/>
    <w:rsid w:val="003B0F28"/>
    <w:rsid w:val="003B1879"/>
    <w:rsid w:val="003B232C"/>
    <w:rsid w:val="003B23C3"/>
    <w:rsid w:val="003B3CCB"/>
    <w:rsid w:val="003B4CD9"/>
    <w:rsid w:val="003B75D8"/>
    <w:rsid w:val="003C36BF"/>
    <w:rsid w:val="003C72BD"/>
    <w:rsid w:val="003D43D1"/>
    <w:rsid w:val="003D5BD7"/>
    <w:rsid w:val="003E4D8A"/>
    <w:rsid w:val="003E5C2B"/>
    <w:rsid w:val="003F0765"/>
    <w:rsid w:val="003F0FB4"/>
    <w:rsid w:val="003F1555"/>
    <w:rsid w:val="003F5897"/>
    <w:rsid w:val="003F5B15"/>
    <w:rsid w:val="003F7D22"/>
    <w:rsid w:val="0040135D"/>
    <w:rsid w:val="004030DD"/>
    <w:rsid w:val="00403CC3"/>
    <w:rsid w:val="00407294"/>
    <w:rsid w:val="00410918"/>
    <w:rsid w:val="004221C0"/>
    <w:rsid w:val="00422553"/>
    <w:rsid w:val="0042336C"/>
    <w:rsid w:val="004246FA"/>
    <w:rsid w:val="00431008"/>
    <w:rsid w:val="004317D9"/>
    <w:rsid w:val="00432314"/>
    <w:rsid w:val="00434298"/>
    <w:rsid w:val="00435FA2"/>
    <w:rsid w:val="0044027C"/>
    <w:rsid w:val="0044612B"/>
    <w:rsid w:val="004476AE"/>
    <w:rsid w:val="004545F0"/>
    <w:rsid w:val="004546CE"/>
    <w:rsid w:val="0045638C"/>
    <w:rsid w:val="00460018"/>
    <w:rsid w:val="0046504C"/>
    <w:rsid w:val="00466CBE"/>
    <w:rsid w:val="00467951"/>
    <w:rsid w:val="00473837"/>
    <w:rsid w:val="00473B0F"/>
    <w:rsid w:val="00473EB1"/>
    <w:rsid w:val="004749A2"/>
    <w:rsid w:val="0049130E"/>
    <w:rsid w:val="00493889"/>
    <w:rsid w:val="004944AB"/>
    <w:rsid w:val="0049643F"/>
    <w:rsid w:val="004A220F"/>
    <w:rsid w:val="004A28AF"/>
    <w:rsid w:val="004A34D2"/>
    <w:rsid w:val="004A52E1"/>
    <w:rsid w:val="004B0B58"/>
    <w:rsid w:val="004B370A"/>
    <w:rsid w:val="004B53F1"/>
    <w:rsid w:val="004B59DC"/>
    <w:rsid w:val="004C3034"/>
    <w:rsid w:val="004C76A1"/>
    <w:rsid w:val="004C7FD8"/>
    <w:rsid w:val="004D3E3D"/>
    <w:rsid w:val="004E4763"/>
    <w:rsid w:val="004E5CA3"/>
    <w:rsid w:val="004F2883"/>
    <w:rsid w:val="004F598E"/>
    <w:rsid w:val="004F6B5C"/>
    <w:rsid w:val="00501D1C"/>
    <w:rsid w:val="0050211E"/>
    <w:rsid w:val="005024C3"/>
    <w:rsid w:val="00504489"/>
    <w:rsid w:val="00522FCD"/>
    <w:rsid w:val="00523443"/>
    <w:rsid w:val="00525570"/>
    <w:rsid w:val="005301F2"/>
    <w:rsid w:val="005349D0"/>
    <w:rsid w:val="00535C46"/>
    <w:rsid w:val="00536722"/>
    <w:rsid w:val="00536A7B"/>
    <w:rsid w:val="00540965"/>
    <w:rsid w:val="00541026"/>
    <w:rsid w:val="00542510"/>
    <w:rsid w:val="005442CC"/>
    <w:rsid w:val="00546263"/>
    <w:rsid w:val="00546BDF"/>
    <w:rsid w:val="00561ECB"/>
    <w:rsid w:val="00562058"/>
    <w:rsid w:val="005628A9"/>
    <w:rsid w:val="00562958"/>
    <w:rsid w:val="00566DF4"/>
    <w:rsid w:val="00571EF6"/>
    <w:rsid w:val="00583F0E"/>
    <w:rsid w:val="00590E19"/>
    <w:rsid w:val="00591EF9"/>
    <w:rsid w:val="00595925"/>
    <w:rsid w:val="00596E47"/>
    <w:rsid w:val="005970A1"/>
    <w:rsid w:val="00597F58"/>
    <w:rsid w:val="005A149B"/>
    <w:rsid w:val="005A28EF"/>
    <w:rsid w:val="005A6117"/>
    <w:rsid w:val="005A733B"/>
    <w:rsid w:val="005B0D10"/>
    <w:rsid w:val="005C41D0"/>
    <w:rsid w:val="005C5837"/>
    <w:rsid w:val="005C5CD5"/>
    <w:rsid w:val="005C65A7"/>
    <w:rsid w:val="005C69ED"/>
    <w:rsid w:val="005C6EA5"/>
    <w:rsid w:val="005C7867"/>
    <w:rsid w:val="005D176C"/>
    <w:rsid w:val="005D79F5"/>
    <w:rsid w:val="005D7C24"/>
    <w:rsid w:val="005E0481"/>
    <w:rsid w:val="005E0E04"/>
    <w:rsid w:val="005E2710"/>
    <w:rsid w:val="005E3F7C"/>
    <w:rsid w:val="005F1067"/>
    <w:rsid w:val="005F3007"/>
    <w:rsid w:val="005F5683"/>
    <w:rsid w:val="00601341"/>
    <w:rsid w:val="00601BBE"/>
    <w:rsid w:val="00603D73"/>
    <w:rsid w:val="006074FD"/>
    <w:rsid w:val="006117EF"/>
    <w:rsid w:val="006222D8"/>
    <w:rsid w:val="00623F2C"/>
    <w:rsid w:val="00623F3A"/>
    <w:rsid w:val="00624116"/>
    <w:rsid w:val="00624CCD"/>
    <w:rsid w:val="00631A00"/>
    <w:rsid w:val="00631B01"/>
    <w:rsid w:val="00636C52"/>
    <w:rsid w:val="00641773"/>
    <w:rsid w:val="00641932"/>
    <w:rsid w:val="006478BE"/>
    <w:rsid w:val="006508DF"/>
    <w:rsid w:val="00650F3F"/>
    <w:rsid w:val="0065567A"/>
    <w:rsid w:val="00655A8A"/>
    <w:rsid w:val="006567F7"/>
    <w:rsid w:val="0065784C"/>
    <w:rsid w:val="00677471"/>
    <w:rsid w:val="00681E5F"/>
    <w:rsid w:val="0068377B"/>
    <w:rsid w:val="006902CC"/>
    <w:rsid w:val="00690D50"/>
    <w:rsid w:val="00691127"/>
    <w:rsid w:val="00693490"/>
    <w:rsid w:val="006942B5"/>
    <w:rsid w:val="006A3246"/>
    <w:rsid w:val="006B1ABA"/>
    <w:rsid w:val="006B25C4"/>
    <w:rsid w:val="006B322C"/>
    <w:rsid w:val="006B61DD"/>
    <w:rsid w:val="006C15CF"/>
    <w:rsid w:val="006C58FD"/>
    <w:rsid w:val="006C5A40"/>
    <w:rsid w:val="006C5B1E"/>
    <w:rsid w:val="006D30A5"/>
    <w:rsid w:val="006D6898"/>
    <w:rsid w:val="006E2E81"/>
    <w:rsid w:val="006E4113"/>
    <w:rsid w:val="006F0187"/>
    <w:rsid w:val="006F3DDD"/>
    <w:rsid w:val="0070053E"/>
    <w:rsid w:val="00704FE8"/>
    <w:rsid w:val="00705DD3"/>
    <w:rsid w:val="007101F4"/>
    <w:rsid w:val="0071046A"/>
    <w:rsid w:val="00714018"/>
    <w:rsid w:val="0072477E"/>
    <w:rsid w:val="007247CA"/>
    <w:rsid w:val="00725902"/>
    <w:rsid w:val="0072770E"/>
    <w:rsid w:val="00727970"/>
    <w:rsid w:val="00727F0D"/>
    <w:rsid w:val="007342B8"/>
    <w:rsid w:val="0073558B"/>
    <w:rsid w:val="00746BE5"/>
    <w:rsid w:val="007569E7"/>
    <w:rsid w:val="00762FEF"/>
    <w:rsid w:val="007638DC"/>
    <w:rsid w:val="00773EDC"/>
    <w:rsid w:val="00780558"/>
    <w:rsid w:val="00780887"/>
    <w:rsid w:val="0078135A"/>
    <w:rsid w:val="007837C8"/>
    <w:rsid w:val="007849DB"/>
    <w:rsid w:val="0078523D"/>
    <w:rsid w:val="007864E4"/>
    <w:rsid w:val="007868AB"/>
    <w:rsid w:val="00791E43"/>
    <w:rsid w:val="00793CD5"/>
    <w:rsid w:val="00796A92"/>
    <w:rsid w:val="007A0977"/>
    <w:rsid w:val="007A6B32"/>
    <w:rsid w:val="007B1723"/>
    <w:rsid w:val="007B26CD"/>
    <w:rsid w:val="007B42B0"/>
    <w:rsid w:val="007C52AA"/>
    <w:rsid w:val="007D066A"/>
    <w:rsid w:val="007D3874"/>
    <w:rsid w:val="007D43F0"/>
    <w:rsid w:val="007E4E9F"/>
    <w:rsid w:val="007E7696"/>
    <w:rsid w:val="007E7B41"/>
    <w:rsid w:val="007F0648"/>
    <w:rsid w:val="007F07BA"/>
    <w:rsid w:val="007F25D4"/>
    <w:rsid w:val="007F2D77"/>
    <w:rsid w:val="007F4FA8"/>
    <w:rsid w:val="007F7C8F"/>
    <w:rsid w:val="00802E01"/>
    <w:rsid w:val="00803219"/>
    <w:rsid w:val="00810151"/>
    <w:rsid w:val="00811B0B"/>
    <w:rsid w:val="00813B89"/>
    <w:rsid w:val="008142B9"/>
    <w:rsid w:val="008152F5"/>
    <w:rsid w:val="00815F92"/>
    <w:rsid w:val="00816BA0"/>
    <w:rsid w:val="00817288"/>
    <w:rsid w:val="00817978"/>
    <w:rsid w:val="0082379C"/>
    <w:rsid w:val="008255A5"/>
    <w:rsid w:val="00825F34"/>
    <w:rsid w:val="00826512"/>
    <w:rsid w:val="00831539"/>
    <w:rsid w:val="00833719"/>
    <w:rsid w:val="00834000"/>
    <w:rsid w:val="008377E5"/>
    <w:rsid w:val="00840E72"/>
    <w:rsid w:val="00845B0A"/>
    <w:rsid w:val="00846C97"/>
    <w:rsid w:val="008517F6"/>
    <w:rsid w:val="00852A96"/>
    <w:rsid w:val="00855057"/>
    <w:rsid w:val="0085646D"/>
    <w:rsid w:val="00857053"/>
    <w:rsid w:val="00862870"/>
    <w:rsid w:val="00865FF0"/>
    <w:rsid w:val="00866DF5"/>
    <w:rsid w:val="00867CE7"/>
    <w:rsid w:val="00870027"/>
    <w:rsid w:val="0087160B"/>
    <w:rsid w:val="0087192D"/>
    <w:rsid w:val="0087287F"/>
    <w:rsid w:val="00873F6C"/>
    <w:rsid w:val="008741AB"/>
    <w:rsid w:val="00883428"/>
    <w:rsid w:val="00886A68"/>
    <w:rsid w:val="00886D82"/>
    <w:rsid w:val="00891BF6"/>
    <w:rsid w:val="008925F3"/>
    <w:rsid w:val="00895E52"/>
    <w:rsid w:val="00897CBD"/>
    <w:rsid w:val="008C46CE"/>
    <w:rsid w:val="008D0DE8"/>
    <w:rsid w:val="008D18E3"/>
    <w:rsid w:val="008D4839"/>
    <w:rsid w:val="008D6C9F"/>
    <w:rsid w:val="008D73FA"/>
    <w:rsid w:val="008E05E5"/>
    <w:rsid w:val="008E1319"/>
    <w:rsid w:val="008E1EB6"/>
    <w:rsid w:val="008E30B3"/>
    <w:rsid w:val="008E5636"/>
    <w:rsid w:val="008E69FB"/>
    <w:rsid w:val="008F27CA"/>
    <w:rsid w:val="008F6E6E"/>
    <w:rsid w:val="008F6EC3"/>
    <w:rsid w:val="00903E98"/>
    <w:rsid w:val="00907717"/>
    <w:rsid w:val="009100FC"/>
    <w:rsid w:val="00910DD1"/>
    <w:rsid w:val="00911870"/>
    <w:rsid w:val="0091606E"/>
    <w:rsid w:val="009166B2"/>
    <w:rsid w:val="00916C5F"/>
    <w:rsid w:val="00917A89"/>
    <w:rsid w:val="00920B01"/>
    <w:rsid w:val="009221D9"/>
    <w:rsid w:val="00925DA3"/>
    <w:rsid w:val="00926BE1"/>
    <w:rsid w:val="0092791E"/>
    <w:rsid w:val="00931B73"/>
    <w:rsid w:val="00932B39"/>
    <w:rsid w:val="00934D7A"/>
    <w:rsid w:val="00936D69"/>
    <w:rsid w:val="00940415"/>
    <w:rsid w:val="00940416"/>
    <w:rsid w:val="00942B19"/>
    <w:rsid w:val="009455F1"/>
    <w:rsid w:val="0094691E"/>
    <w:rsid w:val="00947BF0"/>
    <w:rsid w:val="00947D51"/>
    <w:rsid w:val="00960A2A"/>
    <w:rsid w:val="009662A6"/>
    <w:rsid w:val="009722A9"/>
    <w:rsid w:val="00972740"/>
    <w:rsid w:val="00975B17"/>
    <w:rsid w:val="00975DF6"/>
    <w:rsid w:val="00977451"/>
    <w:rsid w:val="009809EC"/>
    <w:rsid w:val="009829D7"/>
    <w:rsid w:val="0098756C"/>
    <w:rsid w:val="009877DD"/>
    <w:rsid w:val="009901EB"/>
    <w:rsid w:val="009925BC"/>
    <w:rsid w:val="00995947"/>
    <w:rsid w:val="009964F7"/>
    <w:rsid w:val="009972CF"/>
    <w:rsid w:val="009975F4"/>
    <w:rsid w:val="00997882"/>
    <w:rsid w:val="00997E73"/>
    <w:rsid w:val="009A18A4"/>
    <w:rsid w:val="009A2335"/>
    <w:rsid w:val="009B0FC0"/>
    <w:rsid w:val="009B1A7F"/>
    <w:rsid w:val="009B5C03"/>
    <w:rsid w:val="009B7BEB"/>
    <w:rsid w:val="009C256E"/>
    <w:rsid w:val="009C7F6E"/>
    <w:rsid w:val="009D0984"/>
    <w:rsid w:val="009D42C0"/>
    <w:rsid w:val="009D6625"/>
    <w:rsid w:val="009E219F"/>
    <w:rsid w:val="009E4DC6"/>
    <w:rsid w:val="009E5195"/>
    <w:rsid w:val="009F1A01"/>
    <w:rsid w:val="009F40E4"/>
    <w:rsid w:val="009F5AF3"/>
    <w:rsid w:val="009F7605"/>
    <w:rsid w:val="00A01998"/>
    <w:rsid w:val="00A03802"/>
    <w:rsid w:val="00A0558F"/>
    <w:rsid w:val="00A0715E"/>
    <w:rsid w:val="00A07810"/>
    <w:rsid w:val="00A12BA3"/>
    <w:rsid w:val="00A1455C"/>
    <w:rsid w:val="00A17BA8"/>
    <w:rsid w:val="00A2236D"/>
    <w:rsid w:val="00A227CB"/>
    <w:rsid w:val="00A23A69"/>
    <w:rsid w:val="00A25AB8"/>
    <w:rsid w:val="00A30EA1"/>
    <w:rsid w:val="00A35F9A"/>
    <w:rsid w:val="00A361C7"/>
    <w:rsid w:val="00A36D29"/>
    <w:rsid w:val="00A4074C"/>
    <w:rsid w:val="00A44C34"/>
    <w:rsid w:val="00A50006"/>
    <w:rsid w:val="00A502F2"/>
    <w:rsid w:val="00A5221B"/>
    <w:rsid w:val="00A57536"/>
    <w:rsid w:val="00A609F4"/>
    <w:rsid w:val="00A63249"/>
    <w:rsid w:val="00A640E6"/>
    <w:rsid w:val="00A67609"/>
    <w:rsid w:val="00A70196"/>
    <w:rsid w:val="00A747EF"/>
    <w:rsid w:val="00A764E3"/>
    <w:rsid w:val="00A76DC7"/>
    <w:rsid w:val="00A82BF0"/>
    <w:rsid w:val="00A8527B"/>
    <w:rsid w:val="00A964EF"/>
    <w:rsid w:val="00A9690A"/>
    <w:rsid w:val="00A97DAA"/>
    <w:rsid w:val="00AA09BB"/>
    <w:rsid w:val="00AA2EE3"/>
    <w:rsid w:val="00AB12EA"/>
    <w:rsid w:val="00AB1359"/>
    <w:rsid w:val="00AB1E4E"/>
    <w:rsid w:val="00AB26D8"/>
    <w:rsid w:val="00AB37F7"/>
    <w:rsid w:val="00AB3BD2"/>
    <w:rsid w:val="00AB4608"/>
    <w:rsid w:val="00AB6CEE"/>
    <w:rsid w:val="00AC2699"/>
    <w:rsid w:val="00AC43CE"/>
    <w:rsid w:val="00AC5F60"/>
    <w:rsid w:val="00AC61AE"/>
    <w:rsid w:val="00AD0291"/>
    <w:rsid w:val="00AD12CC"/>
    <w:rsid w:val="00AD544A"/>
    <w:rsid w:val="00AF033F"/>
    <w:rsid w:val="00AF04A6"/>
    <w:rsid w:val="00AF18A3"/>
    <w:rsid w:val="00AF3BDB"/>
    <w:rsid w:val="00AF51B0"/>
    <w:rsid w:val="00AF5661"/>
    <w:rsid w:val="00AF5889"/>
    <w:rsid w:val="00AF589B"/>
    <w:rsid w:val="00B0764B"/>
    <w:rsid w:val="00B114D6"/>
    <w:rsid w:val="00B122A4"/>
    <w:rsid w:val="00B145FF"/>
    <w:rsid w:val="00B1532D"/>
    <w:rsid w:val="00B21AC5"/>
    <w:rsid w:val="00B238F1"/>
    <w:rsid w:val="00B23DE6"/>
    <w:rsid w:val="00B2586B"/>
    <w:rsid w:val="00B263C7"/>
    <w:rsid w:val="00B33F3E"/>
    <w:rsid w:val="00B37F1D"/>
    <w:rsid w:val="00B434C4"/>
    <w:rsid w:val="00B4511F"/>
    <w:rsid w:val="00B45BC0"/>
    <w:rsid w:val="00B4601A"/>
    <w:rsid w:val="00B4684D"/>
    <w:rsid w:val="00B4730A"/>
    <w:rsid w:val="00B5005F"/>
    <w:rsid w:val="00B50424"/>
    <w:rsid w:val="00B524D5"/>
    <w:rsid w:val="00B537CF"/>
    <w:rsid w:val="00B55917"/>
    <w:rsid w:val="00B57A35"/>
    <w:rsid w:val="00B61ACC"/>
    <w:rsid w:val="00B663B7"/>
    <w:rsid w:val="00B72434"/>
    <w:rsid w:val="00B7784F"/>
    <w:rsid w:val="00B77E56"/>
    <w:rsid w:val="00B8302B"/>
    <w:rsid w:val="00B83A9D"/>
    <w:rsid w:val="00B83BB9"/>
    <w:rsid w:val="00B8500A"/>
    <w:rsid w:val="00B86CA3"/>
    <w:rsid w:val="00B93DA3"/>
    <w:rsid w:val="00B961AB"/>
    <w:rsid w:val="00BA2C86"/>
    <w:rsid w:val="00BA7310"/>
    <w:rsid w:val="00BB4A6A"/>
    <w:rsid w:val="00BB775A"/>
    <w:rsid w:val="00BC1BF8"/>
    <w:rsid w:val="00BC5C31"/>
    <w:rsid w:val="00BD56AF"/>
    <w:rsid w:val="00BE0EAD"/>
    <w:rsid w:val="00BE295D"/>
    <w:rsid w:val="00BE29B0"/>
    <w:rsid w:val="00BE6891"/>
    <w:rsid w:val="00BE7719"/>
    <w:rsid w:val="00BF15CF"/>
    <w:rsid w:val="00BF4CC7"/>
    <w:rsid w:val="00BF5171"/>
    <w:rsid w:val="00C005FC"/>
    <w:rsid w:val="00C00D9D"/>
    <w:rsid w:val="00C039A1"/>
    <w:rsid w:val="00C05177"/>
    <w:rsid w:val="00C1201C"/>
    <w:rsid w:val="00C15B07"/>
    <w:rsid w:val="00C21589"/>
    <w:rsid w:val="00C22039"/>
    <w:rsid w:val="00C27D04"/>
    <w:rsid w:val="00C33DF9"/>
    <w:rsid w:val="00C33F10"/>
    <w:rsid w:val="00C346C8"/>
    <w:rsid w:val="00C363BF"/>
    <w:rsid w:val="00C43465"/>
    <w:rsid w:val="00C44BE1"/>
    <w:rsid w:val="00C45AFB"/>
    <w:rsid w:val="00C46C77"/>
    <w:rsid w:val="00C5416D"/>
    <w:rsid w:val="00C54432"/>
    <w:rsid w:val="00C56BC4"/>
    <w:rsid w:val="00C600FE"/>
    <w:rsid w:val="00C62FDF"/>
    <w:rsid w:val="00C63D38"/>
    <w:rsid w:val="00C67424"/>
    <w:rsid w:val="00C72535"/>
    <w:rsid w:val="00C74E57"/>
    <w:rsid w:val="00C76835"/>
    <w:rsid w:val="00C83DC6"/>
    <w:rsid w:val="00C8496C"/>
    <w:rsid w:val="00C84D2C"/>
    <w:rsid w:val="00C87F4A"/>
    <w:rsid w:val="00C87FD9"/>
    <w:rsid w:val="00C9092E"/>
    <w:rsid w:val="00C91634"/>
    <w:rsid w:val="00C93102"/>
    <w:rsid w:val="00C931CA"/>
    <w:rsid w:val="00C950D5"/>
    <w:rsid w:val="00CA13CF"/>
    <w:rsid w:val="00CA6D07"/>
    <w:rsid w:val="00CB1BC2"/>
    <w:rsid w:val="00CB6965"/>
    <w:rsid w:val="00CC0124"/>
    <w:rsid w:val="00CC0716"/>
    <w:rsid w:val="00CD36EF"/>
    <w:rsid w:val="00CD5EC7"/>
    <w:rsid w:val="00CD6DFD"/>
    <w:rsid w:val="00CF3200"/>
    <w:rsid w:val="00CF4BFC"/>
    <w:rsid w:val="00CF6C4C"/>
    <w:rsid w:val="00D0200C"/>
    <w:rsid w:val="00D031BE"/>
    <w:rsid w:val="00D03DCF"/>
    <w:rsid w:val="00D04625"/>
    <w:rsid w:val="00D06DA0"/>
    <w:rsid w:val="00D072F5"/>
    <w:rsid w:val="00D10E55"/>
    <w:rsid w:val="00D12369"/>
    <w:rsid w:val="00D15FDC"/>
    <w:rsid w:val="00D17727"/>
    <w:rsid w:val="00D204AE"/>
    <w:rsid w:val="00D223A4"/>
    <w:rsid w:val="00D22FF2"/>
    <w:rsid w:val="00D23324"/>
    <w:rsid w:val="00D27093"/>
    <w:rsid w:val="00D30458"/>
    <w:rsid w:val="00D313E4"/>
    <w:rsid w:val="00D31C4C"/>
    <w:rsid w:val="00D31FE6"/>
    <w:rsid w:val="00D34E5E"/>
    <w:rsid w:val="00D3543B"/>
    <w:rsid w:val="00D41237"/>
    <w:rsid w:val="00D46878"/>
    <w:rsid w:val="00D52277"/>
    <w:rsid w:val="00D52403"/>
    <w:rsid w:val="00D5613E"/>
    <w:rsid w:val="00D603C9"/>
    <w:rsid w:val="00D61FA3"/>
    <w:rsid w:val="00D651ED"/>
    <w:rsid w:val="00D67902"/>
    <w:rsid w:val="00D7401F"/>
    <w:rsid w:val="00D7403C"/>
    <w:rsid w:val="00D762A2"/>
    <w:rsid w:val="00D762D5"/>
    <w:rsid w:val="00D82244"/>
    <w:rsid w:val="00D86BBF"/>
    <w:rsid w:val="00D87ABE"/>
    <w:rsid w:val="00D9516B"/>
    <w:rsid w:val="00D953F9"/>
    <w:rsid w:val="00DA0A0C"/>
    <w:rsid w:val="00DA1F00"/>
    <w:rsid w:val="00DA2E65"/>
    <w:rsid w:val="00DB3F6F"/>
    <w:rsid w:val="00DB4403"/>
    <w:rsid w:val="00DB6220"/>
    <w:rsid w:val="00DB64FF"/>
    <w:rsid w:val="00DC17E9"/>
    <w:rsid w:val="00DC381C"/>
    <w:rsid w:val="00DC5150"/>
    <w:rsid w:val="00DD1329"/>
    <w:rsid w:val="00DD2D41"/>
    <w:rsid w:val="00DD2E68"/>
    <w:rsid w:val="00DD36C6"/>
    <w:rsid w:val="00DD540E"/>
    <w:rsid w:val="00DD6CAF"/>
    <w:rsid w:val="00DD74DE"/>
    <w:rsid w:val="00DE26AD"/>
    <w:rsid w:val="00DE2A40"/>
    <w:rsid w:val="00DE4022"/>
    <w:rsid w:val="00DF29E3"/>
    <w:rsid w:val="00DF536C"/>
    <w:rsid w:val="00DF5929"/>
    <w:rsid w:val="00E01499"/>
    <w:rsid w:val="00E02662"/>
    <w:rsid w:val="00E04031"/>
    <w:rsid w:val="00E04466"/>
    <w:rsid w:val="00E0477C"/>
    <w:rsid w:val="00E048E2"/>
    <w:rsid w:val="00E073F4"/>
    <w:rsid w:val="00E10DBB"/>
    <w:rsid w:val="00E169E5"/>
    <w:rsid w:val="00E2239B"/>
    <w:rsid w:val="00E24F50"/>
    <w:rsid w:val="00E25FEC"/>
    <w:rsid w:val="00E46447"/>
    <w:rsid w:val="00E52C8D"/>
    <w:rsid w:val="00E5329F"/>
    <w:rsid w:val="00E55945"/>
    <w:rsid w:val="00E56531"/>
    <w:rsid w:val="00E63553"/>
    <w:rsid w:val="00E63B78"/>
    <w:rsid w:val="00E63C2C"/>
    <w:rsid w:val="00E65B76"/>
    <w:rsid w:val="00E662BA"/>
    <w:rsid w:val="00E6713B"/>
    <w:rsid w:val="00E73618"/>
    <w:rsid w:val="00E73EEF"/>
    <w:rsid w:val="00E8258F"/>
    <w:rsid w:val="00E834AC"/>
    <w:rsid w:val="00E86D15"/>
    <w:rsid w:val="00E87286"/>
    <w:rsid w:val="00E91986"/>
    <w:rsid w:val="00E93786"/>
    <w:rsid w:val="00E96F92"/>
    <w:rsid w:val="00E97605"/>
    <w:rsid w:val="00E97B85"/>
    <w:rsid w:val="00EA40BB"/>
    <w:rsid w:val="00EB1330"/>
    <w:rsid w:val="00EB1C49"/>
    <w:rsid w:val="00EB2322"/>
    <w:rsid w:val="00EC40BA"/>
    <w:rsid w:val="00EC4C52"/>
    <w:rsid w:val="00ED23E1"/>
    <w:rsid w:val="00ED2A59"/>
    <w:rsid w:val="00ED313C"/>
    <w:rsid w:val="00EE03C7"/>
    <w:rsid w:val="00EE0A28"/>
    <w:rsid w:val="00EE0D3A"/>
    <w:rsid w:val="00EE20E5"/>
    <w:rsid w:val="00EE2321"/>
    <w:rsid w:val="00EE558B"/>
    <w:rsid w:val="00EF1444"/>
    <w:rsid w:val="00EF517F"/>
    <w:rsid w:val="00EF65B8"/>
    <w:rsid w:val="00F00C64"/>
    <w:rsid w:val="00F03006"/>
    <w:rsid w:val="00F036FA"/>
    <w:rsid w:val="00F042F8"/>
    <w:rsid w:val="00F04797"/>
    <w:rsid w:val="00F07EE3"/>
    <w:rsid w:val="00F11837"/>
    <w:rsid w:val="00F14F09"/>
    <w:rsid w:val="00F16EFC"/>
    <w:rsid w:val="00F24752"/>
    <w:rsid w:val="00F24D2F"/>
    <w:rsid w:val="00F2527C"/>
    <w:rsid w:val="00F25F9E"/>
    <w:rsid w:val="00F266F3"/>
    <w:rsid w:val="00F26D93"/>
    <w:rsid w:val="00F35195"/>
    <w:rsid w:val="00F37F4F"/>
    <w:rsid w:val="00F5033B"/>
    <w:rsid w:val="00F530C6"/>
    <w:rsid w:val="00F537FA"/>
    <w:rsid w:val="00F547ED"/>
    <w:rsid w:val="00F65384"/>
    <w:rsid w:val="00F66C67"/>
    <w:rsid w:val="00F740E1"/>
    <w:rsid w:val="00F76695"/>
    <w:rsid w:val="00F778DB"/>
    <w:rsid w:val="00F817E4"/>
    <w:rsid w:val="00F81E8C"/>
    <w:rsid w:val="00F8457E"/>
    <w:rsid w:val="00F86B6B"/>
    <w:rsid w:val="00F90E1C"/>
    <w:rsid w:val="00F92AF6"/>
    <w:rsid w:val="00F96FE3"/>
    <w:rsid w:val="00FA0B63"/>
    <w:rsid w:val="00FA5036"/>
    <w:rsid w:val="00FB0C41"/>
    <w:rsid w:val="00FC0973"/>
    <w:rsid w:val="00FC1066"/>
    <w:rsid w:val="00FC1CB6"/>
    <w:rsid w:val="00FC4AD3"/>
    <w:rsid w:val="00FD0058"/>
    <w:rsid w:val="00FE0373"/>
    <w:rsid w:val="00FE2434"/>
    <w:rsid w:val="00FE272A"/>
    <w:rsid w:val="00FE56EC"/>
    <w:rsid w:val="00FF1B56"/>
    <w:rsid w:val="00FF32E2"/>
    <w:rsid w:val="00FF36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3E09"/>
  <w15:docId w15:val="{B1ADBFF1-2FE5-4B1F-A1EA-E406A07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3D"/>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A28AF"/>
    <w:pPr>
      <w:keepNext/>
      <w:keepLines/>
      <w:spacing w:before="480"/>
      <w:outlineLvl w:val="0"/>
    </w:pPr>
    <w:rPr>
      <w:rFonts w:eastAsiaTheme="majorEastAsia" w:cstheme="majorBidi"/>
      <w:b/>
      <w:bCs/>
      <w:caps/>
      <w:szCs w:val="28"/>
    </w:rPr>
  </w:style>
  <w:style w:type="paragraph" w:styleId="Heading2">
    <w:name w:val="heading 2"/>
    <w:basedOn w:val="Normal"/>
    <w:next w:val="Normal"/>
    <w:link w:val="Heading2Char"/>
    <w:unhideWhenUsed/>
    <w:qFormat/>
    <w:rsid w:val="004A28AF"/>
    <w:pPr>
      <w:keepNext/>
      <w:keepLines/>
      <w:spacing w:before="200" w:line="240" w:lineRule="auto"/>
      <w:outlineLvl w:val="1"/>
    </w:pPr>
    <w:rPr>
      <w:rFonts w:eastAsiaTheme="majorEastAsia" w:cstheme="majorBidi"/>
      <w:b/>
      <w:bCs/>
      <w:szCs w:val="26"/>
      <w:lang w:eastAsia="en-AU"/>
    </w:rPr>
  </w:style>
  <w:style w:type="paragraph" w:styleId="Heading3">
    <w:name w:val="heading 3"/>
    <w:basedOn w:val="Normal"/>
    <w:next w:val="Normal"/>
    <w:link w:val="Heading3Char"/>
    <w:unhideWhenUsed/>
    <w:qFormat/>
    <w:rsid w:val="00D313E4"/>
    <w:pPr>
      <w:keepNext/>
      <w:keepLines/>
      <w:spacing w:before="200" w:line="240" w:lineRule="auto"/>
      <w:outlineLvl w:val="2"/>
    </w:pPr>
    <w:rPr>
      <w:rFonts w:eastAsiaTheme="majorEastAsia" w:cstheme="majorBidi"/>
      <w:bCs/>
      <w:i/>
      <w:szCs w:val="24"/>
      <w:lang w:eastAsia="en-AU"/>
    </w:rPr>
  </w:style>
  <w:style w:type="paragraph" w:styleId="Heading4">
    <w:name w:val="heading 4"/>
    <w:basedOn w:val="Normal"/>
    <w:next w:val="Normal"/>
    <w:link w:val="Heading4Char"/>
    <w:uiPriority w:val="9"/>
    <w:semiHidden/>
    <w:unhideWhenUsed/>
    <w:qFormat/>
    <w:rsid w:val="002A1E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8AF"/>
    <w:rPr>
      <w:rFonts w:ascii="Times New Roman" w:eastAsiaTheme="majorEastAsia" w:hAnsi="Times New Roman" w:cstheme="majorBidi"/>
      <w:b/>
      <w:bCs/>
      <w:sz w:val="24"/>
      <w:szCs w:val="26"/>
      <w:lang w:eastAsia="en-AU"/>
    </w:rPr>
  </w:style>
  <w:style w:type="character" w:customStyle="1" w:styleId="Heading3Char">
    <w:name w:val="Heading 3 Char"/>
    <w:basedOn w:val="DefaultParagraphFont"/>
    <w:link w:val="Heading3"/>
    <w:rsid w:val="00D313E4"/>
    <w:rPr>
      <w:rFonts w:ascii="Times New Roman" w:eastAsiaTheme="majorEastAsia" w:hAnsi="Times New Roman" w:cstheme="majorBidi"/>
      <w:bCs/>
      <w:i/>
      <w:sz w:val="24"/>
      <w:szCs w:val="24"/>
      <w:lang w:eastAsia="en-AU"/>
    </w:rPr>
  </w:style>
  <w:style w:type="paragraph" w:styleId="ListParagraph">
    <w:name w:val="List Paragraph"/>
    <w:basedOn w:val="Normal"/>
    <w:uiPriority w:val="34"/>
    <w:qFormat/>
    <w:rsid w:val="00D313E4"/>
    <w:pPr>
      <w:spacing w:before="60" w:after="60" w:line="240" w:lineRule="auto"/>
      <w:ind w:left="720"/>
      <w:contextualSpacing/>
    </w:pPr>
    <w:rPr>
      <w:rFonts w:eastAsia="Times New Roman" w:cs="Times New Roman"/>
      <w:szCs w:val="20"/>
    </w:rPr>
  </w:style>
  <w:style w:type="paragraph" w:customStyle="1" w:styleId="EndNoteBibliographyTitle">
    <w:name w:val="EndNote Bibliography Title"/>
    <w:basedOn w:val="Normal"/>
    <w:link w:val="EndNoteBibliographyTitleChar"/>
    <w:rsid w:val="00214E01"/>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214E01"/>
    <w:rPr>
      <w:rFonts w:ascii="Calibri" w:hAnsi="Calibri" w:cs="Calibri"/>
      <w:noProof/>
      <w:lang w:val="en-US"/>
    </w:rPr>
  </w:style>
  <w:style w:type="paragraph" w:customStyle="1" w:styleId="EndNoteBibliography">
    <w:name w:val="EndNote Bibliography"/>
    <w:basedOn w:val="Normal"/>
    <w:link w:val="EndNoteBibliographyChar"/>
    <w:rsid w:val="00214E01"/>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214E01"/>
    <w:rPr>
      <w:rFonts w:ascii="Calibri" w:hAnsi="Calibri" w:cs="Calibri"/>
      <w:noProof/>
      <w:lang w:val="en-US"/>
    </w:rPr>
  </w:style>
  <w:style w:type="character" w:styleId="Hyperlink">
    <w:name w:val="Hyperlink"/>
    <w:basedOn w:val="DefaultParagraphFont"/>
    <w:uiPriority w:val="99"/>
    <w:unhideWhenUsed/>
    <w:rsid w:val="00833719"/>
    <w:rPr>
      <w:color w:val="0000FF" w:themeColor="hyperlink"/>
      <w:u w:val="single"/>
    </w:rPr>
  </w:style>
  <w:style w:type="character" w:customStyle="1" w:styleId="Heading1Char">
    <w:name w:val="Heading 1 Char"/>
    <w:basedOn w:val="DefaultParagraphFont"/>
    <w:link w:val="Heading1"/>
    <w:uiPriority w:val="9"/>
    <w:rsid w:val="004A28AF"/>
    <w:rPr>
      <w:rFonts w:ascii="Times New Roman" w:eastAsiaTheme="majorEastAsia" w:hAnsi="Times New Roman" w:cstheme="majorBidi"/>
      <w:b/>
      <w:bCs/>
      <w:caps/>
      <w:sz w:val="24"/>
      <w:szCs w:val="28"/>
    </w:rPr>
  </w:style>
  <w:style w:type="character" w:styleId="CommentReference">
    <w:name w:val="annotation reference"/>
    <w:basedOn w:val="DefaultParagraphFont"/>
    <w:uiPriority w:val="99"/>
    <w:semiHidden/>
    <w:unhideWhenUsed/>
    <w:rsid w:val="00A502F2"/>
    <w:rPr>
      <w:sz w:val="16"/>
      <w:szCs w:val="16"/>
    </w:rPr>
  </w:style>
  <w:style w:type="paragraph" w:styleId="CommentText">
    <w:name w:val="annotation text"/>
    <w:basedOn w:val="Normal"/>
    <w:link w:val="CommentTextChar"/>
    <w:uiPriority w:val="99"/>
    <w:semiHidden/>
    <w:unhideWhenUsed/>
    <w:rsid w:val="00A502F2"/>
    <w:pPr>
      <w:spacing w:line="240" w:lineRule="auto"/>
    </w:pPr>
    <w:rPr>
      <w:sz w:val="20"/>
      <w:szCs w:val="20"/>
    </w:rPr>
  </w:style>
  <w:style w:type="character" w:customStyle="1" w:styleId="CommentTextChar">
    <w:name w:val="Comment Text Char"/>
    <w:basedOn w:val="DefaultParagraphFont"/>
    <w:link w:val="CommentText"/>
    <w:uiPriority w:val="99"/>
    <w:semiHidden/>
    <w:rsid w:val="00A502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02F2"/>
    <w:rPr>
      <w:b/>
      <w:bCs/>
    </w:rPr>
  </w:style>
  <w:style w:type="character" w:customStyle="1" w:styleId="CommentSubjectChar">
    <w:name w:val="Comment Subject Char"/>
    <w:basedOn w:val="CommentTextChar"/>
    <w:link w:val="CommentSubject"/>
    <w:uiPriority w:val="99"/>
    <w:semiHidden/>
    <w:rsid w:val="00A502F2"/>
    <w:rPr>
      <w:rFonts w:ascii="Times New Roman" w:hAnsi="Times New Roman"/>
      <w:b/>
      <w:bCs/>
      <w:sz w:val="20"/>
      <w:szCs w:val="20"/>
    </w:rPr>
  </w:style>
  <w:style w:type="paragraph" w:styleId="BalloonText">
    <w:name w:val="Balloon Text"/>
    <w:basedOn w:val="Normal"/>
    <w:link w:val="BalloonTextChar"/>
    <w:uiPriority w:val="99"/>
    <w:semiHidden/>
    <w:unhideWhenUsed/>
    <w:rsid w:val="00A50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2F2"/>
    <w:rPr>
      <w:rFonts w:ascii="Tahoma" w:hAnsi="Tahoma" w:cs="Tahoma"/>
      <w:sz w:val="16"/>
      <w:szCs w:val="16"/>
    </w:rPr>
  </w:style>
  <w:style w:type="paragraph" w:styleId="Header">
    <w:name w:val="header"/>
    <w:basedOn w:val="Normal"/>
    <w:link w:val="HeaderChar"/>
    <w:uiPriority w:val="99"/>
    <w:unhideWhenUsed/>
    <w:rsid w:val="00536A7B"/>
    <w:pPr>
      <w:tabs>
        <w:tab w:val="center" w:pos="4513"/>
        <w:tab w:val="right" w:pos="9026"/>
      </w:tabs>
      <w:spacing w:line="240" w:lineRule="auto"/>
    </w:pPr>
  </w:style>
  <w:style w:type="character" w:customStyle="1" w:styleId="HeaderChar">
    <w:name w:val="Header Char"/>
    <w:basedOn w:val="DefaultParagraphFont"/>
    <w:link w:val="Header"/>
    <w:uiPriority w:val="99"/>
    <w:rsid w:val="00536A7B"/>
    <w:rPr>
      <w:rFonts w:ascii="Times New Roman" w:hAnsi="Times New Roman"/>
      <w:sz w:val="24"/>
    </w:rPr>
  </w:style>
  <w:style w:type="paragraph" w:styleId="Footer">
    <w:name w:val="footer"/>
    <w:basedOn w:val="Normal"/>
    <w:link w:val="FooterChar"/>
    <w:uiPriority w:val="99"/>
    <w:unhideWhenUsed/>
    <w:rsid w:val="00536A7B"/>
    <w:pPr>
      <w:tabs>
        <w:tab w:val="center" w:pos="4513"/>
        <w:tab w:val="right" w:pos="9026"/>
      </w:tabs>
      <w:spacing w:line="240" w:lineRule="auto"/>
    </w:pPr>
  </w:style>
  <w:style w:type="character" w:customStyle="1" w:styleId="FooterChar">
    <w:name w:val="Footer Char"/>
    <w:basedOn w:val="DefaultParagraphFont"/>
    <w:link w:val="Footer"/>
    <w:uiPriority w:val="99"/>
    <w:rsid w:val="00536A7B"/>
    <w:rPr>
      <w:rFonts w:ascii="Times New Roman" w:hAnsi="Times New Roman"/>
      <w:sz w:val="24"/>
    </w:rPr>
  </w:style>
  <w:style w:type="character" w:styleId="FollowedHyperlink">
    <w:name w:val="FollowedHyperlink"/>
    <w:basedOn w:val="DefaultParagraphFont"/>
    <w:uiPriority w:val="99"/>
    <w:semiHidden/>
    <w:unhideWhenUsed/>
    <w:rsid w:val="00DE26AD"/>
    <w:rPr>
      <w:color w:val="800080" w:themeColor="followedHyperlink"/>
      <w:u w:val="single"/>
    </w:rPr>
  </w:style>
  <w:style w:type="paragraph" w:styleId="PlainText">
    <w:name w:val="Plain Text"/>
    <w:basedOn w:val="Normal"/>
    <w:link w:val="PlainTextChar"/>
    <w:uiPriority w:val="99"/>
    <w:unhideWhenUsed/>
    <w:rsid w:val="00F14F09"/>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F14F09"/>
    <w:rPr>
      <w:rFonts w:ascii="Calibri" w:hAnsi="Calibri"/>
      <w:szCs w:val="21"/>
    </w:rPr>
  </w:style>
  <w:style w:type="character" w:customStyle="1" w:styleId="UnresolvedMention1">
    <w:name w:val="Unresolved Mention1"/>
    <w:basedOn w:val="DefaultParagraphFont"/>
    <w:uiPriority w:val="99"/>
    <w:semiHidden/>
    <w:unhideWhenUsed/>
    <w:rsid w:val="00AF51B0"/>
    <w:rPr>
      <w:color w:val="808080"/>
      <w:shd w:val="clear" w:color="auto" w:fill="E6E6E6"/>
    </w:rPr>
  </w:style>
  <w:style w:type="character" w:customStyle="1" w:styleId="Heading4Char">
    <w:name w:val="Heading 4 Char"/>
    <w:basedOn w:val="DefaultParagraphFont"/>
    <w:link w:val="Heading4"/>
    <w:uiPriority w:val="9"/>
    <w:semiHidden/>
    <w:rsid w:val="002A1E89"/>
    <w:rPr>
      <w:rFonts w:asciiTheme="majorHAnsi" w:eastAsiaTheme="majorEastAsia" w:hAnsiTheme="majorHAnsi" w:cstheme="majorBidi"/>
      <w:i/>
      <w:iCs/>
      <w:color w:val="365F91" w:themeColor="accent1" w:themeShade="BF"/>
      <w:sz w:val="24"/>
    </w:rPr>
  </w:style>
  <w:style w:type="character" w:customStyle="1" w:styleId="UnresolvedMention2">
    <w:name w:val="Unresolved Mention2"/>
    <w:basedOn w:val="DefaultParagraphFont"/>
    <w:uiPriority w:val="99"/>
    <w:semiHidden/>
    <w:unhideWhenUsed/>
    <w:rsid w:val="00F042F8"/>
    <w:rPr>
      <w:color w:val="808080"/>
      <w:shd w:val="clear" w:color="auto" w:fill="E6E6E6"/>
    </w:rPr>
  </w:style>
  <w:style w:type="character" w:customStyle="1" w:styleId="UnresolvedMention3">
    <w:name w:val="Unresolved Mention3"/>
    <w:basedOn w:val="DefaultParagraphFont"/>
    <w:uiPriority w:val="99"/>
    <w:semiHidden/>
    <w:unhideWhenUsed/>
    <w:rsid w:val="008C46CE"/>
    <w:rPr>
      <w:color w:val="808080"/>
      <w:shd w:val="clear" w:color="auto" w:fill="E6E6E6"/>
    </w:rPr>
  </w:style>
  <w:style w:type="character" w:customStyle="1" w:styleId="citation2">
    <w:name w:val="citation2"/>
    <w:basedOn w:val="DefaultParagraphFont"/>
    <w:rsid w:val="007F0648"/>
  </w:style>
  <w:style w:type="character" w:customStyle="1" w:styleId="doi2">
    <w:name w:val="doi2"/>
    <w:basedOn w:val="DefaultParagraphFont"/>
    <w:rsid w:val="007F0648"/>
  </w:style>
  <w:style w:type="character" w:styleId="HTMLCite">
    <w:name w:val="HTML Cite"/>
    <w:basedOn w:val="DefaultParagraphFont"/>
    <w:uiPriority w:val="99"/>
    <w:semiHidden/>
    <w:unhideWhenUsed/>
    <w:rsid w:val="00277DCD"/>
    <w:rPr>
      <w:i/>
      <w:iCs/>
    </w:rPr>
  </w:style>
  <w:style w:type="character" w:customStyle="1" w:styleId="occurrence">
    <w:name w:val="occurrence"/>
    <w:basedOn w:val="DefaultParagraphFont"/>
    <w:rsid w:val="00277DCD"/>
  </w:style>
  <w:style w:type="character" w:customStyle="1" w:styleId="UnresolvedMention4">
    <w:name w:val="Unresolved Mention4"/>
    <w:basedOn w:val="DefaultParagraphFont"/>
    <w:uiPriority w:val="99"/>
    <w:semiHidden/>
    <w:unhideWhenUsed/>
    <w:rsid w:val="00EE20E5"/>
    <w:rPr>
      <w:color w:val="808080"/>
      <w:shd w:val="clear" w:color="auto" w:fill="E6E6E6"/>
    </w:rPr>
  </w:style>
  <w:style w:type="paragraph" w:styleId="Revision">
    <w:name w:val="Revision"/>
    <w:hidden/>
    <w:uiPriority w:val="99"/>
    <w:semiHidden/>
    <w:rsid w:val="00ED2A59"/>
    <w:pPr>
      <w:spacing w:after="0" w:line="240" w:lineRule="auto"/>
    </w:pPr>
    <w:rPr>
      <w:rFonts w:ascii="Times New Roman" w:hAnsi="Times New Roman"/>
      <w:sz w:val="24"/>
    </w:rPr>
  </w:style>
  <w:style w:type="character" w:customStyle="1" w:styleId="UnresolvedMention5">
    <w:name w:val="Unresolved Mention5"/>
    <w:basedOn w:val="DefaultParagraphFont"/>
    <w:uiPriority w:val="99"/>
    <w:semiHidden/>
    <w:unhideWhenUsed/>
    <w:rsid w:val="00917A89"/>
    <w:rPr>
      <w:color w:val="808080"/>
      <w:shd w:val="clear" w:color="auto" w:fill="E6E6E6"/>
    </w:rPr>
  </w:style>
  <w:style w:type="paragraph" w:customStyle="1" w:styleId="gmaildefault">
    <w:name w:val="gmail_default"/>
    <w:basedOn w:val="Normal"/>
    <w:rsid w:val="007101F4"/>
    <w:pPr>
      <w:spacing w:before="100" w:beforeAutospacing="1" w:after="100" w:afterAutospacing="1" w:line="240" w:lineRule="auto"/>
    </w:pPr>
    <w:rPr>
      <w:rFonts w:cs="Times New Roman"/>
      <w:szCs w:val="24"/>
      <w:lang w:eastAsia="en-AU"/>
    </w:rPr>
  </w:style>
  <w:style w:type="character" w:customStyle="1" w:styleId="UnresolvedMention6">
    <w:name w:val="Unresolved Mention6"/>
    <w:basedOn w:val="DefaultParagraphFont"/>
    <w:uiPriority w:val="99"/>
    <w:semiHidden/>
    <w:unhideWhenUsed/>
    <w:rsid w:val="003B23C3"/>
    <w:rPr>
      <w:color w:val="808080"/>
      <w:shd w:val="clear" w:color="auto" w:fill="E6E6E6"/>
    </w:rPr>
  </w:style>
  <w:style w:type="character" w:customStyle="1" w:styleId="UnresolvedMention7">
    <w:name w:val="Unresolved Mention7"/>
    <w:basedOn w:val="DefaultParagraphFont"/>
    <w:uiPriority w:val="99"/>
    <w:semiHidden/>
    <w:unhideWhenUsed/>
    <w:rsid w:val="00FF32E2"/>
    <w:rPr>
      <w:color w:val="808080"/>
      <w:shd w:val="clear" w:color="auto" w:fill="E6E6E6"/>
    </w:rPr>
  </w:style>
  <w:style w:type="character" w:customStyle="1" w:styleId="UnresolvedMention">
    <w:name w:val="Unresolved Mention"/>
    <w:basedOn w:val="DefaultParagraphFont"/>
    <w:uiPriority w:val="99"/>
    <w:semiHidden/>
    <w:unhideWhenUsed/>
    <w:rsid w:val="00BE6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2032">
      <w:bodyDiv w:val="1"/>
      <w:marLeft w:val="0"/>
      <w:marRight w:val="0"/>
      <w:marTop w:val="0"/>
      <w:marBottom w:val="0"/>
      <w:divBdr>
        <w:top w:val="none" w:sz="0" w:space="0" w:color="auto"/>
        <w:left w:val="none" w:sz="0" w:space="0" w:color="auto"/>
        <w:bottom w:val="none" w:sz="0" w:space="0" w:color="auto"/>
        <w:right w:val="none" w:sz="0" w:space="0" w:color="auto"/>
      </w:divBdr>
    </w:div>
    <w:div w:id="180975917">
      <w:bodyDiv w:val="1"/>
      <w:marLeft w:val="0"/>
      <w:marRight w:val="0"/>
      <w:marTop w:val="0"/>
      <w:marBottom w:val="0"/>
      <w:divBdr>
        <w:top w:val="none" w:sz="0" w:space="0" w:color="auto"/>
        <w:left w:val="none" w:sz="0" w:space="0" w:color="auto"/>
        <w:bottom w:val="none" w:sz="0" w:space="0" w:color="auto"/>
        <w:right w:val="none" w:sz="0" w:space="0" w:color="auto"/>
      </w:divBdr>
    </w:div>
    <w:div w:id="355692992">
      <w:bodyDiv w:val="1"/>
      <w:marLeft w:val="0"/>
      <w:marRight w:val="0"/>
      <w:marTop w:val="0"/>
      <w:marBottom w:val="0"/>
      <w:divBdr>
        <w:top w:val="none" w:sz="0" w:space="0" w:color="auto"/>
        <w:left w:val="none" w:sz="0" w:space="0" w:color="auto"/>
        <w:bottom w:val="none" w:sz="0" w:space="0" w:color="auto"/>
        <w:right w:val="none" w:sz="0" w:space="0" w:color="auto"/>
      </w:divBdr>
    </w:div>
    <w:div w:id="403189021">
      <w:bodyDiv w:val="1"/>
      <w:marLeft w:val="0"/>
      <w:marRight w:val="0"/>
      <w:marTop w:val="0"/>
      <w:marBottom w:val="0"/>
      <w:divBdr>
        <w:top w:val="none" w:sz="0" w:space="0" w:color="auto"/>
        <w:left w:val="none" w:sz="0" w:space="0" w:color="auto"/>
        <w:bottom w:val="none" w:sz="0" w:space="0" w:color="auto"/>
        <w:right w:val="none" w:sz="0" w:space="0" w:color="auto"/>
      </w:divBdr>
      <w:divsChild>
        <w:div w:id="334574619">
          <w:marLeft w:val="0"/>
          <w:marRight w:val="0"/>
          <w:marTop w:val="0"/>
          <w:marBottom w:val="0"/>
          <w:divBdr>
            <w:top w:val="none" w:sz="0" w:space="0" w:color="auto"/>
            <w:left w:val="none" w:sz="0" w:space="0" w:color="auto"/>
            <w:bottom w:val="none" w:sz="0" w:space="0" w:color="auto"/>
            <w:right w:val="none" w:sz="0" w:space="0" w:color="auto"/>
          </w:divBdr>
          <w:divsChild>
            <w:div w:id="801769833">
              <w:marLeft w:val="0"/>
              <w:marRight w:val="0"/>
              <w:marTop w:val="0"/>
              <w:marBottom w:val="0"/>
              <w:divBdr>
                <w:top w:val="none" w:sz="0" w:space="0" w:color="auto"/>
                <w:left w:val="single" w:sz="6" w:space="0" w:color="D0D8DE"/>
                <w:bottom w:val="single" w:sz="6" w:space="0" w:color="D0D8DE"/>
                <w:right w:val="single" w:sz="6" w:space="0" w:color="D0D8DE"/>
              </w:divBdr>
              <w:divsChild>
                <w:div w:id="803237987">
                  <w:marLeft w:val="0"/>
                  <w:marRight w:val="0"/>
                  <w:marTop w:val="150"/>
                  <w:marBottom w:val="300"/>
                  <w:divBdr>
                    <w:top w:val="none" w:sz="0" w:space="0" w:color="auto"/>
                    <w:left w:val="none" w:sz="0" w:space="0" w:color="auto"/>
                    <w:bottom w:val="none" w:sz="0" w:space="0" w:color="auto"/>
                    <w:right w:val="none" w:sz="0" w:space="0" w:color="auto"/>
                  </w:divBdr>
                  <w:divsChild>
                    <w:div w:id="687413785">
                      <w:marLeft w:val="150"/>
                      <w:marRight w:val="150"/>
                      <w:marTop w:val="0"/>
                      <w:marBottom w:val="0"/>
                      <w:divBdr>
                        <w:top w:val="none" w:sz="0" w:space="0" w:color="auto"/>
                        <w:left w:val="none" w:sz="0" w:space="0" w:color="auto"/>
                        <w:bottom w:val="none" w:sz="0" w:space="0" w:color="auto"/>
                        <w:right w:val="none" w:sz="0" w:space="0" w:color="auto"/>
                      </w:divBdr>
                      <w:divsChild>
                        <w:div w:id="680818017">
                          <w:marLeft w:val="150"/>
                          <w:marRight w:val="0"/>
                          <w:marTop w:val="0"/>
                          <w:marBottom w:val="150"/>
                          <w:divBdr>
                            <w:top w:val="none" w:sz="0" w:space="0" w:color="auto"/>
                            <w:left w:val="none" w:sz="0" w:space="0" w:color="auto"/>
                            <w:bottom w:val="none" w:sz="0" w:space="0" w:color="auto"/>
                            <w:right w:val="none" w:sz="0" w:space="0" w:color="auto"/>
                          </w:divBdr>
                          <w:divsChild>
                            <w:div w:id="1680351589">
                              <w:marLeft w:val="0"/>
                              <w:marRight w:val="0"/>
                              <w:marTop w:val="0"/>
                              <w:marBottom w:val="0"/>
                              <w:divBdr>
                                <w:top w:val="none" w:sz="0" w:space="0" w:color="auto"/>
                                <w:left w:val="none" w:sz="0" w:space="0" w:color="auto"/>
                                <w:bottom w:val="none" w:sz="0" w:space="0" w:color="auto"/>
                                <w:right w:val="none" w:sz="0" w:space="0" w:color="auto"/>
                              </w:divBdr>
                              <w:divsChild>
                                <w:div w:id="12927810">
                                  <w:marLeft w:val="0"/>
                                  <w:marRight w:val="150"/>
                                  <w:marTop w:val="0"/>
                                  <w:marBottom w:val="0"/>
                                  <w:divBdr>
                                    <w:top w:val="none" w:sz="0" w:space="0" w:color="auto"/>
                                    <w:left w:val="none" w:sz="0" w:space="0" w:color="auto"/>
                                    <w:bottom w:val="none" w:sz="0" w:space="0" w:color="auto"/>
                                    <w:right w:val="none" w:sz="0" w:space="0" w:color="auto"/>
                                  </w:divBdr>
                                  <w:divsChild>
                                    <w:div w:id="515077705">
                                      <w:marLeft w:val="0"/>
                                      <w:marRight w:val="0"/>
                                      <w:marTop w:val="300"/>
                                      <w:marBottom w:val="0"/>
                                      <w:divBdr>
                                        <w:top w:val="none" w:sz="0" w:space="0" w:color="auto"/>
                                        <w:left w:val="none" w:sz="0" w:space="0" w:color="auto"/>
                                        <w:bottom w:val="none" w:sz="0" w:space="0" w:color="auto"/>
                                        <w:right w:val="none" w:sz="0" w:space="0" w:color="auto"/>
                                      </w:divBdr>
                                      <w:divsChild>
                                        <w:div w:id="2091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977464">
      <w:bodyDiv w:val="1"/>
      <w:marLeft w:val="0"/>
      <w:marRight w:val="0"/>
      <w:marTop w:val="0"/>
      <w:marBottom w:val="0"/>
      <w:divBdr>
        <w:top w:val="none" w:sz="0" w:space="0" w:color="auto"/>
        <w:left w:val="none" w:sz="0" w:space="0" w:color="auto"/>
        <w:bottom w:val="none" w:sz="0" w:space="0" w:color="auto"/>
        <w:right w:val="none" w:sz="0" w:space="0" w:color="auto"/>
      </w:divBdr>
    </w:div>
    <w:div w:id="744836024">
      <w:bodyDiv w:val="1"/>
      <w:marLeft w:val="0"/>
      <w:marRight w:val="0"/>
      <w:marTop w:val="0"/>
      <w:marBottom w:val="0"/>
      <w:divBdr>
        <w:top w:val="none" w:sz="0" w:space="0" w:color="auto"/>
        <w:left w:val="none" w:sz="0" w:space="0" w:color="auto"/>
        <w:bottom w:val="none" w:sz="0" w:space="0" w:color="auto"/>
        <w:right w:val="none" w:sz="0" w:space="0" w:color="auto"/>
      </w:divBdr>
    </w:div>
    <w:div w:id="771826015">
      <w:bodyDiv w:val="1"/>
      <w:marLeft w:val="0"/>
      <w:marRight w:val="0"/>
      <w:marTop w:val="0"/>
      <w:marBottom w:val="0"/>
      <w:divBdr>
        <w:top w:val="none" w:sz="0" w:space="0" w:color="auto"/>
        <w:left w:val="none" w:sz="0" w:space="0" w:color="auto"/>
        <w:bottom w:val="none" w:sz="0" w:space="0" w:color="auto"/>
        <w:right w:val="none" w:sz="0" w:space="0" w:color="auto"/>
      </w:divBdr>
    </w:div>
    <w:div w:id="1210535703">
      <w:bodyDiv w:val="1"/>
      <w:marLeft w:val="0"/>
      <w:marRight w:val="0"/>
      <w:marTop w:val="0"/>
      <w:marBottom w:val="0"/>
      <w:divBdr>
        <w:top w:val="none" w:sz="0" w:space="0" w:color="auto"/>
        <w:left w:val="none" w:sz="0" w:space="0" w:color="auto"/>
        <w:bottom w:val="none" w:sz="0" w:space="0" w:color="auto"/>
        <w:right w:val="none" w:sz="0" w:space="0" w:color="auto"/>
      </w:divBdr>
    </w:div>
    <w:div w:id="1221794742">
      <w:bodyDiv w:val="1"/>
      <w:marLeft w:val="0"/>
      <w:marRight w:val="0"/>
      <w:marTop w:val="0"/>
      <w:marBottom w:val="0"/>
      <w:divBdr>
        <w:top w:val="none" w:sz="0" w:space="0" w:color="auto"/>
        <w:left w:val="none" w:sz="0" w:space="0" w:color="auto"/>
        <w:bottom w:val="none" w:sz="0" w:space="0" w:color="auto"/>
        <w:right w:val="none" w:sz="0" w:space="0" w:color="auto"/>
      </w:divBdr>
    </w:div>
    <w:div w:id="1272011478">
      <w:bodyDiv w:val="1"/>
      <w:marLeft w:val="0"/>
      <w:marRight w:val="0"/>
      <w:marTop w:val="0"/>
      <w:marBottom w:val="0"/>
      <w:divBdr>
        <w:top w:val="none" w:sz="0" w:space="0" w:color="auto"/>
        <w:left w:val="none" w:sz="0" w:space="0" w:color="auto"/>
        <w:bottom w:val="none" w:sz="0" w:space="0" w:color="auto"/>
        <w:right w:val="none" w:sz="0" w:space="0" w:color="auto"/>
      </w:divBdr>
    </w:div>
    <w:div w:id="1285309731">
      <w:bodyDiv w:val="1"/>
      <w:marLeft w:val="0"/>
      <w:marRight w:val="0"/>
      <w:marTop w:val="0"/>
      <w:marBottom w:val="0"/>
      <w:divBdr>
        <w:top w:val="none" w:sz="0" w:space="0" w:color="auto"/>
        <w:left w:val="none" w:sz="0" w:space="0" w:color="auto"/>
        <w:bottom w:val="none" w:sz="0" w:space="0" w:color="auto"/>
        <w:right w:val="none" w:sz="0" w:space="0" w:color="auto"/>
      </w:divBdr>
    </w:div>
    <w:div w:id="1300375610">
      <w:bodyDiv w:val="1"/>
      <w:marLeft w:val="0"/>
      <w:marRight w:val="0"/>
      <w:marTop w:val="0"/>
      <w:marBottom w:val="0"/>
      <w:divBdr>
        <w:top w:val="none" w:sz="0" w:space="0" w:color="auto"/>
        <w:left w:val="none" w:sz="0" w:space="0" w:color="auto"/>
        <w:bottom w:val="none" w:sz="0" w:space="0" w:color="auto"/>
        <w:right w:val="none" w:sz="0" w:space="0" w:color="auto"/>
      </w:divBdr>
    </w:div>
    <w:div w:id="1405030813">
      <w:bodyDiv w:val="1"/>
      <w:marLeft w:val="0"/>
      <w:marRight w:val="0"/>
      <w:marTop w:val="0"/>
      <w:marBottom w:val="0"/>
      <w:divBdr>
        <w:top w:val="none" w:sz="0" w:space="0" w:color="auto"/>
        <w:left w:val="none" w:sz="0" w:space="0" w:color="auto"/>
        <w:bottom w:val="none" w:sz="0" w:space="0" w:color="auto"/>
        <w:right w:val="none" w:sz="0" w:space="0" w:color="auto"/>
      </w:divBdr>
    </w:div>
    <w:div w:id="1669481877">
      <w:bodyDiv w:val="1"/>
      <w:marLeft w:val="0"/>
      <w:marRight w:val="0"/>
      <w:marTop w:val="0"/>
      <w:marBottom w:val="0"/>
      <w:divBdr>
        <w:top w:val="none" w:sz="0" w:space="0" w:color="auto"/>
        <w:left w:val="none" w:sz="0" w:space="0" w:color="auto"/>
        <w:bottom w:val="none" w:sz="0" w:space="0" w:color="auto"/>
        <w:right w:val="none" w:sz="0" w:space="0" w:color="auto"/>
      </w:divBdr>
      <w:divsChild>
        <w:div w:id="914318182">
          <w:marLeft w:val="0"/>
          <w:marRight w:val="0"/>
          <w:marTop w:val="0"/>
          <w:marBottom w:val="0"/>
          <w:divBdr>
            <w:top w:val="none" w:sz="0" w:space="0" w:color="auto"/>
            <w:left w:val="none" w:sz="0" w:space="0" w:color="auto"/>
            <w:bottom w:val="none" w:sz="0" w:space="0" w:color="auto"/>
            <w:right w:val="none" w:sz="0" w:space="0" w:color="auto"/>
          </w:divBdr>
          <w:divsChild>
            <w:div w:id="1326934832">
              <w:marLeft w:val="0"/>
              <w:marRight w:val="0"/>
              <w:marTop w:val="0"/>
              <w:marBottom w:val="0"/>
              <w:divBdr>
                <w:top w:val="none" w:sz="0" w:space="0" w:color="auto"/>
                <w:left w:val="none" w:sz="0" w:space="0" w:color="auto"/>
                <w:bottom w:val="none" w:sz="0" w:space="0" w:color="auto"/>
                <w:right w:val="none" w:sz="0" w:space="0" w:color="auto"/>
              </w:divBdr>
              <w:divsChild>
                <w:div w:id="299501944">
                  <w:marLeft w:val="0"/>
                  <w:marRight w:val="0"/>
                  <w:marTop w:val="0"/>
                  <w:marBottom w:val="0"/>
                  <w:divBdr>
                    <w:top w:val="none" w:sz="0" w:space="0" w:color="auto"/>
                    <w:left w:val="none" w:sz="0" w:space="0" w:color="auto"/>
                    <w:bottom w:val="none" w:sz="0" w:space="0" w:color="auto"/>
                    <w:right w:val="none" w:sz="0" w:space="0" w:color="auto"/>
                  </w:divBdr>
                  <w:divsChild>
                    <w:div w:id="1871719967">
                      <w:marLeft w:val="0"/>
                      <w:marRight w:val="0"/>
                      <w:marTop w:val="0"/>
                      <w:marBottom w:val="0"/>
                      <w:divBdr>
                        <w:top w:val="none" w:sz="0" w:space="0" w:color="auto"/>
                        <w:left w:val="none" w:sz="0" w:space="0" w:color="auto"/>
                        <w:bottom w:val="none" w:sz="0" w:space="0" w:color="auto"/>
                        <w:right w:val="none" w:sz="0" w:space="0" w:color="auto"/>
                      </w:divBdr>
                    </w:div>
                    <w:div w:id="963803451">
                      <w:marLeft w:val="0"/>
                      <w:marRight w:val="0"/>
                      <w:marTop w:val="0"/>
                      <w:marBottom w:val="0"/>
                      <w:divBdr>
                        <w:top w:val="none" w:sz="0" w:space="0" w:color="auto"/>
                        <w:left w:val="none" w:sz="0" w:space="0" w:color="auto"/>
                        <w:bottom w:val="none" w:sz="0" w:space="0" w:color="auto"/>
                        <w:right w:val="none" w:sz="0" w:space="0" w:color="auto"/>
                      </w:divBdr>
                      <w:divsChild>
                        <w:div w:id="1964266163">
                          <w:marLeft w:val="0"/>
                          <w:marRight w:val="0"/>
                          <w:marTop w:val="0"/>
                          <w:marBottom w:val="0"/>
                          <w:divBdr>
                            <w:top w:val="none" w:sz="0" w:space="0" w:color="auto"/>
                            <w:left w:val="none" w:sz="0" w:space="0" w:color="auto"/>
                            <w:bottom w:val="none" w:sz="0" w:space="0" w:color="auto"/>
                            <w:right w:val="none" w:sz="0" w:space="0" w:color="auto"/>
                          </w:divBdr>
                        </w:div>
                      </w:divsChild>
                    </w:div>
                    <w:div w:id="348678212">
                      <w:marLeft w:val="0"/>
                      <w:marRight w:val="0"/>
                      <w:marTop w:val="0"/>
                      <w:marBottom w:val="0"/>
                      <w:divBdr>
                        <w:top w:val="none" w:sz="0" w:space="0" w:color="auto"/>
                        <w:left w:val="none" w:sz="0" w:space="0" w:color="auto"/>
                        <w:bottom w:val="none" w:sz="0" w:space="0" w:color="auto"/>
                        <w:right w:val="none" w:sz="0" w:space="0" w:color="auto"/>
                      </w:divBdr>
                      <w:divsChild>
                        <w:div w:id="2138450731">
                          <w:marLeft w:val="0"/>
                          <w:marRight w:val="0"/>
                          <w:marTop w:val="0"/>
                          <w:marBottom w:val="0"/>
                          <w:divBdr>
                            <w:top w:val="none" w:sz="0" w:space="0" w:color="auto"/>
                            <w:left w:val="none" w:sz="0" w:space="0" w:color="auto"/>
                            <w:bottom w:val="single" w:sz="36" w:space="0" w:color="F2F2F2"/>
                            <w:right w:val="none" w:sz="0" w:space="0" w:color="auto"/>
                          </w:divBdr>
                        </w:div>
                      </w:divsChild>
                    </w:div>
                  </w:divsChild>
                </w:div>
              </w:divsChild>
            </w:div>
          </w:divsChild>
        </w:div>
      </w:divsChild>
    </w:div>
    <w:div w:id="1839540151">
      <w:bodyDiv w:val="1"/>
      <w:marLeft w:val="0"/>
      <w:marRight w:val="0"/>
      <w:marTop w:val="0"/>
      <w:marBottom w:val="0"/>
      <w:divBdr>
        <w:top w:val="none" w:sz="0" w:space="0" w:color="auto"/>
        <w:left w:val="none" w:sz="0" w:space="0" w:color="auto"/>
        <w:bottom w:val="none" w:sz="0" w:space="0" w:color="auto"/>
        <w:right w:val="none" w:sz="0" w:space="0" w:color="auto"/>
      </w:divBdr>
    </w:div>
    <w:div w:id="1861776008">
      <w:bodyDiv w:val="1"/>
      <w:marLeft w:val="0"/>
      <w:marRight w:val="0"/>
      <w:marTop w:val="0"/>
      <w:marBottom w:val="0"/>
      <w:divBdr>
        <w:top w:val="none" w:sz="0" w:space="0" w:color="auto"/>
        <w:left w:val="none" w:sz="0" w:space="0" w:color="auto"/>
        <w:bottom w:val="none" w:sz="0" w:space="0" w:color="auto"/>
        <w:right w:val="none" w:sz="0" w:space="0" w:color="auto"/>
      </w:divBdr>
      <w:divsChild>
        <w:div w:id="1871599411">
          <w:marLeft w:val="0"/>
          <w:marRight w:val="0"/>
          <w:marTop w:val="0"/>
          <w:marBottom w:val="0"/>
          <w:divBdr>
            <w:top w:val="none" w:sz="0" w:space="0" w:color="auto"/>
            <w:left w:val="none" w:sz="0" w:space="0" w:color="auto"/>
            <w:bottom w:val="none" w:sz="0" w:space="0" w:color="auto"/>
            <w:right w:val="none" w:sz="0" w:space="0" w:color="auto"/>
          </w:divBdr>
          <w:divsChild>
            <w:div w:id="147750153">
              <w:marLeft w:val="0"/>
              <w:marRight w:val="0"/>
              <w:marTop w:val="0"/>
              <w:marBottom w:val="0"/>
              <w:divBdr>
                <w:top w:val="none" w:sz="0" w:space="0" w:color="auto"/>
                <w:left w:val="none" w:sz="0" w:space="0" w:color="auto"/>
                <w:bottom w:val="none" w:sz="0" w:space="0" w:color="auto"/>
                <w:right w:val="none" w:sz="0" w:space="0" w:color="auto"/>
              </w:divBdr>
              <w:divsChild>
                <w:div w:id="1161896812">
                  <w:marLeft w:val="0"/>
                  <w:marRight w:val="0"/>
                  <w:marTop w:val="0"/>
                  <w:marBottom w:val="0"/>
                  <w:divBdr>
                    <w:top w:val="none" w:sz="0" w:space="0" w:color="auto"/>
                    <w:left w:val="none" w:sz="0" w:space="0" w:color="auto"/>
                    <w:bottom w:val="none" w:sz="0" w:space="0" w:color="auto"/>
                    <w:right w:val="none" w:sz="0" w:space="0" w:color="auto"/>
                  </w:divBdr>
                  <w:divsChild>
                    <w:div w:id="1107384138">
                      <w:marLeft w:val="0"/>
                      <w:marRight w:val="0"/>
                      <w:marTop w:val="0"/>
                      <w:marBottom w:val="0"/>
                      <w:divBdr>
                        <w:top w:val="none" w:sz="0" w:space="0" w:color="auto"/>
                        <w:left w:val="none" w:sz="0" w:space="0" w:color="auto"/>
                        <w:bottom w:val="none" w:sz="0" w:space="0" w:color="auto"/>
                        <w:right w:val="none" w:sz="0" w:space="0" w:color="auto"/>
                      </w:divBdr>
                      <w:divsChild>
                        <w:div w:id="1202598850">
                          <w:marLeft w:val="150"/>
                          <w:marRight w:val="0"/>
                          <w:marTop w:val="150"/>
                          <w:marBottom w:val="150"/>
                          <w:divBdr>
                            <w:top w:val="none" w:sz="0" w:space="0" w:color="auto"/>
                            <w:left w:val="none" w:sz="0" w:space="0" w:color="auto"/>
                            <w:bottom w:val="none" w:sz="0" w:space="0" w:color="auto"/>
                            <w:right w:val="none" w:sz="0" w:space="0" w:color="auto"/>
                          </w:divBdr>
                          <w:divsChild>
                            <w:div w:id="980962912">
                              <w:marLeft w:val="0"/>
                              <w:marRight w:val="0"/>
                              <w:marTop w:val="0"/>
                              <w:marBottom w:val="0"/>
                              <w:divBdr>
                                <w:top w:val="none" w:sz="0" w:space="0" w:color="auto"/>
                                <w:left w:val="none" w:sz="0" w:space="0" w:color="auto"/>
                                <w:bottom w:val="none" w:sz="0" w:space="0" w:color="auto"/>
                                <w:right w:val="none" w:sz="0" w:space="0" w:color="auto"/>
                              </w:divBdr>
                              <w:divsChild>
                                <w:div w:id="1210410139">
                                  <w:marLeft w:val="0"/>
                                  <w:marRight w:val="0"/>
                                  <w:marTop w:val="0"/>
                                  <w:marBottom w:val="0"/>
                                  <w:divBdr>
                                    <w:top w:val="none" w:sz="0" w:space="0" w:color="auto"/>
                                    <w:left w:val="none" w:sz="0" w:space="0" w:color="auto"/>
                                    <w:bottom w:val="none" w:sz="0" w:space="0" w:color="auto"/>
                                    <w:right w:val="none" w:sz="0" w:space="0" w:color="auto"/>
                                  </w:divBdr>
                                  <w:divsChild>
                                    <w:div w:id="733091800">
                                      <w:marLeft w:val="0"/>
                                      <w:marRight w:val="0"/>
                                      <w:marTop w:val="0"/>
                                      <w:marBottom w:val="0"/>
                                      <w:divBdr>
                                        <w:top w:val="none" w:sz="0" w:space="0" w:color="auto"/>
                                        <w:left w:val="none" w:sz="0" w:space="0" w:color="auto"/>
                                        <w:bottom w:val="none" w:sz="0" w:space="0" w:color="auto"/>
                                        <w:right w:val="none" w:sz="0" w:space="0" w:color="auto"/>
                                      </w:divBdr>
                                      <w:divsChild>
                                        <w:div w:id="42952712">
                                          <w:marLeft w:val="0"/>
                                          <w:marRight w:val="0"/>
                                          <w:marTop w:val="0"/>
                                          <w:marBottom w:val="0"/>
                                          <w:divBdr>
                                            <w:top w:val="none" w:sz="0" w:space="0" w:color="auto"/>
                                            <w:left w:val="none" w:sz="0" w:space="0" w:color="auto"/>
                                            <w:bottom w:val="none" w:sz="0" w:space="0" w:color="auto"/>
                                            <w:right w:val="none" w:sz="0" w:space="0" w:color="auto"/>
                                          </w:divBdr>
                                        </w:div>
                                        <w:div w:id="11818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921096">
      <w:bodyDiv w:val="1"/>
      <w:marLeft w:val="0"/>
      <w:marRight w:val="0"/>
      <w:marTop w:val="0"/>
      <w:marBottom w:val="0"/>
      <w:divBdr>
        <w:top w:val="none" w:sz="0" w:space="0" w:color="auto"/>
        <w:left w:val="none" w:sz="0" w:space="0" w:color="auto"/>
        <w:bottom w:val="none" w:sz="0" w:space="0" w:color="auto"/>
        <w:right w:val="none" w:sz="0" w:space="0" w:color="auto"/>
      </w:divBdr>
    </w:div>
    <w:div w:id="1935238164">
      <w:bodyDiv w:val="1"/>
      <w:marLeft w:val="0"/>
      <w:marRight w:val="0"/>
      <w:marTop w:val="0"/>
      <w:marBottom w:val="0"/>
      <w:divBdr>
        <w:top w:val="none" w:sz="0" w:space="0" w:color="auto"/>
        <w:left w:val="none" w:sz="0" w:space="0" w:color="auto"/>
        <w:bottom w:val="none" w:sz="0" w:space="0" w:color="auto"/>
        <w:right w:val="none" w:sz="0" w:space="0" w:color="auto"/>
      </w:divBdr>
    </w:div>
    <w:div w:id="21137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craike@vu.edu.au"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t.abs.gov.au/Index.aspx?DataSetCode=ABS_ERP_ASG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DetailsPage/2033.0.55.0012011?OpenDocumen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health.gov.au/internet/main/publishing.nsf/Content/PHN-MBS_Da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carestatistics.humanservices.gov.au/statistics/mbs_item.js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50B1-9EF9-4F99-9C8A-9A7F9105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Stuart Biddle</cp:lastModifiedBy>
  <cp:revision>2</cp:revision>
  <cp:lastPrinted>2018-04-27T05:17:00Z</cp:lastPrinted>
  <dcterms:created xsi:type="dcterms:W3CDTF">2019-06-26T07:09:00Z</dcterms:created>
  <dcterms:modified xsi:type="dcterms:W3CDTF">2019-06-26T07:09:00Z</dcterms:modified>
</cp:coreProperties>
</file>