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F03A" w14:textId="563730FA" w:rsidR="00605CE2" w:rsidRDefault="000F0374" w:rsidP="00A55F3A">
      <w:pPr>
        <w:pStyle w:val="Heading1"/>
        <w:spacing w:line="480" w:lineRule="auto"/>
        <w:ind w:firstLine="0"/>
        <w:jc w:val="left"/>
        <w:rPr>
          <w:rFonts w:ascii="Garamond" w:hAnsi="Garamond"/>
          <w:sz w:val="22"/>
          <w:szCs w:val="22"/>
        </w:rPr>
      </w:pPr>
      <w:r>
        <w:rPr>
          <w:rFonts w:ascii="Garamond" w:hAnsi="Garamond"/>
          <w:sz w:val="22"/>
          <w:szCs w:val="22"/>
        </w:rPr>
        <w:t xml:space="preserve">English </w:t>
      </w:r>
      <w:r w:rsidR="0092080C">
        <w:rPr>
          <w:rFonts w:ascii="Garamond" w:hAnsi="Garamond"/>
          <w:sz w:val="22"/>
          <w:szCs w:val="22"/>
        </w:rPr>
        <w:t>Pragmatism and Italian  Virtue</w:t>
      </w:r>
      <w:r w:rsidR="00593D4F" w:rsidRPr="00A55F3A">
        <w:rPr>
          <w:rFonts w:ascii="Garamond" w:hAnsi="Garamond"/>
          <w:sz w:val="22"/>
          <w:szCs w:val="22"/>
        </w:rPr>
        <w:t xml:space="preserve">: </w:t>
      </w:r>
      <w:r w:rsidR="0080687B" w:rsidRPr="00A55F3A">
        <w:rPr>
          <w:rFonts w:ascii="Garamond" w:hAnsi="Garamond"/>
          <w:sz w:val="22"/>
          <w:szCs w:val="22"/>
        </w:rPr>
        <w:t>A Comparative Analysis of the Regime of Illegally Obtained Evidence in Civil Law Proceedings between Italy  and England.</w:t>
      </w:r>
    </w:p>
    <w:p w14:paraId="055AF28D" w14:textId="76EB8442" w:rsidR="00AA60BA" w:rsidRPr="00AA60BA" w:rsidRDefault="00AA60BA" w:rsidP="00AA60BA">
      <w:pPr>
        <w:spacing w:line="360" w:lineRule="auto"/>
      </w:pPr>
      <w:r w:rsidRPr="001A5424">
        <w:t>Vito Breda</w:t>
      </w:r>
      <w:r w:rsidRPr="001A5424">
        <w:rPr>
          <w:rStyle w:val="FootnoteReference"/>
        </w:rPr>
        <w:footnoteReference w:customMarkFollows="1" w:id="1"/>
        <w:sym w:font="Symbol" w:char="F02A"/>
      </w:r>
      <w:r>
        <w:t xml:space="preserve">  / </w:t>
      </w:r>
      <w:r w:rsidRPr="00AA60BA">
        <w:t>Matteo Vricella</w:t>
      </w:r>
      <w:r w:rsidRPr="00AA60BA">
        <w:rPr>
          <w:rStyle w:val="FootnoteReference"/>
        </w:rPr>
        <w:footnoteReference w:customMarkFollows="1" w:id="2"/>
        <w:sym w:font="Symbol" w:char="F02A"/>
      </w:r>
    </w:p>
    <w:p w14:paraId="4811AC2E" w14:textId="1E5EB858" w:rsidR="00A55F3A" w:rsidRPr="00A55F3A" w:rsidRDefault="00A55F3A" w:rsidP="00A55F3A">
      <w:pPr>
        <w:pStyle w:val="Textbody"/>
        <w:ind w:firstLine="0"/>
      </w:pPr>
      <w:r w:rsidRPr="004545A5">
        <w:rPr>
          <w:rFonts w:ascii="Garamond" w:hAnsi="Garamond"/>
          <w:sz w:val="22"/>
          <w:szCs w:val="22"/>
        </w:rPr>
        <w:t>Key Words:</w:t>
      </w:r>
      <w:r>
        <w:t xml:space="preserve"> </w:t>
      </w:r>
      <w:r w:rsidRPr="00A55F3A">
        <w:rPr>
          <w:rFonts w:ascii="Garamond" w:hAnsi="Garamond"/>
          <w:sz w:val="22"/>
          <w:szCs w:val="22"/>
        </w:rPr>
        <w:t>Illegally Obtained Evidence</w:t>
      </w:r>
      <w:r>
        <w:rPr>
          <w:rFonts w:ascii="Garamond" w:hAnsi="Garamond"/>
          <w:sz w:val="22"/>
          <w:szCs w:val="22"/>
        </w:rPr>
        <w:t xml:space="preserve">, </w:t>
      </w:r>
      <w:r w:rsidR="005A0DBF">
        <w:rPr>
          <w:rFonts w:ascii="Garamond" w:hAnsi="Garamond"/>
          <w:sz w:val="22"/>
          <w:szCs w:val="22"/>
        </w:rPr>
        <w:t>England &amp; Wales</w:t>
      </w:r>
      <w:r>
        <w:rPr>
          <w:rFonts w:ascii="Garamond" w:hAnsi="Garamond"/>
          <w:sz w:val="22"/>
          <w:szCs w:val="22"/>
        </w:rPr>
        <w:t>, Italy</w:t>
      </w:r>
    </w:p>
    <w:p w14:paraId="03DFBAB5" w14:textId="77777777" w:rsidR="00605CE2" w:rsidRPr="00A55F3A" w:rsidRDefault="009C06F7" w:rsidP="00A55F3A">
      <w:pPr>
        <w:pStyle w:val="Heading2"/>
        <w:spacing w:line="480" w:lineRule="auto"/>
        <w:rPr>
          <w:rFonts w:ascii="Garamond" w:hAnsi="Garamond"/>
        </w:rPr>
      </w:pPr>
      <w:r w:rsidRPr="00A55F3A">
        <w:rPr>
          <w:rFonts w:ascii="Garamond" w:hAnsi="Garamond"/>
        </w:rPr>
        <w:t>Abstract</w:t>
      </w:r>
    </w:p>
    <w:p w14:paraId="4E152D70" w14:textId="35F295D9" w:rsidR="00605CE2" w:rsidRPr="00A55F3A" w:rsidRDefault="00593D4F" w:rsidP="00A55F3A">
      <w:pPr>
        <w:pStyle w:val="Standard"/>
        <w:spacing w:line="480" w:lineRule="auto"/>
        <w:ind w:firstLine="426"/>
        <w:rPr>
          <w:rFonts w:ascii="Garamond" w:hAnsi="Garamond"/>
          <w:sz w:val="22"/>
          <w:szCs w:val="22"/>
        </w:rPr>
      </w:pPr>
      <w:r w:rsidRPr="00A55F3A">
        <w:rPr>
          <w:rFonts w:ascii="Garamond" w:hAnsi="Garamond"/>
          <w:sz w:val="22"/>
          <w:szCs w:val="22"/>
        </w:rPr>
        <w:t xml:space="preserve">This article provides </w:t>
      </w:r>
      <w:r w:rsidR="00F60E23" w:rsidRPr="00A55F3A">
        <w:rPr>
          <w:rFonts w:ascii="Garamond" w:hAnsi="Garamond"/>
          <w:sz w:val="22"/>
          <w:szCs w:val="22"/>
        </w:rPr>
        <w:t>a comparative</w:t>
      </w:r>
      <w:r w:rsidRPr="00A55F3A">
        <w:rPr>
          <w:rFonts w:ascii="Garamond" w:hAnsi="Garamond"/>
          <w:sz w:val="22"/>
          <w:szCs w:val="22"/>
        </w:rPr>
        <w:t xml:space="preserve"> analysis of the Italian and the </w:t>
      </w:r>
      <w:r w:rsidR="00A7552D">
        <w:rPr>
          <w:rFonts w:ascii="Garamond" w:hAnsi="Garamond"/>
          <w:sz w:val="22"/>
          <w:szCs w:val="22"/>
        </w:rPr>
        <w:t xml:space="preserve">English </w:t>
      </w:r>
      <w:r w:rsidR="003567BF" w:rsidRPr="00A55F3A">
        <w:rPr>
          <w:rFonts w:ascii="Garamond" w:hAnsi="Garamond"/>
          <w:sz w:val="22"/>
          <w:szCs w:val="22"/>
        </w:rPr>
        <w:t xml:space="preserve"> </w:t>
      </w:r>
      <w:r w:rsidRPr="00A55F3A">
        <w:rPr>
          <w:rFonts w:ascii="Garamond" w:hAnsi="Garamond"/>
          <w:sz w:val="22"/>
          <w:szCs w:val="22"/>
        </w:rPr>
        <w:t xml:space="preserve">regimes of improperly or illegally obtained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(hereafter </w:t>
      </w:r>
      <w:r w:rsidR="00291400" w:rsidRPr="00A55F3A">
        <w:rPr>
          <w:rFonts w:ascii="Garamond" w:hAnsi="Garamond"/>
          <w:sz w:val="22"/>
          <w:szCs w:val="22"/>
        </w:rPr>
        <w:t>IOE</w:t>
      </w:r>
      <w:r w:rsidRPr="00A55F3A">
        <w:rPr>
          <w:rFonts w:ascii="Garamond" w:hAnsi="Garamond"/>
          <w:sz w:val="22"/>
          <w:szCs w:val="22"/>
        </w:rPr>
        <w:t xml:space="preserve">) in civil law cases. We will </w:t>
      </w:r>
      <w:r w:rsidR="00EB7BCD" w:rsidRPr="00A55F3A">
        <w:rPr>
          <w:rFonts w:ascii="Garamond" w:hAnsi="Garamond"/>
          <w:sz w:val="22"/>
          <w:szCs w:val="22"/>
        </w:rPr>
        <w:t>use</w:t>
      </w:r>
      <w:r w:rsidRPr="00A55F3A">
        <w:rPr>
          <w:rFonts w:ascii="Garamond" w:hAnsi="Garamond"/>
          <w:sz w:val="22"/>
          <w:szCs w:val="22"/>
        </w:rPr>
        <w:t xml:space="preserve"> the term ‘regime’ to indicate</w:t>
      </w:r>
      <w:r w:rsidR="003567BF" w:rsidRPr="00A55F3A">
        <w:rPr>
          <w:rFonts w:ascii="Garamond" w:hAnsi="Garamond"/>
          <w:sz w:val="22"/>
          <w:szCs w:val="22"/>
        </w:rPr>
        <w:t xml:space="preserve"> </w:t>
      </w:r>
      <w:r w:rsidRPr="00A55F3A">
        <w:rPr>
          <w:rFonts w:ascii="Garamond" w:hAnsi="Garamond"/>
          <w:sz w:val="22"/>
          <w:szCs w:val="22"/>
        </w:rPr>
        <w:t xml:space="preserve">the system of rules and juridical </w:t>
      </w:r>
      <w:r w:rsidR="00CF1D8E" w:rsidRPr="00A55F3A">
        <w:rPr>
          <w:rFonts w:ascii="Garamond" w:hAnsi="Garamond"/>
          <w:sz w:val="22"/>
          <w:szCs w:val="22"/>
        </w:rPr>
        <w:t>practices</w:t>
      </w:r>
      <w:r w:rsidR="003567BF" w:rsidRPr="00A55F3A">
        <w:rPr>
          <w:rFonts w:ascii="Garamond" w:hAnsi="Garamond"/>
          <w:sz w:val="22"/>
          <w:szCs w:val="22"/>
        </w:rPr>
        <w:t xml:space="preserve"> </w:t>
      </w:r>
      <w:r w:rsidRPr="00A55F3A">
        <w:rPr>
          <w:rFonts w:ascii="Garamond" w:hAnsi="Garamond"/>
          <w:sz w:val="22"/>
          <w:szCs w:val="22"/>
        </w:rPr>
        <w:t xml:space="preserve">that regulate </w:t>
      </w:r>
      <w:r w:rsidR="00291400" w:rsidRPr="00A55F3A">
        <w:rPr>
          <w:rFonts w:ascii="Garamond" w:hAnsi="Garamond"/>
          <w:sz w:val="22"/>
          <w:szCs w:val="22"/>
        </w:rPr>
        <w:t>IOE</w:t>
      </w:r>
      <w:r w:rsidR="00055DA3" w:rsidRPr="00A55F3A">
        <w:rPr>
          <w:rFonts w:ascii="Garamond" w:hAnsi="Garamond"/>
          <w:sz w:val="22"/>
          <w:szCs w:val="22"/>
        </w:rPr>
        <w:t>.</w:t>
      </w:r>
      <w:r w:rsidR="003567BF" w:rsidRPr="00A55F3A">
        <w:rPr>
          <w:rFonts w:ascii="Garamond" w:hAnsi="Garamond"/>
          <w:sz w:val="22"/>
          <w:szCs w:val="22"/>
        </w:rPr>
        <w:t xml:space="preserve"> </w:t>
      </w:r>
      <w:r w:rsidRPr="00A55F3A">
        <w:rPr>
          <w:rFonts w:ascii="Garamond" w:hAnsi="Garamond"/>
          <w:sz w:val="22"/>
          <w:szCs w:val="22"/>
        </w:rPr>
        <w:t xml:space="preserve">In the past decade, the Italian and the </w:t>
      </w:r>
      <w:r w:rsidR="00584F92" w:rsidRPr="00A55F3A">
        <w:rPr>
          <w:rFonts w:ascii="Garamond" w:hAnsi="Garamond"/>
          <w:sz w:val="22"/>
          <w:szCs w:val="22"/>
        </w:rPr>
        <w:t xml:space="preserve">English </w:t>
      </w:r>
      <w:r w:rsidRPr="00A55F3A">
        <w:rPr>
          <w:rFonts w:ascii="Garamond" w:hAnsi="Garamond"/>
          <w:sz w:val="22"/>
          <w:szCs w:val="22"/>
        </w:rPr>
        <w:t>regimes</w:t>
      </w:r>
      <w:r w:rsidR="00763452" w:rsidRPr="00A55F3A">
        <w:rPr>
          <w:rFonts w:ascii="Garamond" w:hAnsi="Garamond"/>
          <w:sz w:val="22"/>
          <w:szCs w:val="22"/>
        </w:rPr>
        <w:t xml:space="preserve"> of </w:t>
      </w:r>
      <w:r w:rsidR="00291400" w:rsidRPr="00A55F3A">
        <w:rPr>
          <w:rFonts w:ascii="Garamond" w:hAnsi="Garamond"/>
          <w:sz w:val="22"/>
          <w:szCs w:val="22"/>
        </w:rPr>
        <w:t>IOE</w:t>
      </w:r>
      <w:r w:rsidR="003567BF" w:rsidRPr="00A55F3A">
        <w:rPr>
          <w:rFonts w:ascii="Garamond" w:hAnsi="Garamond"/>
          <w:sz w:val="22"/>
          <w:szCs w:val="22"/>
        </w:rPr>
        <w:t xml:space="preserve"> </w:t>
      </w:r>
      <w:r w:rsidRPr="00A55F3A">
        <w:rPr>
          <w:rFonts w:ascii="Garamond" w:hAnsi="Garamond"/>
          <w:sz w:val="22"/>
          <w:szCs w:val="22"/>
        </w:rPr>
        <w:t>have been adapting to new institutional and economic demands.</w:t>
      </w:r>
      <w:r w:rsidR="00993A5D">
        <w:rPr>
          <w:rFonts w:ascii="Garamond" w:hAnsi="Garamond"/>
          <w:sz w:val="22"/>
          <w:szCs w:val="22"/>
        </w:rPr>
        <w:t xml:space="preserve"> </w:t>
      </w:r>
      <w:r w:rsidR="00CF1D8E" w:rsidRPr="00A55F3A">
        <w:rPr>
          <w:rFonts w:ascii="Garamond" w:hAnsi="Garamond"/>
          <w:sz w:val="22"/>
          <w:szCs w:val="22"/>
        </w:rPr>
        <w:t xml:space="preserve">Till recently, </w:t>
      </w:r>
      <w:r w:rsidR="005817BF" w:rsidRPr="00A55F3A">
        <w:rPr>
          <w:rFonts w:ascii="Garamond" w:hAnsi="Garamond"/>
          <w:sz w:val="22"/>
          <w:szCs w:val="22"/>
        </w:rPr>
        <w:t>the</w:t>
      </w:r>
      <w:r w:rsidRPr="00A55F3A">
        <w:rPr>
          <w:rFonts w:ascii="Garamond" w:hAnsi="Garamond"/>
          <w:sz w:val="22"/>
          <w:szCs w:val="22"/>
        </w:rPr>
        <w:t xml:space="preserve"> Italian civil justice system mechanically assume</w:t>
      </w:r>
      <w:r w:rsidR="005817BF" w:rsidRPr="00A55F3A">
        <w:rPr>
          <w:rFonts w:ascii="Garamond" w:hAnsi="Garamond"/>
          <w:sz w:val="22"/>
          <w:szCs w:val="22"/>
        </w:rPr>
        <w:t>d</w:t>
      </w:r>
      <w:r w:rsidRPr="00A55F3A">
        <w:rPr>
          <w:rFonts w:ascii="Garamond" w:hAnsi="Garamond"/>
          <w:sz w:val="22"/>
          <w:szCs w:val="22"/>
        </w:rPr>
        <w:t xml:space="preserve"> that </w:t>
      </w:r>
      <w:r w:rsidR="00291400" w:rsidRPr="00A55F3A">
        <w:rPr>
          <w:rFonts w:ascii="Garamond" w:hAnsi="Garamond"/>
          <w:sz w:val="22"/>
          <w:szCs w:val="22"/>
        </w:rPr>
        <w:t>IOE</w:t>
      </w:r>
      <w:r w:rsidRPr="00A55F3A">
        <w:rPr>
          <w:rFonts w:ascii="Garamond" w:hAnsi="Garamond"/>
          <w:sz w:val="22"/>
          <w:szCs w:val="22"/>
        </w:rPr>
        <w:t xml:space="preserve"> </w:t>
      </w:r>
      <w:r w:rsidR="00291400" w:rsidRPr="00A55F3A">
        <w:rPr>
          <w:rFonts w:ascii="Garamond" w:hAnsi="Garamond"/>
          <w:sz w:val="22"/>
          <w:szCs w:val="22"/>
        </w:rPr>
        <w:t xml:space="preserve">was </w:t>
      </w:r>
      <w:r w:rsidRPr="00A55F3A">
        <w:rPr>
          <w:rFonts w:ascii="Garamond" w:hAnsi="Garamond"/>
          <w:sz w:val="22"/>
          <w:szCs w:val="22"/>
        </w:rPr>
        <w:t xml:space="preserve">inadmissible. In contrast with the Italian </w:t>
      </w:r>
      <w:r w:rsidR="00CF1D8E" w:rsidRPr="00A55F3A">
        <w:rPr>
          <w:rFonts w:ascii="Garamond" w:hAnsi="Garamond"/>
          <w:sz w:val="22"/>
          <w:szCs w:val="22"/>
        </w:rPr>
        <w:t xml:space="preserve">regime, </w:t>
      </w:r>
      <w:r w:rsidR="00291400" w:rsidRPr="00A55F3A">
        <w:rPr>
          <w:rFonts w:ascii="Garamond" w:hAnsi="Garamond"/>
          <w:sz w:val="22"/>
          <w:szCs w:val="22"/>
        </w:rPr>
        <w:t>IOE</w:t>
      </w:r>
      <w:r w:rsidR="00CF1D8E" w:rsidRPr="00A55F3A">
        <w:rPr>
          <w:rFonts w:ascii="Garamond" w:hAnsi="Garamond"/>
          <w:sz w:val="22"/>
          <w:szCs w:val="22"/>
        </w:rPr>
        <w:t xml:space="preserve"> </w:t>
      </w:r>
      <w:r w:rsidR="00291400" w:rsidRPr="00A55F3A">
        <w:rPr>
          <w:rFonts w:ascii="Garamond" w:hAnsi="Garamond"/>
          <w:sz w:val="22"/>
          <w:szCs w:val="22"/>
        </w:rPr>
        <w:t xml:space="preserve">was </w:t>
      </w:r>
      <w:r w:rsidR="00CF1D8E" w:rsidRPr="00A55F3A">
        <w:rPr>
          <w:rFonts w:ascii="Garamond" w:hAnsi="Garamond"/>
          <w:sz w:val="22"/>
          <w:szCs w:val="22"/>
        </w:rPr>
        <w:t xml:space="preserve">normally allowed in English </w:t>
      </w:r>
      <w:r w:rsidR="00D13877">
        <w:rPr>
          <w:rFonts w:ascii="Garamond" w:hAnsi="Garamond"/>
          <w:sz w:val="22"/>
          <w:szCs w:val="22"/>
        </w:rPr>
        <w:t xml:space="preserve"> </w:t>
      </w:r>
      <w:r w:rsidR="00CF1D8E" w:rsidRPr="00A55F3A">
        <w:rPr>
          <w:rFonts w:ascii="Garamond" w:hAnsi="Garamond"/>
          <w:sz w:val="22"/>
          <w:szCs w:val="22"/>
        </w:rPr>
        <w:t>court</w:t>
      </w:r>
      <w:r w:rsidR="00924371" w:rsidRPr="00A55F3A">
        <w:rPr>
          <w:rFonts w:ascii="Garamond" w:hAnsi="Garamond"/>
          <w:sz w:val="22"/>
          <w:szCs w:val="22"/>
        </w:rPr>
        <w:t>s</w:t>
      </w:r>
      <w:r w:rsidR="00CF1D8E" w:rsidRPr="00A55F3A">
        <w:rPr>
          <w:rFonts w:ascii="Garamond" w:hAnsi="Garamond"/>
          <w:sz w:val="22"/>
          <w:szCs w:val="22"/>
        </w:rPr>
        <w:t>. H</w:t>
      </w:r>
      <w:r w:rsidR="005817BF" w:rsidRPr="00A55F3A">
        <w:rPr>
          <w:rFonts w:ascii="Garamond" w:hAnsi="Garamond"/>
          <w:sz w:val="22"/>
          <w:szCs w:val="22"/>
        </w:rPr>
        <w:t>owever,</w:t>
      </w:r>
      <w:r w:rsidR="00924371" w:rsidRPr="00A55F3A">
        <w:rPr>
          <w:rFonts w:ascii="Garamond" w:hAnsi="Garamond"/>
          <w:sz w:val="22"/>
          <w:szCs w:val="22"/>
        </w:rPr>
        <w:t xml:space="preserve"> a series of</w:t>
      </w:r>
      <w:r w:rsidR="003567BF" w:rsidRPr="00A55F3A">
        <w:rPr>
          <w:rFonts w:ascii="Garamond" w:hAnsi="Garamond"/>
          <w:sz w:val="22"/>
          <w:szCs w:val="22"/>
        </w:rPr>
        <w:t xml:space="preserve"> </w:t>
      </w:r>
      <w:r w:rsidR="00924371" w:rsidRPr="00A55F3A">
        <w:rPr>
          <w:rFonts w:ascii="Garamond" w:hAnsi="Garamond"/>
          <w:sz w:val="22"/>
          <w:szCs w:val="22"/>
        </w:rPr>
        <w:t>court decisions</w:t>
      </w:r>
      <w:r w:rsidR="003567BF" w:rsidRPr="00A55F3A">
        <w:rPr>
          <w:rFonts w:ascii="Garamond" w:hAnsi="Garamond"/>
          <w:sz w:val="22"/>
          <w:szCs w:val="22"/>
        </w:rPr>
        <w:t xml:space="preserve"> </w:t>
      </w:r>
      <w:r w:rsidR="00924371" w:rsidRPr="00A55F3A">
        <w:rPr>
          <w:rFonts w:ascii="Garamond" w:hAnsi="Garamond"/>
          <w:sz w:val="22"/>
          <w:szCs w:val="22"/>
        </w:rPr>
        <w:t>ha</w:t>
      </w:r>
      <w:r w:rsidR="005817BF" w:rsidRPr="00A55F3A">
        <w:rPr>
          <w:rFonts w:ascii="Garamond" w:hAnsi="Garamond"/>
          <w:sz w:val="22"/>
          <w:szCs w:val="22"/>
        </w:rPr>
        <w:t>s</w:t>
      </w:r>
      <w:r w:rsidR="00924371" w:rsidRPr="00A55F3A">
        <w:rPr>
          <w:rFonts w:ascii="Garamond" w:hAnsi="Garamond"/>
          <w:sz w:val="22"/>
          <w:szCs w:val="22"/>
        </w:rPr>
        <w:t xml:space="preserve"> changed the assumption of inadmissibility of </w:t>
      </w:r>
      <w:r w:rsidR="00291400" w:rsidRPr="00A55F3A">
        <w:rPr>
          <w:rFonts w:ascii="Garamond" w:hAnsi="Garamond"/>
          <w:sz w:val="22"/>
          <w:szCs w:val="22"/>
        </w:rPr>
        <w:t>IOE</w:t>
      </w:r>
      <w:r w:rsidR="00924371" w:rsidRPr="00A55F3A">
        <w:rPr>
          <w:rFonts w:ascii="Garamond" w:hAnsi="Garamond"/>
          <w:sz w:val="22"/>
          <w:szCs w:val="22"/>
        </w:rPr>
        <w:t xml:space="preserve">. </w:t>
      </w:r>
      <w:r w:rsidR="00566C1D" w:rsidRPr="00A55F3A">
        <w:rPr>
          <w:rFonts w:ascii="Garamond" w:hAnsi="Garamond"/>
          <w:sz w:val="22"/>
          <w:szCs w:val="22"/>
        </w:rPr>
        <w:t xml:space="preserve">In England </w:t>
      </w:r>
      <w:r w:rsidR="00A7552D">
        <w:rPr>
          <w:rFonts w:ascii="Garamond" w:hAnsi="Garamond"/>
          <w:sz w:val="22"/>
          <w:szCs w:val="22"/>
        </w:rPr>
        <w:t xml:space="preserve">and </w:t>
      </w:r>
      <w:r w:rsidR="00566C1D" w:rsidRPr="00A55F3A">
        <w:rPr>
          <w:rFonts w:ascii="Garamond" w:hAnsi="Garamond"/>
          <w:sz w:val="22"/>
          <w:szCs w:val="22"/>
        </w:rPr>
        <w:t>Wales</w:t>
      </w:r>
      <w:r w:rsidR="00A7552D">
        <w:rPr>
          <w:rFonts w:ascii="Garamond" w:hAnsi="Garamond"/>
          <w:sz w:val="22"/>
          <w:szCs w:val="22"/>
        </w:rPr>
        <w:t xml:space="preserve"> (the two nation</w:t>
      </w:r>
      <w:r w:rsidR="00D13877">
        <w:rPr>
          <w:rFonts w:ascii="Garamond" w:hAnsi="Garamond"/>
          <w:sz w:val="22"/>
          <w:szCs w:val="22"/>
        </w:rPr>
        <w:t>s</w:t>
      </w:r>
      <w:r w:rsidR="00A7552D">
        <w:rPr>
          <w:rFonts w:ascii="Garamond" w:hAnsi="Garamond"/>
          <w:sz w:val="22"/>
          <w:szCs w:val="22"/>
        </w:rPr>
        <w:t xml:space="preserve"> share </w:t>
      </w:r>
      <w:r w:rsidR="00D13877">
        <w:rPr>
          <w:rFonts w:ascii="Garamond" w:hAnsi="Garamond"/>
          <w:sz w:val="22"/>
          <w:szCs w:val="22"/>
        </w:rPr>
        <w:t xml:space="preserve">the same </w:t>
      </w:r>
      <w:r w:rsidR="00780D5D">
        <w:rPr>
          <w:rFonts w:ascii="Garamond" w:hAnsi="Garamond"/>
          <w:sz w:val="22"/>
          <w:szCs w:val="22"/>
        </w:rPr>
        <w:t xml:space="preserve"> civil procedure system)</w:t>
      </w:r>
      <w:r w:rsidR="00950478" w:rsidRPr="00A55F3A">
        <w:rPr>
          <w:rFonts w:ascii="Garamond" w:hAnsi="Garamond"/>
          <w:sz w:val="22"/>
          <w:szCs w:val="22"/>
        </w:rPr>
        <w:t>,</w:t>
      </w:r>
      <w:r w:rsidR="00566C1D" w:rsidRPr="00A55F3A">
        <w:rPr>
          <w:rFonts w:ascii="Garamond" w:hAnsi="Garamond"/>
          <w:sz w:val="22"/>
          <w:szCs w:val="22"/>
        </w:rPr>
        <w:t xml:space="preserve"> t</w:t>
      </w:r>
      <w:r w:rsidR="00924371" w:rsidRPr="00A55F3A">
        <w:rPr>
          <w:rFonts w:ascii="Garamond" w:hAnsi="Garamond"/>
          <w:sz w:val="22"/>
          <w:szCs w:val="22"/>
        </w:rPr>
        <w:t>he introduction of</w:t>
      </w:r>
      <w:r w:rsidR="003567BF" w:rsidRPr="00A55F3A">
        <w:rPr>
          <w:rFonts w:ascii="Garamond" w:hAnsi="Garamond"/>
          <w:sz w:val="22"/>
          <w:szCs w:val="22"/>
        </w:rPr>
        <w:t xml:space="preserve"> </w:t>
      </w:r>
      <w:r w:rsidRPr="00A55F3A">
        <w:rPr>
          <w:rFonts w:ascii="Garamond" w:hAnsi="Garamond"/>
          <w:sz w:val="22"/>
          <w:szCs w:val="22"/>
        </w:rPr>
        <w:t xml:space="preserve">Civil Procedure Rules 1998 </w:t>
      </w:r>
      <w:r w:rsidR="00AB5488" w:rsidRPr="00A55F3A">
        <w:rPr>
          <w:rFonts w:ascii="Garamond" w:hAnsi="Garamond"/>
          <w:sz w:val="22"/>
          <w:szCs w:val="22"/>
        </w:rPr>
        <w:t>(hereafter</w:t>
      </w:r>
      <w:r w:rsidRPr="00A55F3A">
        <w:rPr>
          <w:rFonts w:ascii="Garamond" w:hAnsi="Garamond"/>
          <w:sz w:val="22"/>
          <w:szCs w:val="22"/>
        </w:rPr>
        <w:t xml:space="preserve"> </w:t>
      </w:r>
      <w:r w:rsidR="00AB5488" w:rsidRPr="00A55F3A">
        <w:rPr>
          <w:rFonts w:ascii="Garamond" w:hAnsi="Garamond"/>
          <w:sz w:val="22"/>
          <w:szCs w:val="22"/>
        </w:rPr>
        <w:t>CPR)</w:t>
      </w:r>
      <w:r w:rsidRPr="00A55F3A">
        <w:rPr>
          <w:rFonts w:ascii="Garamond" w:hAnsi="Garamond"/>
          <w:sz w:val="22"/>
          <w:szCs w:val="22"/>
        </w:rPr>
        <w:t xml:space="preserve"> </w:t>
      </w:r>
      <w:r w:rsidR="00B50D56" w:rsidRPr="00A55F3A">
        <w:rPr>
          <w:rFonts w:ascii="Garamond" w:hAnsi="Garamond"/>
          <w:sz w:val="22"/>
          <w:szCs w:val="22"/>
        </w:rPr>
        <w:t xml:space="preserve">and </w:t>
      </w:r>
      <w:r w:rsidR="00A45B1E" w:rsidRPr="00A55F3A">
        <w:rPr>
          <w:rFonts w:ascii="Garamond" w:hAnsi="Garamond"/>
          <w:sz w:val="22"/>
          <w:szCs w:val="22"/>
        </w:rPr>
        <w:t>Human Right</w:t>
      </w:r>
      <w:r w:rsidR="00950478" w:rsidRPr="00A55F3A">
        <w:rPr>
          <w:rFonts w:ascii="Garamond" w:hAnsi="Garamond"/>
          <w:sz w:val="22"/>
          <w:szCs w:val="22"/>
        </w:rPr>
        <w:t>s</w:t>
      </w:r>
      <w:r w:rsidR="00A45B1E" w:rsidRPr="00A55F3A">
        <w:rPr>
          <w:rFonts w:ascii="Garamond" w:hAnsi="Garamond"/>
          <w:sz w:val="22"/>
          <w:szCs w:val="22"/>
        </w:rPr>
        <w:t xml:space="preserve"> Act 1998 (</w:t>
      </w:r>
      <w:r w:rsidR="00924371" w:rsidRPr="00A55F3A">
        <w:rPr>
          <w:rFonts w:ascii="Garamond" w:hAnsi="Garamond"/>
          <w:sz w:val="22"/>
          <w:szCs w:val="22"/>
        </w:rPr>
        <w:t>hereafter HRA) ha</w:t>
      </w:r>
      <w:r w:rsidR="005817BF" w:rsidRPr="00A55F3A">
        <w:rPr>
          <w:rFonts w:ascii="Garamond" w:hAnsi="Garamond"/>
          <w:sz w:val="22"/>
          <w:szCs w:val="22"/>
        </w:rPr>
        <w:t>s</w:t>
      </w:r>
      <w:r w:rsidR="00924371" w:rsidRPr="00A55F3A">
        <w:rPr>
          <w:rFonts w:ascii="Garamond" w:hAnsi="Garamond"/>
          <w:sz w:val="22"/>
          <w:szCs w:val="22"/>
        </w:rPr>
        <w:t xml:space="preserve"> instead </w:t>
      </w:r>
      <w:r w:rsidR="00566C1D" w:rsidRPr="00A55F3A">
        <w:rPr>
          <w:rFonts w:ascii="Garamond" w:hAnsi="Garamond"/>
          <w:sz w:val="22"/>
          <w:szCs w:val="22"/>
        </w:rPr>
        <w:t>impose</w:t>
      </w:r>
      <w:r w:rsidR="00F77C91" w:rsidRPr="00A55F3A">
        <w:rPr>
          <w:rFonts w:ascii="Garamond" w:hAnsi="Garamond"/>
          <w:sz w:val="22"/>
          <w:szCs w:val="22"/>
        </w:rPr>
        <w:t>d</w:t>
      </w:r>
      <w:r w:rsidR="00566C1D" w:rsidRPr="00A55F3A">
        <w:rPr>
          <w:rFonts w:ascii="Garamond" w:hAnsi="Garamond"/>
          <w:sz w:val="22"/>
          <w:szCs w:val="22"/>
        </w:rPr>
        <w:t xml:space="preserve"> a duty to exclude</w:t>
      </w:r>
      <w:r w:rsidR="003567BF" w:rsidRPr="00A55F3A">
        <w:rPr>
          <w:rFonts w:ascii="Garamond" w:hAnsi="Garamond"/>
          <w:sz w:val="22"/>
          <w:szCs w:val="22"/>
        </w:rPr>
        <w:t xml:space="preserve"> </w:t>
      </w:r>
      <w:r w:rsidR="00C10D33" w:rsidRPr="00A55F3A">
        <w:rPr>
          <w:rFonts w:ascii="Garamond" w:hAnsi="Garamond"/>
          <w:sz w:val="22"/>
          <w:szCs w:val="22"/>
        </w:rPr>
        <w:t xml:space="preserve">an </w:t>
      </w:r>
      <w:r w:rsidR="00291400" w:rsidRPr="00A55F3A">
        <w:rPr>
          <w:rFonts w:ascii="Garamond" w:hAnsi="Garamond"/>
          <w:sz w:val="22"/>
          <w:szCs w:val="22"/>
        </w:rPr>
        <w:t>IOE</w:t>
      </w:r>
      <w:r w:rsidR="00924371" w:rsidRPr="00A55F3A">
        <w:rPr>
          <w:rFonts w:ascii="Garamond" w:hAnsi="Garamond"/>
          <w:sz w:val="22"/>
          <w:szCs w:val="22"/>
        </w:rPr>
        <w:t xml:space="preserve"> that </w:t>
      </w:r>
      <w:r w:rsidR="00291400" w:rsidRPr="00A55F3A">
        <w:rPr>
          <w:rFonts w:ascii="Garamond" w:hAnsi="Garamond"/>
          <w:sz w:val="22"/>
          <w:szCs w:val="22"/>
        </w:rPr>
        <w:t xml:space="preserve">has </w:t>
      </w:r>
      <w:r w:rsidR="00924371" w:rsidRPr="00A55F3A">
        <w:rPr>
          <w:rFonts w:ascii="Garamond" w:hAnsi="Garamond"/>
          <w:sz w:val="22"/>
          <w:szCs w:val="22"/>
        </w:rPr>
        <w:t>been</w:t>
      </w:r>
      <w:r w:rsidR="003567BF" w:rsidRPr="00A55F3A">
        <w:rPr>
          <w:rFonts w:ascii="Garamond" w:hAnsi="Garamond"/>
          <w:sz w:val="22"/>
          <w:szCs w:val="22"/>
        </w:rPr>
        <w:t xml:space="preserve"> </w:t>
      </w:r>
      <w:r w:rsidRPr="00A55F3A">
        <w:rPr>
          <w:rFonts w:ascii="Garamond" w:hAnsi="Garamond"/>
          <w:sz w:val="22"/>
          <w:szCs w:val="22"/>
        </w:rPr>
        <w:t xml:space="preserve">obtained </w:t>
      </w:r>
      <w:r w:rsidR="00924371" w:rsidRPr="00A55F3A">
        <w:rPr>
          <w:rFonts w:ascii="Garamond" w:hAnsi="Garamond"/>
          <w:sz w:val="22"/>
          <w:szCs w:val="22"/>
        </w:rPr>
        <w:t>as a result of outrageous</w:t>
      </w:r>
      <w:r w:rsidR="003567BF" w:rsidRPr="00A55F3A">
        <w:rPr>
          <w:rFonts w:ascii="Garamond" w:hAnsi="Garamond"/>
          <w:sz w:val="22"/>
          <w:szCs w:val="22"/>
        </w:rPr>
        <w:t xml:space="preserve"> </w:t>
      </w:r>
      <w:r w:rsidRPr="00A55F3A">
        <w:rPr>
          <w:rFonts w:ascii="Garamond" w:hAnsi="Garamond"/>
          <w:sz w:val="22"/>
          <w:szCs w:val="22"/>
        </w:rPr>
        <w:t xml:space="preserve">violation of </w:t>
      </w:r>
      <w:r w:rsidR="005817BF" w:rsidRPr="00A55F3A">
        <w:rPr>
          <w:rFonts w:ascii="Garamond" w:hAnsi="Garamond"/>
          <w:sz w:val="22"/>
          <w:szCs w:val="22"/>
        </w:rPr>
        <w:t xml:space="preserve">the </w:t>
      </w:r>
      <w:r w:rsidRPr="00A55F3A">
        <w:rPr>
          <w:rFonts w:ascii="Garamond" w:hAnsi="Garamond"/>
          <w:sz w:val="22"/>
          <w:szCs w:val="22"/>
        </w:rPr>
        <w:t>European Convention on Human Rights.</w:t>
      </w:r>
      <w:r w:rsidR="00A45B1E" w:rsidRPr="00A55F3A">
        <w:rPr>
          <w:rFonts w:ascii="Garamond" w:hAnsi="Garamond"/>
          <w:sz w:val="22"/>
          <w:szCs w:val="22"/>
        </w:rPr>
        <w:t xml:space="preserve"> </w:t>
      </w:r>
      <w:r w:rsidR="00924371" w:rsidRPr="00A55F3A">
        <w:rPr>
          <w:rFonts w:ascii="Garamond" w:hAnsi="Garamond"/>
          <w:sz w:val="22"/>
          <w:szCs w:val="22"/>
        </w:rPr>
        <w:t xml:space="preserve">This article will contend that </w:t>
      </w:r>
      <w:r w:rsidR="00566C1D" w:rsidRPr="00A55F3A">
        <w:rPr>
          <w:rFonts w:ascii="Garamond" w:hAnsi="Garamond"/>
          <w:sz w:val="22"/>
          <w:szCs w:val="22"/>
        </w:rPr>
        <w:t xml:space="preserve">the regimes of </w:t>
      </w:r>
      <w:r w:rsidR="00291400" w:rsidRPr="00A55F3A">
        <w:rPr>
          <w:rFonts w:ascii="Garamond" w:hAnsi="Garamond"/>
          <w:sz w:val="22"/>
          <w:szCs w:val="22"/>
        </w:rPr>
        <w:t>IOE</w:t>
      </w:r>
      <w:r w:rsidR="003567BF" w:rsidRPr="00A55F3A">
        <w:rPr>
          <w:rFonts w:ascii="Garamond" w:hAnsi="Garamond"/>
          <w:sz w:val="22"/>
          <w:szCs w:val="22"/>
        </w:rPr>
        <w:t xml:space="preserve"> </w:t>
      </w:r>
      <w:r w:rsidRPr="00A55F3A">
        <w:rPr>
          <w:rFonts w:ascii="Garamond" w:hAnsi="Garamond"/>
          <w:sz w:val="22"/>
          <w:szCs w:val="22"/>
        </w:rPr>
        <w:t>are</w:t>
      </w:r>
      <w:r w:rsidR="00924371" w:rsidRPr="00A55F3A">
        <w:rPr>
          <w:rFonts w:ascii="Garamond" w:hAnsi="Garamond"/>
          <w:sz w:val="22"/>
          <w:szCs w:val="22"/>
        </w:rPr>
        <w:t xml:space="preserve"> </w:t>
      </w:r>
      <w:r w:rsidR="00566C1D" w:rsidRPr="00A55F3A">
        <w:rPr>
          <w:rFonts w:ascii="Garamond" w:hAnsi="Garamond"/>
          <w:sz w:val="22"/>
          <w:szCs w:val="22"/>
        </w:rPr>
        <w:t>moving</w:t>
      </w:r>
      <w:r w:rsidR="003567BF" w:rsidRPr="00A55F3A">
        <w:rPr>
          <w:rFonts w:ascii="Garamond" w:hAnsi="Garamond"/>
          <w:sz w:val="22"/>
          <w:szCs w:val="22"/>
        </w:rPr>
        <w:t xml:space="preserve"> </w:t>
      </w:r>
      <w:r w:rsidR="00924371" w:rsidRPr="00A55F3A">
        <w:rPr>
          <w:rFonts w:ascii="Garamond" w:hAnsi="Garamond"/>
          <w:sz w:val="22"/>
          <w:szCs w:val="22"/>
        </w:rPr>
        <w:t>into an untested terrain</w:t>
      </w:r>
      <w:r w:rsidR="00566C1D" w:rsidRPr="00A55F3A">
        <w:rPr>
          <w:rFonts w:ascii="Garamond" w:hAnsi="Garamond"/>
          <w:sz w:val="22"/>
          <w:szCs w:val="22"/>
        </w:rPr>
        <w:t>, albeit from different starting point</w:t>
      </w:r>
      <w:r w:rsidR="00F77C91" w:rsidRPr="00A55F3A">
        <w:rPr>
          <w:rFonts w:ascii="Garamond" w:hAnsi="Garamond"/>
          <w:sz w:val="22"/>
          <w:szCs w:val="22"/>
        </w:rPr>
        <w:t>s</w:t>
      </w:r>
      <w:r w:rsidR="00566C1D" w:rsidRPr="00A55F3A">
        <w:rPr>
          <w:rFonts w:ascii="Garamond" w:hAnsi="Garamond"/>
          <w:sz w:val="22"/>
          <w:szCs w:val="22"/>
        </w:rPr>
        <w:t>,</w:t>
      </w:r>
      <w:r w:rsidR="003567BF" w:rsidRPr="00A55F3A">
        <w:rPr>
          <w:rFonts w:ascii="Garamond" w:hAnsi="Garamond"/>
          <w:sz w:val="22"/>
          <w:szCs w:val="22"/>
        </w:rPr>
        <w:t xml:space="preserve"> </w:t>
      </w:r>
      <w:r w:rsidR="00566C1D" w:rsidRPr="00A55F3A">
        <w:rPr>
          <w:rFonts w:ascii="Garamond" w:hAnsi="Garamond"/>
          <w:sz w:val="22"/>
          <w:szCs w:val="22"/>
        </w:rPr>
        <w:t>and</w:t>
      </w:r>
      <w:r w:rsidR="003567BF" w:rsidRPr="00A55F3A">
        <w:rPr>
          <w:rFonts w:ascii="Garamond" w:hAnsi="Garamond"/>
          <w:sz w:val="22"/>
          <w:szCs w:val="22"/>
        </w:rPr>
        <w:t xml:space="preserve"> </w:t>
      </w:r>
      <w:r w:rsidRPr="00A55F3A">
        <w:rPr>
          <w:rFonts w:ascii="Garamond" w:hAnsi="Garamond"/>
          <w:sz w:val="22"/>
          <w:szCs w:val="22"/>
        </w:rPr>
        <w:t xml:space="preserve">that a comparative </w:t>
      </w:r>
      <w:r w:rsidR="00566C1D" w:rsidRPr="00A55F3A">
        <w:rPr>
          <w:rFonts w:ascii="Garamond" w:hAnsi="Garamond"/>
          <w:sz w:val="22"/>
          <w:szCs w:val="22"/>
        </w:rPr>
        <w:t xml:space="preserve">analysis </w:t>
      </w:r>
      <w:r w:rsidRPr="00A55F3A">
        <w:rPr>
          <w:rFonts w:ascii="Garamond" w:hAnsi="Garamond"/>
          <w:sz w:val="22"/>
          <w:szCs w:val="22"/>
        </w:rPr>
        <w:t xml:space="preserve">might help clarify </w:t>
      </w:r>
      <w:r w:rsidR="00A45B1E" w:rsidRPr="00A55F3A">
        <w:rPr>
          <w:rFonts w:ascii="Garamond" w:hAnsi="Garamond"/>
          <w:sz w:val="22"/>
          <w:szCs w:val="22"/>
        </w:rPr>
        <w:t xml:space="preserve">the relation between admissibility of </w:t>
      </w:r>
      <w:r w:rsidR="004156FD" w:rsidRPr="00A55F3A">
        <w:rPr>
          <w:rFonts w:ascii="Garamond" w:hAnsi="Garamond"/>
          <w:sz w:val="22"/>
          <w:szCs w:val="22"/>
        </w:rPr>
        <w:t xml:space="preserve">an </w:t>
      </w:r>
      <w:r w:rsidR="00291400" w:rsidRPr="00A55F3A">
        <w:rPr>
          <w:rFonts w:ascii="Garamond" w:hAnsi="Garamond"/>
          <w:sz w:val="22"/>
          <w:szCs w:val="22"/>
        </w:rPr>
        <w:t>IOE</w:t>
      </w:r>
      <w:r w:rsidR="00A45B1E" w:rsidRPr="00A55F3A">
        <w:rPr>
          <w:rFonts w:ascii="Garamond" w:hAnsi="Garamond"/>
          <w:sz w:val="22"/>
          <w:szCs w:val="22"/>
        </w:rPr>
        <w:t xml:space="preserve"> that engage</w:t>
      </w:r>
      <w:r w:rsidR="004156FD" w:rsidRPr="00A55F3A">
        <w:rPr>
          <w:rFonts w:ascii="Garamond" w:hAnsi="Garamond"/>
          <w:sz w:val="22"/>
          <w:szCs w:val="22"/>
        </w:rPr>
        <w:t>s</w:t>
      </w:r>
      <w:r w:rsidR="00A45B1E" w:rsidRPr="00A55F3A">
        <w:rPr>
          <w:rFonts w:ascii="Garamond" w:hAnsi="Garamond"/>
          <w:sz w:val="22"/>
          <w:szCs w:val="22"/>
        </w:rPr>
        <w:t xml:space="preserve"> protected rights</w:t>
      </w:r>
      <w:r w:rsidR="004156FD" w:rsidRPr="00A55F3A">
        <w:rPr>
          <w:rFonts w:ascii="Garamond" w:hAnsi="Garamond"/>
          <w:sz w:val="22"/>
          <w:szCs w:val="22"/>
        </w:rPr>
        <w:t xml:space="preserve"> such as article 8 of the </w:t>
      </w:r>
      <w:r w:rsidR="00F60E23" w:rsidRPr="00A55F3A">
        <w:rPr>
          <w:rFonts w:ascii="Garamond" w:hAnsi="Garamond"/>
          <w:sz w:val="22"/>
          <w:szCs w:val="22"/>
        </w:rPr>
        <w:t>ECHR and</w:t>
      </w:r>
      <w:r w:rsidR="00A45B1E" w:rsidRPr="00A55F3A">
        <w:rPr>
          <w:rFonts w:ascii="Garamond" w:hAnsi="Garamond"/>
          <w:sz w:val="22"/>
          <w:szCs w:val="22"/>
        </w:rPr>
        <w:t xml:space="preserve"> the functioning of </w:t>
      </w:r>
      <w:r w:rsidR="00B50D56" w:rsidRPr="00A55F3A">
        <w:rPr>
          <w:rFonts w:ascii="Garamond" w:hAnsi="Garamond"/>
          <w:sz w:val="22"/>
          <w:szCs w:val="22"/>
        </w:rPr>
        <w:t xml:space="preserve">the </w:t>
      </w:r>
      <w:r w:rsidR="00A45B1E" w:rsidRPr="00A55F3A">
        <w:rPr>
          <w:rFonts w:ascii="Garamond" w:hAnsi="Garamond"/>
          <w:sz w:val="22"/>
          <w:szCs w:val="22"/>
        </w:rPr>
        <w:t>civil justice system</w:t>
      </w:r>
      <w:r w:rsidR="00924371" w:rsidRPr="00A55F3A">
        <w:rPr>
          <w:rFonts w:ascii="Garamond" w:hAnsi="Garamond"/>
          <w:sz w:val="22"/>
          <w:szCs w:val="22"/>
        </w:rPr>
        <w:t xml:space="preserve">. </w:t>
      </w:r>
      <w:r w:rsidRPr="00A55F3A">
        <w:rPr>
          <w:rFonts w:ascii="Garamond" w:hAnsi="Garamond"/>
          <w:sz w:val="22"/>
          <w:szCs w:val="22"/>
        </w:rPr>
        <w:t xml:space="preserve">The article is divided in </w:t>
      </w:r>
      <w:r w:rsidR="00A45B1E" w:rsidRPr="00A55F3A">
        <w:rPr>
          <w:rFonts w:ascii="Garamond" w:hAnsi="Garamond"/>
          <w:sz w:val="22"/>
          <w:szCs w:val="22"/>
        </w:rPr>
        <w:t xml:space="preserve">three </w:t>
      </w:r>
      <w:r w:rsidRPr="00A55F3A">
        <w:rPr>
          <w:rFonts w:ascii="Garamond" w:hAnsi="Garamond"/>
          <w:sz w:val="22"/>
          <w:szCs w:val="22"/>
        </w:rPr>
        <w:t xml:space="preserve">sections preceded by an introduction and followed by a conclusion. The first </w:t>
      </w:r>
      <w:r w:rsidR="00A45B1E" w:rsidRPr="00A55F3A">
        <w:rPr>
          <w:rFonts w:ascii="Garamond" w:hAnsi="Garamond"/>
          <w:sz w:val="22"/>
          <w:szCs w:val="22"/>
        </w:rPr>
        <w:t xml:space="preserve">two </w:t>
      </w:r>
      <w:r w:rsidRPr="00A55F3A">
        <w:rPr>
          <w:rFonts w:ascii="Garamond" w:hAnsi="Garamond"/>
          <w:sz w:val="22"/>
          <w:szCs w:val="22"/>
        </w:rPr>
        <w:t>section</w:t>
      </w:r>
      <w:r w:rsidR="00A45B1E" w:rsidRPr="00A55F3A">
        <w:rPr>
          <w:rFonts w:ascii="Garamond" w:hAnsi="Garamond"/>
          <w:sz w:val="22"/>
          <w:szCs w:val="22"/>
        </w:rPr>
        <w:t xml:space="preserve">s discuss </w:t>
      </w:r>
      <w:r w:rsidRPr="00A55F3A">
        <w:rPr>
          <w:rFonts w:ascii="Garamond" w:hAnsi="Garamond"/>
          <w:sz w:val="22"/>
          <w:szCs w:val="22"/>
        </w:rPr>
        <w:t xml:space="preserve">the </w:t>
      </w:r>
      <w:r w:rsidR="00584F92" w:rsidRPr="00A55F3A">
        <w:rPr>
          <w:rFonts w:ascii="Garamond" w:hAnsi="Garamond"/>
          <w:sz w:val="22"/>
          <w:szCs w:val="22"/>
        </w:rPr>
        <w:t>English &amp; Welsh</w:t>
      </w:r>
      <w:r w:rsidR="00A45B1E" w:rsidRPr="00A55F3A">
        <w:rPr>
          <w:rFonts w:ascii="Garamond" w:hAnsi="Garamond"/>
          <w:sz w:val="22"/>
          <w:szCs w:val="22"/>
        </w:rPr>
        <w:t xml:space="preserve"> and the Italian</w:t>
      </w:r>
      <w:r w:rsidR="00B50D56" w:rsidRPr="00A55F3A">
        <w:rPr>
          <w:rFonts w:ascii="Garamond" w:hAnsi="Garamond"/>
          <w:sz w:val="22"/>
          <w:szCs w:val="22"/>
        </w:rPr>
        <w:t xml:space="preserve"> </w:t>
      </w:r>
      <w:r w:rsidRPr="00A55F3A">
        <w:rPr>
          <w:rFonts w:ascii="Garamond" w:hAnsi="Garamond"/>
          <w:sz w:val="22"/>
          <w:szCs w:val="22"/>
        </w:rPr>
        <w:t xml:space="preserve">regimes of </w:t>
      </w:r>
      <w:r w:rsidR="00291400" w:rsidRPr="00A55F3A">
        <w:rPr>
          <w:rFonts w:ascii="Garamond" w:hAnsi="Garamond"/>
          <w:sz w:val="22"/>
          <w:szCs w:val="22"/>
        </w:rPr>
        <w:t>IOE</w:t>
      </w:r>
      <w:r w:rsidR="00A45B1E" w:rsidRPr="00A55F3A">
        <w:rPr>
          <w:rFonts w:ascii="Garamond" w:hAnsi="Garamond"/>
          <w:sz w:val="22"/>
          <w:szCs w:val="22"/>
        </w:rPr>
        <w:t>.</w:t>
      </w:r>
      <w:r w:rsidR="00B50D56" w:rsidRPr="00A55F3A">
        <w:rPr>
          <w:rFonts w:ascii="Garamond" w:hAnsi="Garamond"/>
          <w:sz w:val="22"/>
          <w:szCs w:val="22"/>
        </w:rPr>
        <w:t xml:space="preserve"> </w:t>
      </w:r>
      <w:r w:rsidR="00A45B1E" w:rsidRPr="00A55F3A">
        <w:rPr>
          <w:rFonts w:ascii="Garamond" w:hAnsi="Garamond"/>
          <w:sz w:val="22"/>
          <w:szCs w:val="22"/>
        </w:rPr>
        <w:t>T</w:t>
      </w:r>
      <w:r w:rsidRPr="00A55F3A">
        <w:rPr>
          <w:rFonts w:ascii="Garamond" w:hAnsi="Garamond"/>
          <w:sz w:val="22"/>
          <w:szCs w:val="22"/>
        </w:rPr>
        <w:t xml:space="preserve">he </w:t>
      </w:r>
      <w:r w:rsidR="00A45B1E" w:rsidRPr="00A55F3A">
        <w:rPr>
          <w:rFonts w:ascii="Garamond" w:hAnsi="Garamond"/>
          <w:sz w:val="22"/>
          <w:szCs w:val="22"/>
        </w:rPr>
        <w:t>third section focus</w:t>
      </w:r>
      <w:r w:rsidR="00380B79" w:rsidRPr="00A55F3A">
        <w:rPr>
          <w:rFonts w:ascii="Garamond" w:hAnsi="Garamond"/>
          <w:sz w:val="22"/>
          <w:szCs w:val="22"/>
        </w:rPr>
        <w:t>es</w:t>
      </w:r>
      <w:r w:rsidR="00A45B1E" w:rsidRPr="00A55F3A">
        <w:rPr>
          <w:rFonts w:ascii="Garamond" w:hAnsi="Garamond"/>
          <w:sz w:val="22"/>
          <w:szCs w:val="22"/>
        </w:rPr>
        <w:t xml:space="preserve"> on how the two legal system</w:t>
      </w:r>
      <w:r w:rsidR="00380B79" w:rsidRPr="00A55F3A">
        <w:rPr>
          <w:rFonts w:ascii="Garamond" w:hAnsi="Garamond"/>
          <w:sz w:val="22"/>
          <w:szCs w:val="22"/>
        </w:rPr>
        <w:t>s</w:t>
      </w:r>
      <w:r w:rsidR="00A45B1E" w:rsidRPr="00A55F3A">
        <w:rPr>
          <w:rFonts w:ascii="Garamond" w:hAnsi="Garamond"/>
          <w:sz w:val="22"/>
          <w:szCs w:val="22"/>
        </w:rPr>
        <w:t xml:space="preserve"> sought to </w:t>
      </w:r>
      <w:r w:rsidR="00B50D56" w:rsidRPr="00A55F3A">
        <w:rPr>
          <w:rFonts w:ascii="Garamond" w:hAnsi="Garamond"/>
          <w:sz w:val="22"/>
          <w:szCs w:val="22"/>
        </w:rPr>
        <w:t xml:space="preserve">strike a </w:t>
      </w:r>
      <w:r w:rsidR="00A45B1E" w:rsidRPr="00A55F3A">
        <w:rPr>
          <w:rFonts w:ascii="Garamond" w:hAnsi="Garamond"/>
          <w:sz w:val="22"/>
          <w:szCs w:val="22"/>
        </w:rPr>
        <w:t>balance between the violation of rights</w:t>
      </w:r>
      <w:r w:rsidR="00F77C91" w:rsidRPr="00A55F3A">
        <w:rPr>
          <w:rFonts w:ascii="Garamond" w:hAnsi="Garamond"/>
          <w:sz w:val="22"/>
          <w:szCs w:val="22"/>
        </w:rPr>
        <w:t xml:space="preserve"> and</w:t>
      </w:r>
      <w:r w:rsidR="00A45B1E" w:rsidRPr="00A55F3A">
        <w:rPr>
          <w:rFonts w:ascii="Garamond" w:hAnsi="Garamond"/>
          <w:sz w:val="22"/>
          <w:szCs w:val="22"/>
        </w:rPr>
        <w:t xml:space="preserve"> </w:t>
      </w:r>
      <w:r w:rsidR="00380B79" w:rsidRPr="00A55F3A">
        <w:rPr>
          <w:rFonts w:ascii="Garamond" w:hAnsi="Garamond"/>
          <w:sz w:val="22"/>
          <w:szCs w:val="22"/>
        </w:rPr>
        <w:t>the compelling</w:t>
      </w:r>
      <w:r w:rsidR="00B50D56" w:rsidRPr="00A55F3A">
        <w:rPr>
          <w:rFonts w:ascii="Garamond" w:hAnsi="Garamond"/>
          <w:sz w:val="22"/>
          <w:szCs w:val="22"/>
        </w:rPr>
        <w:t xml:space="preserve"> </w:t>
      </w:r>
      <w:r w:rsidR="00380B79" w:rsidRPr="00A55F3A">
        <w:rPr>
          <w:rFonts w:ascii="Garamond" w:hAnsi="Garamond"/>
          <w:sz w:val="22"/>
          <w:szCs w:val="22"/>
        </w:rPr>
        <w:t>demands of</w:t>
      </w:r>
      <w:r w:rsidR="00B50D56" w:rsidRPr="00A55F3A">
        <w:rPr>
          <w:rFonts w:ascii="Garamond" w:hAnsi="Garamond"/>
          <w:sz w:val="22"/>
          <w:szCs w:val="22"/>
        </w:rPr>
        <w:t xml:space="preserve"> </w:t>
      </w:r>
      <w:r w:rsidR="00380B79" w:rsidRPr="00A55F3A">
        <w:rPr>
          <w:rFonts w:ascii="Garamond" w:hAnsi="Garamond"/>
          <w:sz w:val="22"/>
          <w:szCs w:val="22"/>
        </w:rPr>
        <w:t xml:space="preserve">efficient civil </w:t>
      </w:r>
      <w:r w:rsidR="00380B79" w:rsidRPr="00A55F3A">
        <w:rPr>
          <w:rFonts w:ascii="Garamond" w:hAnsi="Garamond"/>
          <w:sz w:val="22"/>
          <w:szCs w:val="22"/>
        </w:rPr>
        <w:lastRenderedPageBreak/>
        <w:t>trial</w:t>
      </w:r>
      <w:r w:rsidRPr="00A55F3A">
        <w:rPr>
          <w:rFonts w:ascii="Garamond" w:hAnsi="Garamond"/>
          <w:sz w:val="22"/>
          <w:szCs w:val="22"/>
        </w:rPr>
        <w:t>.</w:t>
      </w:r>
      <w:bookmarkStart w:id="1" w:name="firstHeading"/>
      <w:bookmarkEnd w:id="1"/>
    </w:p>
    <w:p w14:paraId="5FCEED4A" w14:textId="50D7714C" w:rsidR="00605CE2" w:rsidRPr="00A55F3A" w:rsidRDefault="00593D4F" w:rsidP="00A55F3A">
      <w:pPr>
        <w:pStyle w:val="Heading2"/>
        <w:spacing w:line="480" w:lineRule="auto"/>
        <w:jc w:val="center"/>
        <w:rPr>
          <w:rFonts w:ascii="Garamond" w:hAnsi="Garamond"/>
        </w:rPr>
      </w:pPr>
      <w:r w:rsidRPr="00A55F3A">
        <w:rPr>
          <w:rFonts w:ascii="Garamond" w:hAnsi="Garamond"/>
        </w:rPr>
        <w:t>Introduction</w:t>
      </w:r>
    </w:p>
    <w:p w14:paraId="4E653C82" w14:textId="49F2498D" w:rsidR="00380B79" w:rsidRPr="00A55F3A" w:rsidDel="00197FA7" w:rsidRDefault="1FDEDE4F" w:rsidP="00A55F3A">
      <w:pPr>
        <w:pStyle w:val="Standard"/>
        <w:spacing w:line="480" w:lineRule="auto"/>
      </w:pPr>
      <w:r w:rsidRPr="00A67D3F">
        <w:rPr>
          <w:rFonts w:ascii="Garamond" w:eastAsia="Garamond" w:hAnsi="Garamond" w:cs="Garamond"/>
          <w:bCs w:val="0"/>
          <w:color w:val="auto"/>
        </w:rPr>
        <w:t xml:space="preserve">Italy, </w:t>
      </w:r>
      <w:r w:rsidR="00197FA7" w:rsidRPr="00A67D3F">
        <w:rPr>
          <w:rFonts w:ascii="Garamond" w:eastAsia="Garamond" w:hAnsi="Garamond" w:cs="Garamond"/>
          <w:bCs w:val="0"/>
          <w:color w:val="auto"/>
        </w:rPr>
        <w:t>According</w:t>
      </w:r>
      <w:r w:rsidR="00993A5D" w:rsidRPr="00A67D3F">
        <w:rPr>
          <w:rFonts w:ascii="Garamond" w:eastAsia="Garamond" w:hAnsi="Garamond" w:cs="Garamond"/>
          <w:bCs w:val="0"/>
          <w:color w:val="auto"/>
        </w:rPr>
        <w:t xml:space="preserve"> to the  Organisation for Economic Co-operation and Development </w:t>
      </w:r>
      <w:r w:rsidR="00993A5D" w:rsidRPr="00A67D3F">
        <w:rPr>
          <w:rStyle w:val="Emphasis"/>
          <w:rFonts w:ascii="Garamond" w:eastAsia="Garamond" w:hAnsi="Garamond" w:cs="Garamond"/>
          <w:bCs w:val="0"/>
          <w:i w:val="0"/>
          <w:iCs w:val="0"/>
          <w:color w:val="auto"/>
        </w:rPr>
        <w:t>Italy</w:t>
      </w:r>
      <w:r w:rsidRPr="00A67D3F">
        <w:rPr>
          <w:rStyle w:val="Emphasis"/>
          <w:rFonts w:ascii="Garamond" w:eastAsia="Garamond" w:hAnsi="Garamond" w:cs="Garamond"/>
          <w:bCs w:val="0"/>
          <w:i w:val="0"/>
          <w:iCs w:val="0"/>
          <w:color w:val="auto"/>
        </w:rPr>
        <w:t xml:space="preserve"> and </w:t>
      </w:r>
      <w:r w:rsidR="00993A5D" w:rsidRPr="00A67D3F">
        <w:rPr>
          <w:rStyle w:val="Emphasis"/>
          <w:rFonts w:ascii="Garamond" w:eastAsia="Garamond" w:hAnsi="Garamond" w:cs="Garamond"/>
          <w:bCs w:val="0"/>
          <w:i w:val="0"/>
          <w:iCs w:val="0"/>
          <w:color w:val="auto"/>
        </w:rPr>
        <w:t xml:space="preserve">by a way of comparison of other </w:t>
      </w:r>
      <w:r w:rsidR="00197FA7" w:rsidRPr="00A67D3F">
        <w:rPr>
          <w:rStyle w:val="Emphasis"/>
          <w:rFonts w:ascii="Garamond" w:eastAsia="Garamond" w:hAnsi="Garamond" w:cs="Garamond"/>
          <w:bCs w:val="0"/>
          <w:i w:val="0"/>
          <w:iCs w:val="0"/>
          <w:color w:val="auto"/>
        </w:rPr>
        <w:t>countries</w:t>
      </w:r>
      <w:r w:rsidR="00993A5D" w:rsidRPr="00A67D3F">
        <w:rPr>
          <w:rStyle w:val="Emphasis"/>
          <w:rFonts w:ascii="Garamond" w:eastAsia="Garamond" w:hAnsi="Garamond" w:cs="Garamond"/>
          <w:bCs w:val="0"/>
          <w:i w:val="0"/>
          <w:iCs w:val="0"/>
          <w:color w:val="auto"/>
        </w:rPr>
        <w:t>,  experiences</w:t>
      </w:r>
      <w:r w:rsidR="00197FA7" w:rsidRPr="00A67D3F">
        <w:rPr>
          <w:rStyle w:val="Emphasis"/>
          <w:rFonts w:ascii="Garamond" w:eastAsia="Garamond" w:hAnsi="Garamond" w:cs="Garamond"/>
          <w:bCs w:val="0"/>
          <w:i w:val="0"/>
          <w:iCs w:val="0"/>
          <w:color w:val="auto"/>
        </w:rPr>
        <w:t xml:space="preserve"> an </w:t>
      </w:r>
      <w:r w:rsidR="00993A5D" w:rsidRPr="00A67D3F">
        <w:rPr>
          <w:rStyle w:val="Emphasis"/>
          <w:rFonts w:ascii="Garamond" w:eastAsia="Garamond" w:hAnsi="Garamond" w:cs="Garamond"/>
          <w:bCs w:val="0"/>
          <w:i w:val="0"/>
          <w:iCs w:val="0"/>
          <w:color w:val="auto"/>
        </w:rPr>
        <w:t xml:space="preserve"> high number of c</w:t>
      </w:r>
      <w:r w:rsidR="3781DBE9" w:rsidRPr="00A67D3F">
        <w:rPr>
          <w:rStyle w:val="Emphasis"/>
          <w:rFonts w:ascii="Garamond" w:eastAsia="Garamond" w:hAnsi="Garamond" w:cs="Garamond"/>
          <w:bCs w:val="0"/>
          <w:i w:val="0"/>
          <w:iCs w:val="0"/>
          <w:color w:val="auto"/>
        </w:rPr>
        <w:t>ivil c</w:t>
      </w:r>
      <w:r w:rsidR="00993A5D" w:rsidRPr="00A67D3F">
        <w:rPr>
          <w:rStyle w:val="Emphasis"/>
          <w:rFonts w:ascii="Garamond" w:eastAsia="Garamond" w:hAnsi="Garamond" w:cs="Garamond"/>
          <w:bCs w:val="0"/>
          <w:i w:val="0"/>
          <w:iCs w:val="0"/>
          <w:color w:val="auto"/>
        </w:rPr>
        <w:t>ourt preceding delays and, as a corollary, high number of pending cases.</w:t>
      </w:r>
      <w:r w:rsidR="00993A5D" w:rsidRPr="00A67D3F">
        <w:rPr>
          <w:rStyle w:val="FootnoteReference"/>
          <w:rFonts w:ascii="Garamond" w:eastAsia="Garamond" w:hAnsi="Garamond" w:cs="Garamond"/>
          <w:bCs w:val="0"/>
        </w:rPr>
        <w:footnoteReference w:id="3"/>
      </w:r>
      <w:r w:rsidR="00993A5D" w:rsidRPr="00A67D3F">
        <w:rPr>
          <w:rStyle w:val="Emphasis"/>
          <w:rFonts w:ascii="Garamond" w:eastAsia="Garamond" w:hAnsi="Garamond" w:cs="Garamond"/>
          <w:bCs w:val="0"/>
          <w:i w:val="0"/>
          <w:iCs w:val="0"/>
        </w:rPr>
        <w:t xml:space="preserve"> </w:t>
      </w:r>
      <w:r w:rsidR="00197FA7" w:rsidRPr="00A67D3F">
        <w:rPr>
          <w:rStyle w:val="Emphasis"/>
          <w:rFonts w:ascii="Garamond" w:eastAsia="Garamond" w:hAnsi="Garamond" w:cs="Garamond"/>
          <w:bCs w:val="0"/>
          <w:i w:val="0"/>
          <w:iCs w:val="0"/>
        </w:rPr>
        <w:t xml:space="preserve">However, having  </w:t>
      </w:r>
      <w:r w:rsidR="00593D4F" w:rsidRPr="00A67D3F">
        <w:rPr>
          <w:rStyle w:val="Emphasis"/>
          <w:rFonts w:ascii="Garamond" w:eastAsia="Garamond" w:hAnsi="Garamond" w:cs="Garamond"/>
          <w:bCs w:val="0"/>
          <w:i w:val="0"/>
          <w:iCs w:val="0"/>
        </w:rPr>
        <w:t>a precise and objective representation of the relevant facts, within the limit of reasonableness,</w:t>
      </w:r>
      <w:r w:rsidR="005C09F8" w:rsidRPr="00A67D3F">
        <w:rPr>
          <w:rStyle w:val="FootnoteReference"/>
          <w:rFonts w:ascii="Garamond" w:eastAsia="Garamond" w:hAnsi="Garamond" w:cs="Garamond"/>
          <w:bCs w:val="0"/>
        </w:rPr>
        <w:footnoteReference w:id="4"/>
      </w:r>
      <w:r w:rsidR="00593D4F" w:rsidRPr="00A67D3F">
        <w:rPr>
          <w:rStyle w:val="Emphasis"/>
          <w:rFonts w:ascii="Garamond" w:eastAsia="Garamond" w:hAnsi="Garamond" w:cs="Garamond"/>
          <w:bCs w:val="0"/>
          <w:i w:val="0"/>
          <w:iCs w:val="0"/>
        </w:rPr>
        <w:t xml:space="preserve"> is essential to ensure the quality of </w:t>
      </w:r>
      <w:r w:rsidR="00566C1D" w:rsidRPr="00A67D3F">
        <w:rPr>
          <w:rStyle w:val="Emphasis"/>
          <w:rFonts w:ascii="Garamond" w:eastAsia="Garamond" w:hAnsi="Garamond" w:cs="Garamond"/>
          <w:bCs w:val="0"/>
          <w:i w:val="0"/>
          <w:iCs w:val="0"/>
        </w:rPr>
        <w:t>judicial</w:t>
      </w:r>
      <w:r w:rsidR="003567BF" w:rsidRPr="00A67D3F">
        <w:rPr>
          <w:rStyle w:val="Emphasis"/>
          <w:rFonts w:ascii="Garamond" w:eastAsia="Garamond" w:hAnsi="Garamond" w:cs="Garamond"/>
          <w:bCs w:val="0"/>
          <w:i w:val="0"/>
          <w:iCs w:val="0"/>
        </w:rPr>
        <w:t xml:space="preserve"> </w:t>
      </w:r>
      <w:r w:rsidR="00593D4F" w:rsidRPr="00A67D3F">
        <w:rPr>
          <w:rStyle w:val="Emphasis"/>
          <w:rFonts w:ascii="Garamond" w:eastAsia="Garamond" w:hAnsi="Garamond" w:cs="Garamond"/>
          <w:bCs w:val="0"/>
          <w:i w:val="0"/>
          <w:iCs w:val="0"/>
        </w:rPr>
        <w:t>decision</w:t>
      </w:r>
      <w:r w:rsidR="005817BF" w:rsidRPr="00A67D3F">
        <w:rPr>
          <w:rStyle w:val="Emphasis"/>
          <w:rFonts w:ascii="Garamond" w:eastAsia="Garamond" w:hAnsi="Garamond" w:cs="Garamond"/>
          <w:bCs w:val="0"/>
          <w:i w:val="0"/>
          <w:iCs w:val="0"/>
        </w:rPr>
        <w:t>s</w:t>
      </w:r>
      <w:r w:rsidR="00593D4F" w:rsidRPr="00A67D3F">
        <w:rPr>
          <w:rStyle w:val="Emphasis"/>
          <w:rFonts w:ascii="Garamond" w:eastAsia="Garamond" w:hAnsi="Garamond" w:cs="Garamond"/>
          <w:bCs w:val="0"/>
          <w:i w:val="0"/>
          <w:iCs w:val="0"/>
        </w:rPr>
        <w:t xml:space="preserve"> </w:t>
      </w:r>
      <w:r w:rsidR="00566C1D" w:rsidRPr="00A67D3F">
        <w:rPr>
          <w:rStyle w:val="Emphasis"/>
          <w:rFonts w:ascii="Garamond" w:eastAsia="Garamond" w:hAnsi="Garamond" w:cs="Garamond"/>
          <w:bCs w:val="0"/>
          <w:i w:val="0"/>
          <w:iCs w:val="0"/>
        </w:rPr>
        <w:t>in</w:t>
      </w:r>
      <w:r w:rsidR="003567BF" w:rsidRPr="00A67D3F">
        <w:rPr>
          <w:rStyle w:val="Emphasis"/>
          <w:rFonts w:ascii="Garamond" w:eastAsia="Garamond" w:hAnsi="Garamond" w:cs="Garamond"/>
          <w:bCs w:val="0"/>
          <w:i w:val="0"/>
          <w:iCs w:val="0"/>
        </w:rPr>
        <w:t xml:space="preserve"> </w:t>
      </w:r>
      <w:r w:rsidR="00593D4F" w:rsidRPr="00A67D3F">
        <w:rPr>
          <w:rStyle w:val="Emphasis"/>
          <w:rFonts w:ascii="Garamond" w:eastAsia="Garamond" w:hAnsi="Garamond" w:cs="Garamond"/>
          <w:bCs w:val="0"/>
          <w:i w:val="0"/>
          <w:iCs w:val="0"/>
        </w:rPr>
        <w:t xml:space="preserve">both the Italian and English </w:t>
      </w:r>
      <w:r w:rsidR="00D13877" w:rsidRPr="00A67D3F">
        <w:rPr>
          <w:rStyle w:val="Emphasis"/>
          <w:rFonts w:ascii="Garamond" w:eastAsia="Garamond" w:hAnsi="Garamond" w:cs="Garamond"/>
          <w:bCs w:val="0"/>
          <w:i w:val="0"/>
          <w:iCs w:val="0"/>
        </w:rPr>
        <w:t xml:space="preserve"> </w:t>
      </w:r>
      <w:r w:rsidR="00566C1D" w:rsidRPr="00A67D3F">
        <w:rPr>
          <w:rStyle w:val="Emphasis"/>
          <w:rFonts w:ascii="Garamond" w:eastAsia="Garamond" w:hAnsi="Garamond" w:cs="Garamond"/>
          <w:bCs w:val="0"/>
          <w:i w:val="0"/>
          <w:iCs w:val="0"/>
        </w:rPr>
        <w:t>civil cases</w:t>
      </w:r>
      <w:r w:rsidR="00993A5D" w:rsidRPr="00A67D3F">
        <w:rPr>
          <w:rStyle w:val="Emphasis"/>
          <w:rFonts w:ascii="Garamond" w:eastAsia="Garamond" w:hAnsi="Garamond" w:cs="Garamond"/>
          <w:bCs w:val="0"/>
          <w:i w:val="0"/>
          <w:iCs w:val="0"/>
        </w:rPr>
        <w:t xml:space="preserve">. </w:t>
      </w:r>
      <w:r w:rsidR="06E650E3" w:rsidRPr="00A67D3F">
        <w:rPr>
          <w:rFonts w:ascii="Garamond" w:eastAsia="Garamond" w:hAnsi="Garamond" w:cs="Garamond"/>
          <w:bCs w:val="0"/>
          <w:sz w:val="22"/>
          <w:szCs w:val="22"/>
        </w:rPr>
        <w:t xml:space="preserve"> </w:t>
      </w:r>
    </w:p>
    <w:p w14:paraId="19E94F93" w14:textId="1B75135F" w:rsidR="00605CE2" w:rsidRPr="00A55F3A" w:rsidRDefault="00197FA7" w:rsidP="00197FA7">
      <w:pPr>
        <w:pStyle w:val="Standard"/>
        <w:spacing w:line="480" w:lineRule="auto"/>
        <w:rPr>
          <w:rFonts w:ascii="Garamond" w:hAnsi="Garamond"/>
          <w:sz w:val="22"/>
          <w:szCs w:val="22"/>
        </w:rPr>
      </w:pPr>
      <w:r w:rsidRPr="00A67D3F">
        <w:rPr>
          <w:rStyle w:val="Emphasis"/>
          <w:rFonts w:ascii="Garamond" w:eastAsia="Garamond" w:hAnsi="Garamond" w:cs="Garamond"/>
          <w:bCs w:val="0"/>
          <w:i w:val="0"/>
          <w:iCs w:val="0"/>
        </w:rPr>
        <w:t>I</w:t>
      </w:r>
      <w:r w:rsidR="00593D4F" w:rsidRPr="00A67D3F">
        <w:rPr>
          <w:rStyle w:val="Emphasis"/>
          <w:rFonts w:ascii="Garamond" w:eastAsia="Garamond" w:hAnsi="Garamond" w:cs="Garamond"/>
          <w:bCs w:val="0"/>
          <w:i w:val="0"/>
          <w:iCs w:val="0"/>
        </w:rPr>
        <w:t>n relation to</w:t>
      </w:r>
      <w:r w:rsidR="004156FD" w:rsidRPr="00A67D3F">
        <w:rPr>
          <w:rStyle w:val="Emphasis"/>
          <w:rFonts w:ascii="Garamond" w:eastAsia="Garamond" w:hAnsi="Garamond" w:cs="Garamond"/>
          <w:bCs w:val="0"/>
          <w:i w:val="0"/>
          <w:iCs w:val="0"/>
        </w:rPr>
        <w:t xml:space="preserve"> the regime of</w:t>
      </w:r>
      <w:r w:rsidR="00593D4F" w:rsidRPr="00A67D3F">
        <w:rPr>
          <w:rStyle w:val="Emphasis"/>
          <w:rFonts w:ascii="Garamond" w:eastAsia="Garamond" w:hAnsi="Garamond" w:cs="Garamond"/>
          <w:bCs w:val="0"/>
          <w:i w:val="0"/>
          <w:iCs w:val="0"/>
        </w:rPr>
        <w:t xml:space="preserve"> </w:t>
      </w:r>
      <w:r w:rsidR="00291400" w:rsidRPr="00A67D3F">
        <w:rPr>
          <w:rStyle w:val="Emphasis"/>
          <w:rFonts w:ascii="Garamond" w:eastAsia="Garamond" w:hAnsi="Garamond" w:cs="Garamond"/>
          <w:bCs w:val="0"/>
          <w:i w:val="0"/>
          <w:iCs w:val="0"/>
        </w:rPr>
        <w:t>IOE</w:t>
      </w:r>
      <w:r w:rsidR="00B50D56" w:rsidRPr="00A67D3F">
        <w:rPr>
          <w:rStyle w:val="Emphasis"/>
          <w:rFonts w:ascii="Garamond" w:eastAsia="Garamond" w:hAnsi="Garamond" w:cs="Garamond"/>
          <w:bCs w:val="0"/>
          <w:i w:val="0"/>
          <w:iCs w:val="0"/>
        </w:rPr>
        <w:t>,</w:t>
      </w:r>
      <w:r w:rsidR="00593D4F" w:rsidRPr="00A67D3F">
        <w:rPr>
          <w:rStyle w:val="Emphasis"/>
          <w:rFonts w:ascii="Garamond" w:eastAsia="Garamond" w:hAnsi="Garamond" w:cs="Garamond"/>
          <w:bCs w:val="0"/>
          <w:i w:val="0"/>
          <w:iCs w:val="0"/>
        </w:rPr>
        <w:t xml:space="preserve"> the Italian and </w:t>
      </w:r>
      <w:r w:rsidR="00584F92" w:rsidRPr="00A67D3F">
        <w:rPr>
          <w:rStyle w:val="Emphasis"/>
          <w:rFonts w:ascii="Garamond" w:eastAsia="Garamond" w:hAnsi="Garamond" w:cs="Garamond"/>
          <w:bCs w:val="0"/>
          <w:i w:val="0"/>
          <w:iCs w:val="0"/>
        </w:rPr>
        <w:t xml:space="preserve">English </w:t>
      </w:r>
      <w:r w:rsidR="00D13877" w:rsidRPr="00A67D3F">
        <w:rPr>
          <w:rStyle w:val="Emphasis"/>
          <w:rFonts w:ascii="Garamond" w:eastAsia="Garamond" w:hAnsi="Garamond" w:cs="Garamond"/>
          <w:bCs w:val="0"/>
          <w:i w:val="0"/>
          <w:iCs w:val="0"/>
        </w:rPr>
        <w:t xml:space="preserve"> </w:t>
      </w:r>
      <w:r w:rsidR="00584F92" w:rsidRPr="00A67D3F">
        <w:rPr>
          <w:rStyle w:val="Emphasis"/>
          <w:rFonts w:ascii="Garamond" w:eastAsia="Garamond" w:hAnsi="Garamond" w:cs="Garamond"/>
          <w:bCs w:val="0"/>
          <w:i w:val="0"/>
          <w:iCs w:val="0"/>
        </w:rPr>
        <w:t>judges</w:t>
      </w:r>
      <w:r w:rsidR="00593D4F" w:rsidRPr="00A67D3F">
        <w:rPr>
          <w:rStyle w:val="Emphasis"/>
          <w:rFonts w:ascii="Garamond" w:eastAsia="Garamond" w:hAnsi="Garamond" w:cs="Garamond"/>
          <w:bCs w:val="0"/>
          <w:i w:val="0"/>
          <w:iCs w:val="0"/>
        </w:rPr>
        <w:t xml:space="preserve"> </w:t>
      </w:r>
      <w:r w:rsidR="00CF1D8E" w:rsidRPr="00A67D3F">
        <w:rPr>
          <w:rStyle w:val="Emphasis"/>
          <w:rFonts w:ascii="Garamond" w:eastAsia="Garamond" w:hAnsi="Garamond" w:cs="Garamond"/>
          <w:bCs w:val="0"/>
          <w:i w:val="0"/>
          <w:iCs w:val="0"/>
        </w:rPr>
        <w:t xml:space="preserve">adopted </w:t>
      </w:r>
      <w:r w:rsidR="00593D4F" w:rsidRPr="00A67D3F">
        <w:rPr>
          <w:rStyle w:val="Emphasis"/>
          <w:rFonts w:ascii="Garamond" w:eastAsia="Garamond" w:hAnsi="Garamond" w:cs="Garamond"/>
          <w:bCs w:val="0"/>
          <w:i w:val="0"/>
          <w:iCs w:val="0"/>
        </w:rPr>
        <w:t>different</w:t>
      </w:r>
      <w:r w:rsidR="00B50D56" w:rsidRPr="00A67D3F">
        <w:rPr>
          <w:rStyle w:val="Emphasis"/>
          <w:rFonts w:ascii="Garamond" w:eastAsia="Garamond" w:hAnsi="Garamond" w:cs="Garamond"/>
          <w:bCs w:val="0"/>
          <w:i w:val="0"/>
          <w:iCs w:val="0"/>
        </w:rPr>
        <w:t xml:space="preserve"> </w:t>
      </w:r>
      <w:r w:rsidR="00380B79" w:rsidRPr="00A67D3F">
        <w:rPr>
          <w:rStyle w:val="Emphasis"/>
          <w:rFonts w:ascii="Garamond" w:eastAsia="Garamond" w:hAnsi="Garamond" w:cs="Garamond"/>
          <w:bCs w:val="0"/>
          <w:i w:val="0"/>
          <w:iCs w:val="0"/>
        </w:rPr>
        <w:t>procedural stances</w:t>
      </w:r>
      <w:r w:rsidR="00CF1D8E" w:rsidRPr="00A67D3F">
        <w:rPr>
          <w:rStyle w:val="Emphasis"/>
          <w:rFonts w:ascii="Garamond" w:eastAsia="Garamond" w:hAnsi="Garamond" w:cs="Garamond"/>
          <w:bCs w:val="0"/>
          <w:i w:val="0"/>
          <w:iCs w:val="0"/>
        </w:rPr>
        <w:t>.</w:t>
      </w:r>
      <w:r w:rsidRPr="00A67D3F">
        <w:rPr>
          <w:rFonts w:ascii="Garamond" w:eastAsia="Garamond" w:hAnsi="Garamond" w:cs="Garamond"/>
          <w:bCs w:val="0"/>
        </w:rPr>
        <w:t xml:space="preserve"> </w:t>
      </w:r>
      <w:r w:rsidR="00593D4F" w:rsidRPr="00A67D3F">
        <w:rPr>
          <w:rFonts w:ascii="Garamond" w:eastAsia="Garamond" w:hAnsi="Garamond" w:cs="Garamond"/>
          <w:sz w:val="22"/>
          <w:szCs w:val="22"/>
        </w:rPr>
        <w:t xml:space="preserve">In Italy, submitting </w:t>
      </w:r>
      <w:r w:rsidR="004156FD" w:rsidRPr="00A67D3F">
        <w:rPr>
          <w:rFonts w:ascii="Garamond" w:eastAsia="Garamond" w:hAnsi="Garamond" w:cs="Garamond"/>
          <w:sz w:val="22"/>
          <w:szCs w:val="22"/>
        </w:rPr>
        <w:t xml:space="preserve">an </w:t>
      </w:r>
      <w:r w:rsidR="00291400" w:rsidRPr="00A67D3F">
        <w:rPr>
          <w:rFonts w:ascii="Garamond" w:eastAsia="Garamond" w:hAnsi="Garamond" w:cs="Garamond"/>
          <w:sz w:val="22"/>
          <w:szCs w:val="22"/>
        </w:rPr>
        <w:t>IOE</w:t>
      </w:r>
      <w:r w:rsidR="00593D4F" w:rsidRPr="00A67D3F">
        <w:rPr>
          <w:rFonts w:ascii="Garamond" w:eastAsia="Garamond" w:hAnsi="Garamond" w:cs="Garamond"/>
          <w:sz w:val="22"/>
          <w:szCs w:val="22"/>
        </w:rPr>
        <w:t xml:space="preserve"> in court is generally perceived as antithetical with the </w:t>
      </w:r>
      <w:r w:rsidR="00CF1D8E" w:rsidRPr="00A67D3F">
        <w:rPr>
          <w:rFonts w:ascii="Garamond" w:eastAsia="Garamond" w:hAnsi="Garamond" w:cs="Garamond"/>
          <w:sz w:val="22"/>
          <w:szCs w:val="22"/>
        </w:rPr>
        <w:t xml:space="preserve">deontological </w:t>
      </w:r>
      <w:r w:rsidR="00593D4F" w:rsidRPr="00A67D3F">
        <w:rPr>
          <w:rFonts w:ascii="Garamond" w:eastAsia="Garamond" w:hAnsi="Garamond" w:cs="Garamond"/>
          <w:sz w:val="22"/>
          <w:szCs w:val="22"/>
        </w:rPr>
        <w:t>functions of a judicial system.</w:t>
      </w:r>
      <w:r w:rsidR="005C09F8" w:rsidRPr="00A67D3F">
        <w:rPr>
          <w:rStyle w:val="FootnoteReference"/>
          <w:rFonts w:ascii="Garamond" w:eastAsia="Garamond" w:hAnsi="Garamond" w:cs="Garamond"/>
          <w:sz w:val="22"/>
          <w:szCs w:val="22"/>
        </w:rPr>
        <w:footnoteReference w:id="5"/>
      </w:r>
      <w:r w:rsidR="00593D4F" w:rsidRPr="00A67D3F">
        <w:rPr>
          <w:rFonts w:ascii="Garamond" w:eastAsia="Garamond" w:hAnsi="Garamond" w:cs="Garamond"/>
          <w:sz w:val="22"/>
          <w:szCs w:val="22"/>
        </w:rPr>
        <w:t xml:space="preserve"> For instance, the Court of Appeal of Milan in deciding the admissibility of a stolen document explicitly refused to consider the legal effects of illicitly obtained evidence.</w:t>
      </w:r>
      <w:r w:rsidR="00DA40A9" w:rsidRPr="00A67D3F">
        <w:rPr>
          <w:rStyle w:val="FootnoteReference"/>
          <w:rFonts w:ascii="Garamond" w:eastAsia="Garamond" w:hAnsi="Garamond" w:cs="Garamond"/>
          <w:sz w:val="22"/>
          <w:szCs w:val="22"/>
        </w:rPr>
        <w:footnoteReference w:id="6"/>
      </w:r>
      <w:r w:rsidR="00DA40A9" w:rsidRPr="00A67D3F">
        <w:rPr>
          <w:rStyle w:val="FootnoteReference"/>
          <w:rFonts w:ascii="Garamond" w:eastAsia="Garamond" w:hAnsi="Garamond" w:cs="Garamond"/>
          <w:sz w:val="22"/>
          <w:szCs w:val="22"/>
        </w:rPr>
        <w:t xml:space="preserve"> </w:t>
      </w:r>
      <w:r w:rsidR="00593D4F" w:rsidRPr="00A67D3F">
        <w:rPr>
          <w:rFonts w:ascii="Garamond" w:eastAsia="Garamond" w:hAnsi="Garamond" w:cs="Garamond"/>
          <w:sz w:val="22"/>
          <w:szCs w:val="22"/>
        </w:rPr>
        <w:t xml:space="preserve"> The 1934 Court of Appeal decision to limit illicit activities of the parties by refusing to consider the effect of such activities could be </w:t>
      </w:r>
      <w:r w:rsidR="00291400" w:rsidRPr="00A67D3F">
        <w:rPr>
          <w:rFonts w:ascii="Garamond" w:eastAsia="Garamond" w:hAnsi="Garamond" w:cs="Garamond"/>
          <w:sz w:val="22"/>
          <w:szCs w:val="22"/>
        </w:rPr>
        <w:t xml:space="preserve">justified </w:t>
      </w:r>
      <w:r w:rsidR="004156FD" w:rsidRPr="00A67D3F">
        <w:rPr>
          <w:rFonts w:ascii="Garamond" w:eastAsia="Garamond" w:hAnsi="Garamond" w:cs="Garamond"/>
          <w:sz w:val="22"/>
          <w:szCs w:val="22"/>
        </w:rPr>
        <w:t>by</w:t>
      </w:r>
      <w:r w:rsidR="005817BF" w:rsidRPr="00A67D3F">
        <w:rPr>
          <w:rStyle w:val="Emphasis"/>
          <w:rFonts w:ascii="Garamond" w:eastAsia="Garamond" w:hAnsi="Garamond" w:cs="Garamond"/>
          <w:i w:val="0"/>
          <w:iCs w:val="0"/>
          <w:sz w:val="22"/>
          <w:szCs w:val="22"/>
        </w:rPr>
        <w:t xml:space="preserve"> an</w:t>
      </w:r>
      <w:r w:rsidR="00593D4F" w:rsidRPr="00A67D3F">
        <w:rPr>
          <w:rStyle w:val="Emphasis"/>
          <w:rFonts w:ascii="Garamond" w:eastAsia="Garamond" w:hAnsi="Garamond" w:cs="Garamond"/>
          <w:i w:val="0"/>
          <w:iCs w:val="0"/>
          <w:sz w:val="22"/>
          <w:szCs w:val="22"/>
        </w:rPr>
        <w:t xml:space="preserve"> attempt to uphold the rule of law during a dark period of Italian history. Yet the rigid applications of </w:t>
      </w:r>
      <w:r w:rsidR="00291400" w:rsidRPr="00A67D3F">
        <w:rPr>
          <w:rStyle w:val="Emphasis"/>
          <w:rFonts w:ascii="Garamond" w:eastAsia="Garamond" w:hAnsi="Garamond" w:cs="Garamond"/>
          <w:i w:val="0"/>
          <w:iCs w:val="0"/>
          <w:sz w:val="22"/>
          <w:szCs w:val="22"/>
        </w:rPr>
        <w:t>IOE</w:t>
      </w:r>
      <w:r w:rsidR="00593D4F" w:rsidRPr="00A67D3F">
        <w:rPr>
          <w:rStyle w:val="Emphasis"/>
          <w:rFonts w:ascii="Garamond" w:eastAsia="Garamond" w:hAnsi="Garamond" w:cs="Garamond"/>
          <w:i w:val="0"/>
          <w:iCs w:val="0"/>
          <w:sz w:val="22"/>
          <w:szCs w:val="22"/>
        </w:rPr>
        <w:t>, which might be intended as one of the manifestations of an attempt to protect civil values</w:t>
      </w:r>
      <w:r w:rsidR="00CB1DD6" w:rsidRPr="00A67D3F">
        <w:rPr>
          <w:rStyle w:val="Emphasis"/>
          <w:rFonts w:ascii="Garamond" w:eastAsia="Garamond" w:hAnsi="Garamond" w:cs="Garamond"/>
          <w:i w:val="0"/>
          <w:iCs w:val="0"/>
          <w:sz w:val="22"/>
          <w:szCs w:val="22"/>
        </w:rPr>
        <w:t>,</w:t>
      </w:r>
      <w:r w:rsidR="00593D4F" w:rsidRPr="00A67D3F">
        <w:rPr>
          <w:rStyle w:val="Emphasis"/>
          <w:rFonts w:ascii="Garamond" w:eastAsia="Garamond" w:hAnsi="Garamond" w:cs="Garamond"/>
          <w:i w:val="0"/>
          <w:iCs w:val="0"/>
          <w:sz w:val="22"/>
          <w:szCs w:val="22"/>
        </w:rPr>
        <w:t xml:space="preserve"> has an impact on the</w:t>
      </w:r>
      <w:r w:rsidR="00566C1D" w:rsidRPr="00A67D3F">
        <w:rPr>
          <w:rStyle w:val="Emphasis"/>
          <w:rFonts w:ascii="Garamond" w:eastAsia="Garamond" w:hAnsi="Garamond" w:cs="Garamond"/>
          <w:i w:val="0"/>
          <w:iCs w:val="0"/>
          <w:sz w:val="22"/>
          <w:szCs w:val="22"/>
        </w:rPr>
        <w:t xml:space="preserve"> present</w:t>
      </w:r>
      <w:r w:rsidR="003567BF" w:rsidRPr="00A67D3F">
        <w:rPr>
          <w:rStyle w:val="Emphasis"/>
          <w:rFonts w:ascii="Garamond" w:eastAsia="Garamond" w:hAnsi="Garamond" w:cs="Garamond"/>
          <w:i w:val="0"/>
          <w:iCs w:val="0"/>
          <w:sz w:val="22"/>
          <w:szCs w:val="22"/>
        </w:rPr>
        <w:t xml:space="preserve"> </w:t>
      </w:r>
      <w:r w:rsidR="00593D4F" w:rsidRPr="00A67D3F">
        <w:rPr>
          <w:rStyle w:val="Emphasis"/>
          <w:rFonts w:ascii="Garamond" w:eastAsia="Garamond" w:hAnsi="Garamond" w:cs="Garamond"/>
          <w:i w:val="0"/>
          <w:iCs w:val="0"/>
          <w:sz w:val="22"/>
          <w:szCs w:val="22"/>
        </w:rPr>
        <w:t>efficiency and</w:t>
      </w:r>
      <w:r w:rsidR="00566C1D" w:rsidRPr="00A67D3F">
        <w:rPr>
          <w:rStyle w:val="Emphasis"/>
          <w:rFonts w:ascii="Garamond" w:eastAsia="Garamond" w:hAnsi="Garamond" w:cs="Garamond"/>
          <w:i w:val="0"/>
          <w:iCs w:val="0"/>
          <w:sz w:val="22"/>
          <w:szCs w:val="22"/>
        </w:rPr>
        <w:t>,</w:t>
      </w:r>
      <w:r w:rsidR="00593D4F" w:rsidRPr="00A67D3F">
        <w:rPr>
          <w:rStyle w:val="Emphasis"/>
          <w:rFonts w:ascii="Garamond" w:eastAsia="Garamond" w:hAnsi="Garamond" w:cs="Garamond"/>
          <w:i w:val="0"/>
          <w:iCs w:val="0"/>
          <w:sz w:val="22"/>
          <w:szCs w:val="22"/>
        </w:rPr>
        <w:t xml:space="preserve"> perhaps</w:t>
      </w:r>
      <w:r w:rsidR="00566C1D" w:rsidRPr="00A67D3F">
        <w:rPr>
          <w:rStyle w:val="Emphasis"/>
          <w:rFonts w:ascii="Garamond" w:eastAsia="Garamond" w:hAnsi="Garamond" w:cs="Garamond"/>
          <w:i w:val="0"/>
          <w:iCs w:val="0"/>
          <w:sz w:val="22"/>
          <w:szCs w:val="22"/>
        </w:rPr>
        <w:t>,</w:t>
      </w:r>
      <w:r w:rsidR="00593D4F" w:rsidRPr="00A67D3F">
        <w:rPr>
          <w:rStyle w:val="Emphasis"/>
          <w:rFonts w:ascii="Garamond" w:eastAsia="Garamond" w:hAnsi="Garamond" w:cs="Garamond"/>
          <w:i w:val="0"/>
          <w:iCs w:val="0"/>
          <w:sz w:val="22"/>
          <w:szCs w:val="22"/>
        </w:rPr>
        <w:t xml:space="preserve"> the esteem of the Italian civil courts. </w:t>
      </w:r>
    </w:p>
    <w:p w14:paraId="2E7D9042" w14:textId="362A951D" w:rsidR="00605CE2" w:rsidRPr="00A55F3A" w:rsidRDefault="00593D4F" w:rsidP="00A55F3A">
      <w:pPr>
        <w:pStyle w:val="Standard"/>
        <w:spacing w:line="480" w:lineRule="auto"/>
        <w:rPr>
          <w:rFonts w:ascii="Garamond" w:hAnsi="Garamond"/>
          <w:sz w:val="22"/>
          <w:szCs w:val="22"/>
        </w:rPr>
      </w:pPr>
      <w:r w:rsidRPr="00A55F3A">
        <w:rPr>
          <w:rStyle w:val="Emphasis"/>
          <w:rFonts w:ascii="Garamond" w:hAnsi="Garamond"/>
          <w:i w:val="0"/>
          <w:iCs w:val="0"/>
          <w:sz w:val="22"/>
          <w:szCs w:val="22"/>
        </w:rPr>
        <w:t xml:space="preserve">For instance, the insistence on excluding without evaluation </w:t>
      </w:r>
      <w:r w:rsidR="00291400" w:rsidRPr="00A55F3A">
        <w:rPr>
          <w:rStyle w:val="Emphasis"/>
          <w:rFonts w:ascii="Garamond" w:hAnsi="Garamond"/>
          <w:i w:val="0"/>
          <w:iCs w:val="0"/>
          <w:sz w:val="22"/>
          <w:szCs w:val="22"/>
        </w:rPr>
        <w:t>IOE</w:t>
      </w:r>
      <w:r w:rsidRPr="00A55F3A">
        <w:rPr>
          <w:rStyle w:val="Emphasis"/>
          <w:rFonts w:ascii="Garamond" w:hAnsi="Garamond"/>
          <w:i w:val="0"/>
          <w:iCs w:val="0"/>
          <w:sz w:val="22"/>
          <w:szCs w:val="22"/>
        </w:rPr>
        <w:t xml:space="preserve"> ha</w:t>
      </w:r>
      <w:r w:rsidR="005817BF" w:rsidRPr="00A55F3A">
        <w:rPr>
          <w:rStyle w:val="Emphasis"/>
          <w:rFonts w:ascii="Garamond" w:hAnsi="Garamond"/>
          <w:i w:val="0"/>
          <w:iCs w:val="0"/>
          <w:sz w:val="22"/>
          <w:szCs w:val="22"/>
        </w:rPr>
        <w:t>s</w:t>
      </w:r>
      <w:r w:rsidRPr="00A55F3A">
        <w:rPr>
          <w:rStyle w:val="Emphasis"/>
          <w:rFonts w:ascii="Garamond" w:hAnsi="Garamond"/>
          <w:i w:val="0"/>
          <w:iCs w:val="0"/>
          <w:sz w:val="22"/>
          <w:szCs w:val="22"/>
        </w:rPr>
        <w:t xml:space="preserve"> led researchers to label some civil procedures experts as verofobes.</w:t>
      </w:r>
      <w:r w:rsidRPr="00A55F3A">
        <w:rPr>
          <w:rStyle w:val="FootnoteReference"/>
          <w:rFonts w:ascii="Garamond" w:hAnsi="Garamond"/>
          <w:sz w:val="22"/>
          <w:szCs w:val="22"/>
        </w:rPr>
        <w:footnoteReference w:id="7"/>
      </w:r>
      <w:r w:rsidRPr="00A55F3A">
        <w:rPr>
          <w:rStyle w:val="Emphasis"/>
          <w:rFonts w:ascii="Garamond" w:hAnsi="Garamond"/>
          <w:i w:val="0"/>
          <w:iCs w:val="0"/>
          <w:sz w:val="22"/>
          <w:szCs w:val="22"/>
        </w:rPr>
        <w:t xml:space="preserve"> The </w:t>
      </w:r>
      <w:r w:rsidR="008B345B" w:rsidRPr="00A55F3A">
        <w:rPr>
          <w:rStyle w:val="Emphasis"/>
          <w:rFonts w:ascii="Garamond" w:hAnsi="Garamond"/>
          <w:i w:val="0"/>
          <w:iCs w:val="0"/>
          <w:sz w:val="22"/>
          <w:szCs w:val="22"/>
        </w:rPr>
        <w:t>term, which</w:t>
      </w:r>
      <w:r w:rsidRPr="00A55F3A">
        <w:rPr>
          <w:rStyle w:val="Emphasis"/>
          <w:rFonts w:ascii="Garamond" w:hAnsi="Garamond"/>
          <w:i w:val="0"/>
          <w:iCs w:val="0"/>
          <w:sz w:val="22"/>
          <w:szCs w:val="22"/>
        </w:rPr>
        <w:t xml:space="preserve"> Michele Taruffo takes from </w:t>
      </w:r>
      <w:r w:rsidR="00AB5488" w:rsidRPr="00A55F3A">
        <w:rPr>
          <w:rStyle w:val="Emphasis"/>
          <w:rFonts w:ascii="Garamond" w:hAnsi="Garamond"/>
          <w:i w:val="0"/>
          <w:iCs w:val="0"/>
          <w:sz w:val="22"/>
          <w:szCs w:val="22"/>
        </w:rPr>
        <w:lastRenderedPageBreak/>
        <w:t>Goldman’s</w:t>
      </w:r>
      <w:r w:rsidRPr="00A55F3A">
        <w:rPr>
          <w:rStyle w:val="Emphasis"/>
          <w:rFonts w:ascii="Garamond" w:hAnsi="Garamond"/>
          <w:i w:val="0"/>
          <w:iCs w:val="0"/>
          <w:sz w:val="22"/>
          <w:szCs w:val="22"/>
        </w:rPr>
        <w:t xml:space="preserve"> Knowledge in the Social World,</w:t>
      </w:r>
      <w:r w:rsidR="008D558A" w:rsidRPr="00A55F3A">
        <w:rPr>
          <w:rStyle w:val="FootnoteReference"/>
          <w:rFonts w:ascii="Garamond" w:hAnsi="Garamond"/>
          <w:sz w:val="22"/>
          <w:szCs w:val="22"/>
        </w:rPr>
        <w:footnoteReference w:id="8"/>
      </w:r>
      <w:r w:rsidRPr="00A55F3A">
        <w:rPr>
          <w:rStyle w:val="Emphasis"/>
          <w:rFonts w:ascii="Garamond" w:hAnsi="Garamond"/>
          <w:i w:val="0"/>
          <w:iCs w:val="0"/>
          <w:sz w:val="22"/>
          <w:szCs w:val="22"/>
        </w:rPr>
        <w:t xml:space="preserve"> suggests that a large section of Italian doctrine </w:t>
      </w:r>
      <w:r w:rsidR="00CF1D8E" w:rsidRPr="00A55F3A">
        <w:rPr>
          <w:rStyle w:val="Emphasis"/>
          <w:rFonts w:ascii="Garamond" w:hAnsi="Garamond"/>
          <w:i w:val="0"/>
          <w:iCs w:val="0"/>
          <w:sz w:val="22"/>
          <w:szCs w:val="22"/>
        </w:rPr>
        <w:t>(</w:t>
      </w:r>
      <w:r w:rsidRPr="00A55F3A">
        <w:rPr>
          <w:rStyle w:val="Emphasis"/>
          <w:rFonts w:ascii="Garamond" w:hAnsi="Garamond"/>
          <w:i w:val="0"/>
          <w:iCs w:val="0"/>
          <w:sz w:val="22"/>
          <w:szCs w:val="22"/>
        </w:rPr>
        <w:t>and of the judiciary</w:t>
      </w:r>
      <w:r w:rsidR="00CF1D8E" w:rsidRPr="00A55F3A">
        <w:rPr>
          <w:rStyle w:val="Emphasis"/>
          <w:rFonts w:ascii="Garamond" w:hAnsi="Garamond"/>
          <w:i w:val="0"/>
          <w:iCs w:val="0"/>
          <w:sz w:val="22"/>
          <w:szCs w:val="22"/>
        </w:rPr>
        <w:t>)</w:t>
      </w:r>
      <w:r w:rsidR="003567BF" w:rsidRPr="00A55F3A">
        <w:rPr>
          <w:rStyle w:val="Emphasis"/>
          <w:rFonts w:ascii="Garamond" w:hAnsi="Garamond"/>
          <w:i w:val="0"/>
          <w:iCs w:val="0"/>
          <w:sz w:val="22"/>
          <w:szCs w:val="22"/>
        </w:rPr>
        <w:t xml:space="preserve"> </w:t>
      </w:r>
      <w:r w:rsidR="00CF1D8E" w:rsidRPr="00A55F3A">
        <w:rPr>
          <w:rStyle w:val="Emphasis"/>
          <w:rFonts w:ascii="Garamond" w:hAnsi="Garamond"/>
          <w:i w:val="0"/>
          <w:iCs w:val="0"/>
          <w:sz w:val="22"/>
          <w:szCs w:val="22"/>
        </w:rPr>
        <w:t>mechanically</w:t>
      </w:r>
      <w:r w:rsidR="003567BF" w:rsidRPr="00A55F3A">
        <w:rPr>
          <w:rStyle w:val="Emphasis"/>
          <w:rFonts w:ascii="Garamond" w:hAnsi="Garamond"/>
          <w:i w:val="0"/>
          <w:iCs w:val="0"/>
          <w:sz w:val="22"/>
          <w:szCs w:val="22"/>
        </w:rPr>
        <w:t xml:space="preserve"> </w:t>
      </w:r>
      <w:r w:rsidRPr="00A55F3A">
        <w:rPr>
          <w:rStyle w:val="Emphasis"/>
          <w:rFonts w:ascii="Garamond" w:hAnsi="Garamond"/>
          <w:i w:val="0"/>
          <w:iCs w:val="0"/>
          <w:sz w:val="22"/>
          <w:szCs w:val="22"/>
        </w:rPr>
        <w:t>uphold</w:t>
      </w:r>
      <w:r w:rsidR="005817BF" w:rsidRPr="00A55F3A">
        <w:rPr>
          <w:rStyle w:val="Emphasis"/>
          <w:rFonts w:ascii="Garamond" w:hAnsi="Garamond"/>
          <w:i w:val="0"/>
          <w:iCs w:val="0"/>
          <w:sz w:val="22"/>
          <w:szCs w:val="22"/>
        </w:rPr>
        <w:t>s</w:t>
      </w:r>
      <w:r w:rsidR="003567BF" w:rsidRPr="00A55F3A">
        <w:rPr>
          <w:rStyle w:val="Emphasis"/>
          <w:rFonts w:ascii="Garamond" w:hAnsi="Garamond"/>
          <w:i w:val="0"/>
          <w:iCs w:val="0"/>
          <w:sz w:val="22"/>
          <w:szCs w:val="22"/>
        </w:rPr>
        <w:t xml:space="preserve"> </w:t>
      </w:r>
      <w:r w:rsidR="00380B79" w:rsidRPr="00A55F3A">
        <w:rPr>
          <w:rStyle w:val="Emphasis"/>
          <w:rFonts w:ascii="Garamond" w:hAnsi="Garamond"/>
          <w:i w:val="0"/>
          <w:iCs w:val="0"/>
          <w:sz w:val="22"/>
          <w:szCs w:val="22"/>
        </w:rPr>
        <w:t>principles</w:t>
      </w:r>
      <w:r w:rsidR="00D13877">
        <w:rPr>
          <w:rStyle w:val="Emphasis"/>
          <w:rFonts w:ascii="Garamond" w:hAnsi="Garamond"/>
          <w:i w:val="0"/>
          <w:iCs w:val="0"/>
          <w:sz w:val="22"/>
          <w:szCs w:val="22"/>
        </w:rPr>
        <w:t xml:space="preserve">,  </w:t>
      </w:r>
      <w:r w:rsidR="00AA60BA">
        <w:rPr>
          <w:rStyle w:val="Emphasis"/>
          <w:rFonts w:ascii="Garamond" w:hAnsi="Garamond"/>
          <w:i w:val="0"/>
          <w:iCs w:val="0"/>
          <w:sz w:val="22"/>
          <w:szCs w:val="22"/>
        </w:rPr>
        <w:t xml:space="preserve"> such the one that force the court to accept only   legally obtained  evidence</w:t>
      </w:r>
      <w:r w:rsidR="00D857B3">
        <w:rPr>
          <w:rStyle w:val="Emphasis"/>
          <w:rFonts w:ascii="Garamond" w:hAnsi="Garamond"/>
          <w:i w:val="0"/>
          <w:iCs w:val="0"/>
          <w:sz w:val="22"/>
          <w:szCs w:val="22"/>
        </w:rPr>
        <w:t xml:space="preserve">, </w:t>
      </w:r>
      <w:r w:rsidR="00D13877">
        <w:rPr>
          <w:rStyle w:val="Emphasis"/>
          <w:rFonts w:ascii="Garamond" w:hAnsi="Garamond"/>
          <w:i w:val="0"/>
          <w:iCs w:val="0"/>
          <w:sz w:val="22"/>
          <w:szCs w:val="22"/>
        </w:rPr>
        <w:t xml:space="preserve"> </w:t>
      </w:r>
      <w:r w:rsidR="00CF1D8E" w:rsidRPr="00A55F3A">
        <w:rPr>
          <w:rStyle w:val="Emphasis"/>
          <w:rFonts w:ascii="Garamond" w:hAnsi="Garamond"/>
          <w:i w:val="0"/>
          <w:iCs w:val="0"/>
          <w:sz w:val="22"/>
          <w:szCs w:val="22"/>
        </w:rPr>
        <w:t xml:space="preserve"> hi</w:t>
      </w:r>
      <w:r w:rsidR="00F77C91" w:rsidRPr="00A55F3A">
        <w:rPr>
          <w:rStyle w:val="Emphasis"/>
          <w:rFonts w:ascii="Garamond" w:hAnsi="Garamond"/>
          <w:i w:val="0"/>
          <w:iCs w:val="0"/>
          <w:sz w:val="22"/>
          <w:szCs w:val="22"/>
        </w:rPr>
        <w:t>n</w:t>
      </w:r>
      <w:r w:rsidR="00CF1D8E" w:rsidRPr="00A55F3A">
        <w:rPr>
          <w:rStyle w:val="Emphasis"/>
          <w:rFonts w:ascii="Garamond" w:hAnsi="Garamond"/>
          <w:i w:val="0"/>
          <w:iCs w:val="0"/>
          <w:sz w:val="22"/>
          <w:szCs w:val="22"/>
        </w:rPr>
        <w:t>der the</w:t>
      </w:r>
      <w:r w:rsidR="00380B79" w:rsidRPr="00A55F3A">
        <w:rPr>
          <w:rStyle w:val="Emphasis"/>
          <w:rFonts w:ascii="Garamond" w:hAnsi="Garamond"/>
          <w:i w:val="0"/>
          <w:iCs w:val="0"/>
          <w:sz w:val="22"/>
          <w:szCs w:val="22"/>
        </w:rPr>
        <w:t xml:space="preserve"> functioning </w:t>
      </w:r>
      <w:r w:rsidR="00F77C91" w:rsidRPr="00A55F3A">
        <w:rPr>
          <w:rStyle w:val="Emphasis"/>
          <w:rFonts w:ascii="Garamond" w:hAnsi="Garamond"/>
          <w:i w:val="0"/>
          <w:iCs w:val="0"/>
          <w:sz w:val="22"/>
          <w:szCs w:val="22"/>
        </w:rPr>
        <w:t>of</w:t>
      </w:r>
      <w:r w:rsidR="003567BF" w:rsidRPr="00A55F3A">
        <w:rPr>
          <w:rStyle w:val="Emphasis"/>
          <w:rFonts w:ascii="Garamond" w:hAnsi="Garamond"/>
          <w:i w:val="0"/>
          <w:iCs w:val="0"/>
          <w:sz w:val="22"/>
          <w:szCs w:val="22"/>
        </w:rPr>
        <w:t xml:space="preserve"> </w:t>
      </w:r>
      <w:r w:rsidR="008B345B" w:rsidRPr="00A55F3A">
        <w:rPr>
          <w:rStyle w:val="Emphasis"/>
          <w:rFonts w:ascii="Garamond" w:hAnsi="Garamond"/>
          <w:i w:val="0"/>
          <w:iCs w:val="0"/>
          <w:sz w:val="22"/>
          <w:szCs w:val="22"/>
        </w:rPr>
        <w:t xml:space="preserve">a </w:t>
      </w:r>
      <w:r w:rsidR="00566C1D" w:rsidRPr="00A55F3A">
        <w:rPr>
          <w:rStyle w:val="Emphasis"/>
          <w:rFonts w:ascii="Garamond" w:hAnsi="Garamond"/>
          <w:i w:val="0"/>
          <w:iCs w:val="0"/>
          <w:sz w:val="22"/>
          <w:szCs w:val="22"/>
        </w:rPr>
        <w:t>civil justice system</w:t>
      </w:r>
      <w:r w:rsidR="00380B79" w:rsidRPr="00A55F3A">
        <w:rPr>
          <w:rStyle w:val="Emphasis"/>
          <w:rFonts w:ascii="Garamond" w:hAnsi="Garamond"/>
          <w:i w:val="0"/>
          <w:iCs w:val="0"/>
          <w:sz w:val="22"/>
          <w:szCs w:val="22"/>
        </w:rPr>
        <w:t xml:space="preserve"> </w:t>
      </w:r>
      <w:r w:rsidR="00D13877">
        <w:rPr>
          <w:rStyle w:val="Emphasis"/>
          <w:rFonts w:ascii="Garamond" w:hAnsi="Garamond"/>
          <w:i w:val="0"/>
          <w:iCs w:val="0"/>
          <w:sz w:val="22"/>
          <w:szCs w:val="22"/>
        </w:rPr>
        <w:t>(</w:t>
      </w:r>
      <w:r w:rsidR="00380B79" w:rsidRPr="00A55F3A">
        <w:rPr>
          <w:rStyle w:val="Emphasis"/>
          <w:rFonts w:ascii="Garamond" w:hAnsi="Garamond"/>
          <w:i w:val="0"/>
          <w:iCs w:val="0"/>
          <w:sz w:val="22"/>
          <w:szCs w:val="22"/>
        </w:rPr>
        <w:t>that aspires to be accurate and efficient</w:t>
      </w:r>
      <w:r w:rsidR="00D13877">
        <w:rPr>
          <w:rStyle w:val="Emphasis"/>
          <w:rFonts w:ascii="Garamond" w:hAnsi="Garamond"/>
          <w:i w:val="0"/>
          <w:iCs w:val="0"/>
          <w:sz w:val="22"/>
          <w:szCs w:val="22"/>
        </w:rPr>
        <w:t>)</w:t>
      </w:r>
      <w:r w:rsidRPr="00A55F3A">
        <w:rPr>
          <w:rStyle w:val="Emphasis"/>
          <w:rFonts w:ascii="Garamond" w:hAnsi="Garamond"/>
          <w:i w:val="0"/>
          <w:iCs w:val="0"/>
          <w:sz w:val="22"/>
          <w:szCs w:val="22"/>
        </w:rPr>
        <w:t xml:space="preserve">. The reason for such insistence is a matter of speculation, yet it is certain that it cannot be explained, as the Court of Appeal of Milan could have in 1934, by a noble attempt to protect individual rights against a fascist regime. </w:t>
      </w:r>
    </w:p>
    <w:p w14:paraId="5C5BB387" w14:textId="7574DAA8"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In direct contrast with </w:t>
      </w:r>
      <w:r w:rsidR="00F77C91" w:rsidRPr="00A55F3A">
        <w:rPr>
          <w:rFonts w:ascii="Garamond" w:hAnsi="Garamond"/>
          <w:sz w:val="22"/>
          <w:szCs w:val="22"/>
        </w:rPr>
        <w:t xml:space="preserve">the </w:t>
      </w:r>
      <w:r w:rsidRPr="00A55F3A">
        <w:rPr>
          <w:rFonts w:ascii="Garamond" w:hAnsi="Garamond"/>
          <w:sz w:val="22"/>
          <w:szCs w:val="22"/>
        </w:rPr>
        <w:t xml:space="preserve">Italian </w:t>
      </w:r>
      <w:r w:rsidR="001F273D" w:rsidRPr="00A55F3A">
        <w:rPr>
          <w:rFonts w:ascii="Garamond" w:hAnsi="Garamond"/>
          <w:sz w:val="22"/>
          <w:szCs w:val="22"/>
        </w:rPr>
        <w:t xml:space="preserve">regime of </w:t>
      </w:r>
      <w:r w:rsidR="00291400" w:rsidRPr="00A55F3A">
        <w:rPr>
          <w:rFonts w:ascii="Garamond" w:hAnsi="Garamond"/>
          <w:sz w:val="22"/>
          <w:szCs w:val="22"/>
        </w:rPr>
        <w:t>IOE</w:t>
      </w:r>
      <w:r w:rsidRPr="00A55F3A">
        <w:rPr>
          <w:rFonts w:ascii="Garamond" w:hAnsi="Garamond"/>
          <w:sz w:val="22"/>
          <w:szCs w:val="22"/>
        </w:rPr>
        <w:t xml:space="preserve">, </w:t>
      </w:r>
      <w:r w:rsidR="00584F92" w:rsidRPr="00A55F3A">
        <w:rPr>
          <w:rFonts w:ascii="Garamond" w:hAnsi="Garamond"/>
          <w:sz w:val="22"/>
          <w:szCs w:val="22"/>
        </w:rPr>
        <w:t xml:space="preserve">English </w:t>
      </w:r>
      <w:r w:rsidR="00D13877">
        <w:rPr>
          <w:rFonts w:ascii="Garamond" w:hAnsi="Garamond"/>
          <w:sz w:val="22"/>
          <w:szCs w:val="22"/>
        </w:rPr>
        <w:t xml:space="preserve"> </w:t>
      </w:r>
      <w:r w:rsidR="00584F92" w:rsidRPr="00A55F3A">
        <w:rPr>
          <w:rFonts w:ascii="Garamond" w:hAnsi="Garamond"/>
          <w:sz w:val="22"/>
          <w:szCs w:val="22"/>
        </w:rPr>
        <w:t>courts</w:t>
      </w:r>
      <w:r w:rsidRPr="00A55F3A">
        <w:rPr>
          <w:rFonts w:ascii="Garamond" w:hAnsi="Garamond"/>
          <w:sz w:val="22"/>
          <w:szCs w:val="22"/>
        </w:rPr>
        <w:t xml:space="preserve"> normally consider </w:t>
      </w:r>
      <w:r w:rsidR="004156FD" w:rsidRPr="00A55F3A">
        <w:rPr>
          <w:rFonts w:ascii="Garamond" w:hAnsi="Garamond"/>
          <w:sz w:val="22"/>
          <w:szCs w:val="22"/>
        </w:rPr>
        <w:t xml:space="preserve">any </w:t>
      </w:r>
      <w:r w:rsidR="001F273D" w:rsidRPr="00A55F3A">
        <w:rPr>
          <w:rFonts w:ascii="Garamond" w:hAnsi="Garamond"/>
          <w:sz w:val="22"/>
          <w:szCs w:val="22"/>
        </w:rPr>
        <w:t xml:space="preserve">relevant </w:t>
      </w:r>
      <w:r w:rsidR="00291400" w:rsidRPr="00A55F3A">
        <w:rPr>
          <w:rFonts w:ascii="Garamond" w:hAnsi="Garamond"/>
          <w:sz w:val="22"/>
          <w:szCs w:val="22"/>
        </w:rPr>
        <w:t>IOE</w:t>
      </w:r>
      <w:r w:rsidR="001F273D" w:rsidRPr="00A55F3A">
        <w:rPr>
          <w:rFonts w:ascii="Garamond" w:hAnsi="Garamond"/>
          <w:sz w:val="22"/>
          <w:szCs w:val="22"/>
        </w:rPr>
        <w:t xml:space="preserve"> admissible</w:t>
      </w:r>
      <w:r w:rsidRPr="00A55F3A">
        <w:rPr>
          <w:rFonts w:ascii="Garamond" w:hAnsi="Garamond"/>
          <w:sz w:val="22"/>
          <w:szCs w:val="22"/>
        </w:rPr>
        <w:t>.</w:t>
      </w:r>
      <w:r w:rsidR="001F273D" w:rsidRPr="00A55F3A">
        <w:rPr>
          <w:rStyle w:val="FootnoteReference"/>
          <w:rFonts w:ascii="Garamond" w:hAnsi="Garamond"/>
          <w:sz w:val="22"/>
          <w:szCs w:val="22"/>
        </w:rPr>
        <w:footnoteReference w:id="9"/>
      </w:r>
      <w:r w:rsidRPr="00A55F3A">
        <w:rPr>
          <w:rFonts w:ascii="Garamond" w:hAnsi="Garamond"/>
          <w:sz w:val="22"/>
          <w:szCs w:val="22"/>
        </w:rPr>
        <w:t xml:space="preserve"> </w:t>
      </w:r>
      <w:r w:rsidR="00F60E23" w:rsidRPr="00A55F3A">
        <w:rPr>
          <w:rFonts w:ascii="Garamond" w:hAnsi="Garamond"/>
          <w:sz w:val="22"/>
          <w:szCs w:val="22"/>
        </w:rPr>
        <w:t xml:space="preserve">Again, it is difficult to point out the contextual reasons that support such a jurisdictional practice, but the general explanation might be that English </w:t>
      </w:r>
      <w:r w:rsidR="00D13877">
        <w:rPr>
          <w:rFonts w:ascii="Garamond" w:hAnsi="Garamond"/>
          <w:sz w:val="22"/>
          <w:szCs w:val="22"/>
        </w:rPr>
        <w:t xml:space="preserve"> </w:t>
      </w:r>
      <w:r w:rsidR="00F60E23" w:rsidRPr="00A55F3A">
        <w:rPr>
          <w:rFonts w:ascii="Garamond" w:hAnsi="Garamond"/>
          <w:sz w:val="22"/>
          <w:szCs w:val="22"/>
        </w:rPr>
        <w:t xml:space="preserve">judges are expected to allow a party to submit evidence that might help in retrieving an objective and truthful representation of the facts of the case. </w:t>
      </w:r>
      <w:r w:rsidR="001F273D" w:rsidRPr="00A55F3A">
        <w:rPr>
          <w:rFonts w:ascii="Garamond" w:hAnsi="Garamond"/>
          <w:sz w:val="22"/>
          <w:szCs w:val="22"/>
        </w:rPr>
        <w:t>This stance is</w:t>
      </w:r>
      <w:r w:rsidR="00CF1D8E" w:rsidRPr="00A55F3A">
        <w:rPr>
          <w:rFonts w:ascii="Garamond" w:hAnsi="Garamond"/>
          <w:sz w:val="22"/>
          <w:szCs w:val="22"/>
        </w:rPr>
        <w:t>,</w:t>
      </w:r>
      <w:r w:rsidR="001F273D" w:rsidRPr="00A55F3A">
        <w:rPr>
          <w:rFonts w:ascii="Garamond" w:hAnsi="Garamond"/>
          <w:sz w:val="22"/>
          <w:szCs w:val="22"/>
        </w:rPr>
        <w:t xml:space="preserve"> also</w:t>
      </w:r>
      <w:r w:rsidR="00CF1D8E" w:rsidRPr="00A55F3A">
        <w:rPr>
          <w:rFonts w:ascii="Garamond" w:hAnsi="Garamond"/>
          <w:sz w:val="22"/>
          <w:szCs w:val="22"/>
        </w:rPr>
        <w:t>,</w:t>
      </w:r>
      <w:r w:rsidR="001F273D" w:rsidRPr="00A55F3A">
        <w:rPr>
          <w:rFonts w:ascii="Garamond" w:hAnsi="Garamond"/>
          <w:sz w:val="22"/>
          <w:szCs w:val="22"/>
        </w:rPr>
        <w:t xml:space="preserve"> </w:t>
      </w:r>
      <w:r w:rsidR="00380B79" w:rsidRPr="00A55F3A">
        <w:rPr>
          <w:rFonts w:ascii="Garamond" w:hAnsi="Garamond"/>
          <w:sz w:val="22"/>
          <w:szCs w:val="22"/>
        </w:rPr>
        <w:t>manifested</w:t>
      </w:r>
      <w:r w:rsidR="00B50D56" w:rsidRPr="00A55F3A">
        <w:rPr>
          <w:rFonts w:ascii="Garamond" w:hAnsi="Garamond"/>
          <w:sz w:val="22"/>
          <w:szCs w:val="22"/>
        </w:rPr>
        <w:t xml:space="preserve"> </w:t>
      </w:r>
      <w:r w:rsidR="001F273D" w:rsidRPr="00A55F3A">
        <w:rPr>
          <w:rFonts w:ascii="Garamond" w:hAnsi="Garamond"/>
          <w:sz w:val="22"/>
          <w:szCs w:val="22"/>
        </w:rPr>
        <w:t>in the regulatory framework that deal</w:t>
      </w:r>
      <w:r w:rsidR="005817BF" w:rsidRPr="00A55F3A">
        <w:rPr>
          <w:rFonts w:ascii="Garamond" w:hAnsi="Garamond"/>
          <w:sz w:val="22"/>
          <w:szCs w:val="22"/>
        </w:rPr>
        <w:t>s</w:t>
      </w:r>
      <w:r w:rsidR="001F273D" w:rsidRPr="00A55F3A">
        <w:rPr>
          <w:rFonts w:ascii="Garamond" w:hAnsi="Garamond"/>
          <w:sz w:val="22"/>
          <w:szCs w:val="22"/>
        </w:rPr>
        <w:t xml:space="preserve"> with the ethical implication</w:t>
      </w:r>
      <w:r w:rsidR="00CF1D8E" w:rsidRPr="00A55F3A">
        <w:rPr>
          <w:rFonts w:ascii="Garamond" w:hAnsi="Garamond"/>
          <w:sz w:val="22"/>
          <w:szCs w:val="22"/>
        </w:rPr>
        <w:t xml:space="preserve">s </w:t>
      </w:r>
      <w:r w:rsidR="00566C1D" w:rsidRPr="00A55F3A">
        <w:rPr>
          <w:rFonts w:ascii="Garamond" w:hAnsi="Garamond"/>
          <w:sz w:val="22"/>
          <w:szCs w:val="22"/>
        </w:rPr>
        <w:t>for</w:t>
      </w:r>
      <w:r w:rsidR="003567BF" w:rsidRPr="00A55F3A">
        <w:rPr>
          <w:rFonts w:ascii="Garamond" w:hAnsi="Garamond"/>
          <w:sz w:val="22"/>
          <w:szCs w:val="22"/>
        </w:rPr>
        <w:t xml:space="preserve"> </w:t>
      </w:r>
      <w:r w:rsidR="00CF1D8E" w:rsidRPr="00A55F3A">
        <w:rPr>
          <w:rFonts w:ascii="Garamond" w:hAnsi="Garamond"/>
          <w:sz w:val="22"/>
          <w:szCs w:val="22"/>
        </w:rPr>
        <w:t xml:space="preserve">practitioners who </w:t>
      </w:r>
      <w:r w:rsidR="00CF1D8E" w:rsidRPr="00A55F3A">
        <w:rPr>
          <w:rFonts w:ascii="Garamond" w:hAnsi="Garamond"/>
          <w:i/>
          <w:sz w:val="22"/>
          <w:szCs w:val="22"/>
        </w:rPr>
        <w:t>de facto</w:t>
      </w:r>
      <w:r w:rsidR="003567BF" w:rsidRPr="00A55F3A">
        <w:rPr>
          <w:rFonts w:ascii="Garamond" w:hAnsi="Garamond"/>
          <w:sz w:val="22"/>
          <w:szCs w:val="22"/>
        </w:rPr>
        <w:t xml:space="preserve"> </w:t>
      </w:r>
      <w:r w:rsidR="00CF1D8E" w:rsidRPr="00A55F3A">
        <w:rPr>
          <w:rFonts w:ascii="Garamond" w:hAnsi="Garamond"/>
          <w:sz w:val="22"/>
          <w:szCs w:val="22"/>
        </w:rPr>
        <w:t xml:space="preserve">are asked to </w:t>
      </w:r>
      <w:r w:rsidR="001F273D" w:rsidRPr="00A55F3A">
        <w:rPr>
          <w:rFonts w:ascii="Garamond" w:hAnsi="Garamond"/>
          <w:sz w:val="22"/>
          <w:szCs w:val="22"/>
        </w:rPr>
        <w:t>manag</w:t>
      </w:r>
      <w:r w:rsidR="00CF1D8E" w:rsidRPr="00A55F3A">
        <w:rPr>
          <w:rFonts w:ascii="Garamond" w:hAnsi="Garamond"/>
          <w:sz w:val="22"/>
          <w:szCs w:val="22"/>
        </w:rPr>
        <w:t>e</w:t>
      </w:r>
      <w:r w:rsidR="001F273D" w:rsidRPr="00A55F3A">
        <w:rPr>
          <w:rFonts w:ascii="Garamond" w:hAnsi="Garamond"/>
          <w:sz w:val="22"/>
          <w:szCs w:val="22"/>
        </w:rPr>
        <w:t xml:space="preserve"> </w:t>
      </w:r>
      <w:r w:rsidR="00291400" w:rsidRPr="00A55F3A">
        <w:rPr>
          <w:rFonts w:ascii="Garamond" w:hAnsi="Garamond"/>
          <w:sz w:val="22"/>
          <w:szCs w:val="22"/>
        </w:rPr>
        <w:t>IOE</w:t>
      </w:r>
      <w:r w:rsidR="001F273D" w:rsidRPr="00A55F3A">
        <w:rPr>
          <w:rFonts w:ascii="Garamond" w:hAnsi="Garamond"/>
          <w:sz w:val="22"/>
          <w:szCs w:val="22"/>
        </w:rPr>
        <w:t xml:space="preserve">. </w:t>
      </w:r>
      <w:r w:rsidR="00F60E23" w:rsidRPr="00A55F3A">
        <w:rPr>
          <w:rFonts w:ascii="Garamond" w:hAnsi="Garamond"/>
          <w:sz w:val="22"/>
          <w:szCs w:val="22"/>
        </w:rPr>
        <w:t>For instance, Bar Council’s Guidance on the conduct of Barristers points out that a council submitting a document obtained without consent is in breach of sec 50(1) of the Data Protection Act.</w:t>
      </w:r>
      <w:r w:rsidR="0009542B" w:rsidRPr="00A55F3A">
        <w:rPr>
          <w:rStyle w:val="FootnoteReference"/>
          <w:rFonts w:ascii="Garamond" w:hAnsi="Garamond"/>
          <w:sz w:val="22"/>
          <w:szCs w:val="22"/>
        </w:rPr>
        <w:footnoteReference w:id="10"/>
      </w:r>
      <w:r w:rsidR="00F60E23" w:rsidRPr="00A55F3A">
        <w:rPr>
          <w:rFonts w:ascii="Garamond" w:hAnsi="Garamond"/>
          <w:sz w:val="22"/>
          <w:szCs w:val="22"/>
        </w:rPr>
        <w:t xml:space="preserve"> </w:t>
      </w:r>
      <w:r w:rsidRPr="00A55F3A">
        <w:rPr>
          <w:rFonts w:ascii="Garamond" w:hAnsi="Garamond"/>
          <w:sz w:val="22"/>
          <w:szCs w:val="22"/>
        </w:rPr>
        <w:t>The violation of sec 50 (1) might trigger criminal proceedings against the person that has retrieved information without authorization, yet subsection 2 of the same act specifically allows for an exception to criminal persecution to coun</w:t>
      </w:r>
      <w:r w:rsidR="00691E3E">
        <w:rPr>
          <w:rFonts w:ascii="Garamond" w:hAnsi="Garamond"/>
          <w:sz w:val="22"/>
          <w:szCs w:val="22"/>
        </w:rPr>
        <w:t>sel</w:t>
      </w:r>
      <w:r w:rsidRPr="00A55F3A">
        <w:rPr>
          <w:rFonts w:ascii="Garamond" w:hAnsi="Garamond"/>
          <w:sz w:val="22"/>
          <w:szCs w:val="22"/>
        </w:rPr>
        <w:t xml:space="preserve"> that discloses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that </w:t>
      </w:r>
      <w:r w:rsidR="004156FD" w:rsidRPr="00A55F3A">
        <w:rPr>
          <w:rFonts w:ascii="Garamond" w:hAnsi="Garamond"/>
          <w:sz w:val="22"/>
          <w:szCs w:val="22"/>
        </w:rPr>
        <w:t xml:space="preserve">was </w:t>
      </w:r>
      <w:r w:rsidRPr="00A55F3A">
        <w:rPr>
          <w:rFonts w:ascii="Garamond" w:hAnsi="Garamond"/>
          <w:sz w:val="22"/>
          <w:szCs w:val="22"/>
        </w:rPr>
        <w:t xml:space="preserve">in breach of Sec 50 (1). </w:t>
      </w:r>
      <w:r w:rsidR="00F60E23" w:rsidRPr="00A55F3A">
        <w:rPr>
          <w:rFonts w:ascii="Garamond" w:hAnsi="Garamond"/>
          <w:sz w:val="22"/>
          <w:szCs w:val="22"/>
        </w:rPr>
        <w:t>It appears, in other words, that whilst some illegal conducts aimed at resourcing information might have criminal implications for those who retrieved it, the knowledge of such behaviors is not enough to prevent their admissibility in court.</w:t>
      </w:r>
    </w:p>
    <w:p w14:paraId="5046DB5B" w14:textId="4487673C" w:rsidR="00605CE2" w:rsidRPr="00A55F3A" w:rsidRDefault="00593D4F" w:rsidP="00A55F3A">
      <w:pPr>
        <w:pStyle w:val="Standard"/>
        <w:spacing w:line="480" w:lineRule="auto"/>
        <w:rPr>
          <w:rFonts w:ascii="Garamond" w:hAnsi="Garamond"/>
          <w:sz w:val="22"/>
          <w:szCs w:val="22"/>
        </w:rPr>
      </w:pPr>
      <w:r w:rsidRPr="00A67D3F">
        <w:rPr>
          <w:rFonts w:ascii="Garamond" w:eastAsia="Garamond" w:hAnsi="Garamond" w:cs="Garamond"/>
          <w:sz w:val="22"/>
          <w:szCs w:val="22"/>
        </w:rPr>
        <w:t xml:space="preserve">So the English </w:t>
      </w:r>
      <w:r w:rsidR="00D13877" w:rsidRPr="00A67D3F">
        <w:rPr>
          <w:rFonts w:ascii="Garamond" w:eastAsia="Garamond" w:hAnsi="Garamond" w:cs="Garamond"/>
          <w:sz w:val="22"/>
          <w:szCs w:val="22"/>
        </w:rPr>
        <w:t xml:space="preserve"> </w:t>
      </w:r>
      <w:r w:rsidRPr="00A67D3F">
        <w:rPr>
          <w:rFonts w:ascii="Garamond" w:eastAsia="Garamond" w:hAnsi="Garamond" w:cs="Garamond"/>
          <w:sz w:val="22"/>
          <w:szCs w:val="22"/>
        </w:rPr>
        <w:t>legal system appears to have a ‘Don't ask how</w:t>
      </w:r>
      <w:r w:rsidR="006A0B80" w:rsidRPr="00A67D3F">
        <w:rPr>
          <w:rFonts w:ascii="Garamond" w:eastAsia="Garamond" w:hAnsi="Garamond" w:cs="Garamond"/>
          <w:sz w:val="22"/>
          <w:szCs w:val="22"/>
        </w:rPr>
        <w:t xml:space="preserve"> relevant </w:t>
      </w:r>
      <w:r w:rsidR="004156FD" w:rsidRPr="00A67D3F">
        <w:rPr>
          <w:rFonts w:ascii="Garamond" w:eastAsia="Garamond" w:hAnsi="Garamond" w:cs="Garamond"/>
          <w:sz w:val="22"/>
          <w:szCs w:val="22"/>
        </w:rPr>
        <w:t xml:space="preserve"> </w:t>
      </w:r>
      <w:r w:rsidR="006A0B80" w:rsidRPr="00A67D3F">
        <w:rPr>
          <w:rFonts w:ascii="Garamond" w:eastAsia="Garamond" w:hAnsi="Garamond" w:cs="Garamond"/>
          <w:sz w:val="22"/>
          <w:szCs w:val="22"/>
        </w:rPr>
        <w:t xml:space="preserve">information </w:t>
      </w:r>
      <w:r w:rsidR="00197FA7" w:rsidRPr="00A67D3F">
        <w:rPr>
          <w:rFonts w:ascii="Garamond" w:eastAsia="Garamond" w:hAnsi="Garamond" w:cs="Garamond"/>
          <w:sz w:val="22"/>
          <w:szCs w:val="22"/>
        </w:rPr>
        <w:t>might have been</w:t>
      </w:r>
      <w:r w:rsidR="006A0B80" w:rsidRPr="00A67D3F">
        <w:rPr>
          <w:rFonts w:ascii="Garamond" w:eastAsia="Garamond" w:hAnsi="Garamond" w:cs="Garamond"/>
          <w:sz w:val="22"/>
          <w:szCs w:val="22"/>
        </w:rPr>
        <w:t xml:space="preserve">  </w:t>
      </w:r>
      <w:r w:rsidRPr="00A67D3F">
        <w:rPr>
          <w:rFonts w:ascii="Garamond" w:eastAsia="Garamond" w:hAnsi="Garamond" w:cs="Garamond"/>
          <w:sz w:val="22"/>
          <w:szCs w:val="22"/>
        </w:rPr>
        <w:t xml:space="preserve">retrieved, but do </w:t>
      </w:r>
      <w:r w:rsidR="5F20CF34" w:rsidRPr="00A67D3F">
        <w:rPr>
          <w:rFonts w:ascii="Garamond" w:eastAsia="Garamond" w:hAnsi="Garamond" w:cs="Garamond"/>
          <w:sz w:val="22"/>
          <w:szCs w:val="22"/>
        </w:rPr>
        <w:t>i</w:t>
      </w:r>
      <w:r w:rsidR="34BFEE3E" w:rsidRPr="00A67D3F">
        <w:rPr>
          <w:rFonts w:ascii="Garamond" w:eastAsia="Garamond" w:hAnsi="Garamond" w:cs="Garamond"/>
          <w:sz w:val="22"/>
          <w:szCs w:val="22"/>
        </w:rPr>
        <w:t xml:space="preserve">nform </w:t>
      </w:r>
      <w:r w:rsidRPr="00A67D3F">
        <w:rPr>
          <w:rFonts w:ascii="Garamond" w:eastAsia="Garamond" w:hAnsi="Garamond" w:cs="Garamond"/>
          <w:sz w:val="22"/>
          <w:szCs w:val="22"/>
        </w:rPr>
        <w:t xml:space="preserve"> to the court’</w:t>
      </w:r>
      <w:r w:rsidR="0004677F" w:rsidRPr="00A67D3F">
        <w:rPr>
          <w:rFonts w:ascii="Garamond" w:eastAsia="Garamond" w:hAnsi="Garamond" w:cs="Garamond"/>
          <w:sz w:val="22"/>
          <w:szCs w:val="22"/>
        </w:rPr>
        <w:t xml:space="preserve"> approach</w:t>
      </w:r>
      <w:r w:rsidRPr="00A67D3F">
        <w:rPr>
          <w:rFonts w:ascii="Garamond" w:eastAsia="Garamond" w:hAnsi="Garamond" w:cs="Garamond"/>
          <w:sz w:val="22"/>
          <w:szCs w:val="22"/>
        </w:rPr>
        <w:t xml:space="preserve">, whereas the Italian civil judges appear happy to behave like </w:t>
      </w:r>
      <w:r w:rsidR="00DA5FEE" w:rsidRPr="00A67D3F">
        <w:rPr>
          <w:rFonts w:ascii="Garamond" w:eastAsia="Garamond" w:hAnsi="Garamond" w:cs="Garamond"/>
          <w:sz w:val="22"/>
          <w:szCs w:val="22"/>
        </w:rPr>
        <w:t xml:space="preserve">someone </w:t>
      </w:r>
      <w:r w:rsidRPr="00A67D3F">
        <w:rPr>
          <w:rFonts w:ascii="Garamond" w:eastAsia="Garamond" w:hAnsi="Garamond" w:cs="Garamond"/>
          <w:sz w:val="22"/>
          <w:szCs w:val="22"/>
        </w:rPr>
        <w:t xml:space="preserve"> who has lost his house keys in a corner of a dark alley but ha</w:t>
      </w:r>
      <w:r w:rsidR="005817BF" w:rsidRPr="00A67D3F">
        <w:rPr>
          <w:rFonts w:ascii="Garamond" w:eastAsia="Garamond" w:hAnsi="Garamond" w:cs="Garamond"/>
          <w:sz w:val="22"/>
          <w:szCs w:val="22"/>
        </w:rPr>
        <w:t>s</w:t>
      </w:r>
      <w:r w:rsidRPr="00A67D3F">
        <w:rPr>
          <w:rFonts w:ascii="Garamond" w:eastAsia="Garamond" w:hAnsi="Garamond" w:cs="Garamond"/>
          <w:sz w:val="22"/>
          <w:szCs w:val="22"/>
        </w:rPr>
        <w:t xml:space="preserve"> decided to search for</w:t>
      </w:r>
      <w:r w:rsidR="005817BF" w:rsidRPr="00A67D3F">
        <w:rPr>
          <w:rFonts w:ascii="Garamond" w:eastAsia="Garamond" w:hAnsi="Garamond" w:cs="Garamond"/>
          <w:sz w:val="22"/>
          <w:szCs w:val="22"/>
        </w:rPr>
        <w:t xml:space="preserve"> them</w:t>
      </w:r>
      <w:r w:rsidRPr="00A67D3F">
        <w:rPr>
          <w:rFonts w:ascii="Garamond" w:eastAsia="Garamond" w:hAnsi="Garamond" w:cs="Garamond"/>
          <w:sz w:val="22"/>
          <w:szCs w:val="22"/>
        </w:rPr>
        <w:t xml:space="preserve"> under a street light ‘because </w:t>
      </w:r>
      <w:r w:rsidR="005817BF" w:rsidRPr="00A67D3F">
        <w:rPr>
          <w:rFonts w:ascii="Garamond" w:eastAsia="Garamond" w:hAnsi="Garamond" w:cs="Garamond"/>
          <w:sz w:val="22"/>
          <w:szCs w:val="22"/>
        </w:rPr>
        <w:t xml:space="preserve">it </w:t>
      </w:r>
      <w:r w:rsidRPr="00A67D3F">
        <w:rPr>
          <w:rFonts w:ascii="Garamond" w:eastAsia="Garamond" w:hAnsi="Garamond" w:cs="Garamond"/>
          <w:sz w:val="22"/>
          <w:szCs w:val="22"/>
        </w:rPr>
        <w:t xml:space="preserve">is </w:t>
      </w:r>
      <w:r w:rsidR="00DA5FEE" w:rsidRPr="00A67D3F">
        <w:rPr>
          <w:rFonts w:ascii="Garamond" w:eastAsia="Garamond" w:hAnsi="Garamond" w:cs="Garamond"/>
          <w:sz w:val="22"/>
          <w:szCs w:val="22"/>
        </w:rPr>
        <w:t>where they ought to be</w:t>
      </w:r>
      <w:r w:rsidRPr="00A67D3F">
        <w:rPr>
          <w:rFonts w:ascii="Garamond" w:eastAsia="Garamond" w:hAnsi="Garamond" w:cs="Garamond"/>
          <w:sz w:val="22"/>
          <w:szCs w:val="22"/>
        </w:rPr>
        <w:t xml:space="preserve">’. </w:t>
      </w:r>
      <w:r w:rsidRPr="00A67D3F">
        <w:rPr>
          <w:rFonts w:ascii="Garamond" w:eastAsia="Garamond" w:hAnsi="Garamond" w:cs="Garamond"/>
          <w:sz w:val="22"/>
          <w:szCs w:val="22"/>
        </w:rPr>
        <w:lastRenderedPageBreak/>
        <w:t>However, both systems are going through a series of gradual transformations that have made their respective stance fluctuating. For instance, the adoption of the HRA has increased awareness in the UK of the importance of the rights of individuals</w:t>
      </w:r>
      <w:r w:rsidR="0004677F" w:rsidRPr="00A67D3F">
        <w:rPr>
          <w:rFonts w:ascii="Garamond" w:eastAsia="Garamond" w:hAnsi="Garamond" w:cs="Garamond"/>
          <w:sz w:val="22"/>
          <w:szCs w:val="22"/>
        </w:rPr>
        <w:t>,</w:t>
      </w:r>
      <w:r w:rsidRPr="00A67D3F">
        <w:rPr>
          <w:rFonts w:ascii="Garamond" w:eastAsia="Garamond" w:hAnsi="Garamond" w:cs="Garamond"/>
          <w:sz w:val="22"/>
          <w:szCs w:val="22"/>
        </w:rPr>
        <w:t xml:space="preserve"> such as due process</w:t>
      </w:r>
      <w:r w:rsidRPr="00A67D3F">
        <w:rPr>
          <w:rStyle w:val="FootnoteReference"/>
          <w:rFonts w:ascii="Garamond" w:eastAsia="Garamond" w:hAnsi="Garamond" w:cs="Garamond"/>
          <w:sz w:val="22"/>
          <w:szCs w:val="22"/>
        </w:rPr>
        <w:footnoteReference w:id="11"/>
      </w:r>
      <w:r w:rsidRPr="00A67D3F">
        <w:rPr>
          <w:rFonts w:ascii="Garamond" w:eastAsia="Garamond" w:hAnsi="Garamond" w:cs="Garamond"/>
          <w:sz w:val="22"/>
          <w:szCs w:val="22"/>
        </w:rPr>
        <w:t xml:space="preserve"> and right to privacy.</w:t>
      </w:r>
      <w:r w:rsidRPr="00A67D3F">
        <w:rPr>
          <w:rStyle w:val="FootnoteReference"/>
          <w:rFonts w:ascii="Garamond" w:eastAsia="Garamond" w:hAnsi="Garamond" w:cs="Garamond"/>
          <w:sz w:val="22"/>
          <w:szCs w:val="22"/>
        </w:rPr>
        <w:footnoteReference w:id="12"/>
      </w:r>
      <w:r w:rsidRPr="00A67D3F">
        <w:rPr>
          <w:rFonts w:ascii="Garamond" w:eastAsia="Garamond" w:hAnsi="Garamond" w:cs="Garamond"/>
          <w:sz w:val="22"/>
          <w:szCs w:val="22"/>
        </w:rPr>
        <w:t xml:space="preserve"> In Italy, instead</w:t>
      </w:r>
      <w:r w:rsidR="0004677F" w:rsidRPr="00A67D3F">
        <w:rPr>
          <w:rFonts w:ascii="Garamond" w:eastAsia="Garamond" w:hAnsi="Garamond" w:cs="Garamond"/>
          <w:sz w:val="22"/>
          <w:szCs w:val="22"/>
        </w:rPr>
        <w:t>,</w:t>
      </w:r>
      <w:r w:rsidRPr="00A67D3F">
        <w:rPr>
          <w:rFonts w:ascii="Garamond" w:eastAsia="Garamond" w:hAnsi="Garamond" w:cs="Garamond"/>
          <w:sz w:val="22"/>
          <w:szCs w:val="22"/>
        </w:rPr>
        <w:t xml:space="preserve"> the </w:t>
      </w:r>
      <w:r w:rsidR="00691E3E" w:rsidRPr="00A67D3F">
        <w:rPr>
          <w:rFonts w:ascii="Garamond" w:eastAsia="Garamond" w:hAnsi="Garamond" w:cs="Garamond"/>
          <w:sz w:val="22"/>
          <w:szCs w:val="22"/>
        </w:rPr>
        <w:t xml:space="preserve">case law </w:t>
      </w:r>
      <w:r w:rsidRPr="00A67D3F">
        <w:rPr>
          <w:rFonts w:ascii="Garamond" w:eastAsia="Garamond" w:hAnsi="Garamond" w:cs="Garamond"/>
          <w:sz w:val="22"/>
          <w:szCs w:val="22"/>
        </w:rPr>
        <w:t xml:space="preserve">is developing a line </w:t>
      </w:r>
      <w:r w:rsidR="00253EE6" w:rsidRPr="00A67D3F">
        <w:rPr>
          <w:rFonts w:ascii="Garamond" w:eastAsia="Garamond" w:hAnsi="Garamond" w:cs="Garamond"/>
          <w:sz w:val="22"/>
          <w:szCs w:val="22"/>
        </w:rPr>
        <w:t xml:space="preserve">of authority, perhaps motivated by </w:t>
      </w:r>
      <w:r w:rsidRPr="00A67D3F">
        <w:rPr>
          <w:rFonts w:ascii="Garamond" w:eastAsia="Garamond" w:hAnsi="Garamond" w:cs="Garamond"/>
          <w:sz w:val="22"/>
          <w:szCs w:val="22"/>
        </w:rPr>
        <w:t>economic necessity</w:t>
      </w:r>
      <w:r w:rsidR="005817BF" w:rsidRPr="00A67D3F">
        <w:rPr>
          <w:rFonts w:ascii="Garamond" w:eastAsia="Garamond" w:hAnsi="Garamond" w:cs="Garamond"/>
          <w:sz w:val="22"/>
          <w:szCs w:val="22"/>
        </w:rPr>
        <w:t xml:space="preserve"> </w:t>
      </w:r>
      <w:r w:rsidRPr="00A67D3F">
        <w:rPr>
          <w:rFonts w:ascii="Garamond" w:eastAsia="Garamond" w:hAnsi="Garamond" w:cs="Garamond"/>
          <w:sz w:val="22"/>
          <w:szCs w:val="22"/>
        </w:rPr>
        <w:t>of a more efficient civil law system</w:t>
      </w:r>
      <w:r w:rsidR="00253EE6" w:rsidRPr="00A67D3F">
        <w:rPr>
          <w:rFonts w:ascii="Garamond" w:eastAsia="Garamond" w:hAnsi="Garamond" w:cs="Garamond"/>
          <w:sz w:val="22"/>
          <w:szCs w:val="22"/>
        </w:rPr>
        <w:t>,</w:t>
      </w:r>
      <w:r w:rsidRPr="00A67D3F">
        <w:rPr>
          <w:rFonts w:ascii="Garamond" w:eastAsia="Garamond" w:hAnsi="Garamond" w:cs="Garamond"/>
          <w:sz w:val="22"/>
          <w:szCs w:val="22"/>
        </w:rPr>
        <w:t xml:space="preserve"> that admit</w:t>
      </w:r>
      <w:r w:rsidR="005817BF" w:rsidRPr="00A67D3F">
        <w:rPr>
          <w:rFonts w:ascii="Garamond" w:eastAsia="Garamond" w:hAnsi="Garamond" w:cs="Garamond"/>
          <w:sz w:val="22"/>
          <w:szCs w:val="22"/>
        </w:rPr>
        <w:t>s</w:t>
      </w:r>
      <w:r w:rsidR="004156FD" w:rsidRPr="00A67D3F">
        <w:rPr>
          <w:rFonts w:ascii="Garamond" w:eastAsia="Garamond" w:hAnsi="Garamond" w:cs="Garamond"/>
          <w:sz w:val="22"/>
          <w:szCs w:val="22"/>
        </w:rPr>
        <w:t xml:space="preserve"> </w:t>
      </w:r>
      <w:r w:rsidR="00291400" w:rsidRPr="00A67D3F">
        <w:rPr>
          <w:rFonts w:ascii="Garamond" w:eastAsia="Garamond" w:hAnsi="Garamond" w:cs="Garamond"/>
          <w:sz w:val="22"/>
          <w:szCs w:val="22"/>
        </w:rPr>
        <w:t>IOE</w:t>
      </w:r>
      <w:r w:rsidRPr="00A67D3F">
        <w:rPr>
          <w:rFonts w:ascii="Garamond" w:eastAsia="Garamond" w:hAnsi="Garamond" w:cs="Garamond"/>
          <w:sz w:val="22"/>
          <w:szCs w:val="22"/>
        </w:rPr>
        <w:t xml:space="preserve"> in court. In short, there are strong indications that the two legal systems are in the process of closing the cleavage between their upheld antithetical stances on the respective regime of </w:t>
      </w:r>
      <w:r w:rsidR="00291400" w:rsidRPr="00A67D3F">
        <w:rPr>
          <w:rFonts w:ascii="Garamond" w:eastAsia="Garamond" w:hAnsi="Garamond" w:cs="Garamond"/>
          <w:sz w:val="22"/>
          <w:szCs w:val="22"/>
        </w:rPr>
        <w:t>IOE</w:t>
      </w:r>
      <w:r w:rsidRPr="00A67D3F">
        <w:rPr>
          <w:rFonts w:ascii="Garamond" w:eastAsia="Garamond" w:hAnsi="Garamond" w:cs="Garamond"/>
          <w:sz w:val="22"/>
          <w:szCs w:val="22"/>
        </w:rPr>
        <w:t>.</w:t>
      </w:r>
      <w:r w:rsidR="00B50D56" w:rsidRPr="00A67D3F">
        <w:rPr>
          <w:rFonts w:ascii="Garamond" w:eastAsia="Garamond" w:hAnsi="Garamond" w:cs="Garamond"/>
          <w:sz w:val="22"/>
          <w:szCs w:val="22"/>
        </w:rPr>
        <w:t xml:space="preserve"> </w:t>
      </w:r>
      <w:r w:rsidR="00380B79" w:rsidRPr="00A67D3F">
        <w:rPr>
          <w:rFonts w:ascii="Garamond" w:eastAsia="Garamond" w:hAnsi="Garamond" w:cs="Garamond"/>
          <w:sz w:val="22"/>
          <w:szCs w:val="22"/>
        </w:rPr>
        <w:t xml:space="preserve">In particular, </w:t>
      </w:r>
      <w:r w:rsidR="00464982" w:rsidRPr="00A67D3F">
        <w:rPr>
          <w:rFonts w:ascii="Garamond" w:eastAsia="Garamond" w:hAnsi="Garamond" w:cs="Garamond"/>
          <w:sz w:val="22"/>
          <w:szCs w:val="22"/>
        </w:rPr>
        <w:t xml:space="preserve">I </w:t>
      </w:r>
      <w:r w:rsidRPr="00A67D3F">
        <w:rPr>
          <w:rFonts w:ascii="Garamond" w:eastAsia="Garamond" w:hAnsi="Garamond" w:cs="Garamond"/>
          <w:sz w:val="22"/>
          <w:szCs w:val="22"/>
        </w:rPr>
        <w:t xml:space="preserve"> will argue that comparative analysis of dynamic changes in both legal systems might help a richer understanding </w:t>
      </w:r>
      <w:r w:rsidR="00380B79" w:rsidRPr="00A67D3F">
        <w:rPr>
          <w:rFonts w:ascii="Garamond" w:eastAsia="Garamond" w:hAnsi="Garamond" w:cs="Garamond"/>
          <w:sz w:val="22"/>
          <w:szCs w:val="22"/>
        </w:rPr>
        <w:t>of how to balance rights and efficiency</w:t>
      </w:r>
      <w:r w:rsidR="001F273D" w:rsidRPr="00A67D3F">
        <w:rPr>
          <w:rFonts w:ascii="Garamond" w:eastAsia="Garamond" w:hAnsi="Garamond" w:cs="Garamond"/>
          <w:sz w:val="22"/>
          <w:szCs w:val="22"/>
        </w:rPr>
        <w:t>.</w:t>
      </w:r>
      <w:r w:rsidRPr="00A67D3F">
        <w:rPr>
          <w:rFonts w:ascii="Garamond" w:eastAsia="Garamond" w:hAnsi="Garamond" w:cs="Garamond"/>
          <w:sz w:val="22"/>
          <w:szCs w:val="22"/>
        </w:rPr>
        <w:t xml:space="preserve"> However, before </w:t>
      </w:r>
      <w:r w:rsidR="00F60E23" w:rsidRPr="00A67D3F">
        <w:rPr>
          <w:rFonts w:ascii="Garamond" w:eastAsia="Garamond" w:hAnsi="Garamond" w:cs="Garamond"/>
          <w:sz w:val="22"/>
          <w:szCs w:val="22"/>
        </w:rPr>
        <w:t>unraveling</w:t>
      </w:r>
      <w:r w:rsidRPr="00A67D3F">
        <w:rPr>
          <w:rFonts w:ascii="Garamond" w:eastAsia="Garamond" w:hAnsi="Garamond" w:cs="Garamond"/>
          <w:sz w:val="22"/>
          <w:szCs w:val="22"/>
        </w:rPr>
        <w:t xml:space="preserve"> the supporting reasons to our </w:t>
      </w:r>
      <w:r w:rsidR="001F273D" w:rsidRPr="00A67D3F">
        <w:rPr>
          <w:rFonts w:ascii="Garamond" w:eastAsia="Garamond" w:hAnsi="Garamond" w:cs="Garamond"/>
          <w:sz w:val="22"/>
          <w:szCs w:val="22"/>
        </w:rPr>
        <w:t>contention</w:t>
      </w:r>
      <w:r w:rsidR="006B63B0" w:rsidRPr="00A67D3F">
        <w:rPr>
          <w:rFonts w:ascii="Garamond" w:eastAsia="Garamond" w:hAnsi="Garamond" w:cs="Garamond"/>
          <w:sz w:val="22"/>
          <w:szCs w:val="22"/>
        </w:rPr>
        <w:t>,</w:t>
      </w:r>
      <w:r w:rsidRPr="00A67D3F">
        <w:rPr>
          <w:rFonts w:ascii="Garamond" w:eastAsia="Garamond" w:hAnsi="Garamond" w:cs="Garamond"/>
          <w:sz w:val="22"/>
          <w:szCs w:val="22"/>
        </w:rPr>
        <w:t xml:space="preserve"> a series of issues have to be dealt with as preliminary </w:t>
      </w:r>
      <w:r w:rsidR="001F273D" w:rsidRPr="00A67D3F">
        <w:rPr>
          <w:rFonts w:ascii="Garamond" w:eastAsia="Garamond" w:hAnsi="Garamond" w:cs="Garamond"/>
          <w:sz w:val="22"/>
          <w:szCs w:val="22"/>
        </w:rPr>
        <w:t>issues</w:t>
      </w:r>
      <w:r w:rsidRPr="00A67D3F">
        <w:rPr>
          <w:rFonts w:ascii="Garamond" w:eastAsia="Garamond" w:hAnsi="Garamond" w:cs="Garamond"/>
          <w:sz w:val="22"/>
          <w:szCs w:val="22"/>
        </w:rPr>
        <w:t>.</w:t>
      </w:r>
    </w:p>
    <w:p w14:paraId="0F6E730F" w14:textId="7A17A96F"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Firstly, </w:t>
      </w:r>
      <w:r w:rsidRPr="00A55F3A">
        <w:rPr>
          <w:rStyle w:val="Emphasis"/>
          <w:rFonts w:ascii="Garamond" w:hAnsi="Garamond"/>
          <w:i w:val="0"/>
          <w:sz w:val="22"/>
          <w:szCs w:val="22"/>
        </w:rPr>
        <w:t>the reasons for different regimes</w:t>
      </w:r>
      <w:r w:rsidR="001F273D" w:rsidRPr="00A55F3A">
        <w:rPr>
          <w:rStyle w:val="Emphasis"/>
          <w:rFonts w:ascii="Garamond" w:hAnsi="Garamond"/>
          <w:i w:val="0"/>
          <w:sz w:val="22"/>
          <w:szCs w:val="22"/>
        </w:rPr>
        <w:t xml:space="preserve"> of </w:t>
      </w:r>
      <w:r w:rsidR="00291400" w:rsidRPr="00A55F3A">
        <w:rPr>
          <w:rStyle w:val="Emphasis"/>
          <w:rFonts w:ascii="Garamond" w:hAnsi="Garamond"/>
          <w:i w:val="0"/>
          <w:sz w:val="22"/>
          <w:szCs w:val="22"/>
        </w:rPr>
        <w:t>IOE</w:t>
      </w:r>
      <w:r w:rsidR="001F273D" w:rsidRPr="00A55F3A">
        <w:rPr>
          <w:rStyle w:val="Emphasis"/>
          <w:rFonts w:ascii="Garamond" w:hAnsi="Garamond"/>
          <w:i w:val="0"/>
          <w:sz w:val="22"/>
          <w:szCs w:val="22"/>
        </w:rPr>
        <w:t xml:space="preserve"> in Italy</w:t>
      </w:r>
      <w:r w:rsidR="003567BF" w:rsidRPr="00A55F3A">
        <w:rPr>
          <w:rStyle w:val="Emphasis"/>
          <w:rFonts w:ascii="Garamond" w:hAnsi="Garamond"/>
          <w:i w:val="0"/>
          <w:sz w:val="22"/>
          <w:szCs w:val="22"/>
        </w:rPr>
        <w:t xml:space="preserve"> </w:t>
      </w:r>
      <w:r w:rsidR="001F273D" w:rsidRPr="00A55F3A">
        <w:rPr>
          <w:rStyle w:val="Emphasis"/>
          <w:rFonts w:ascii="Garamond" w:hAnsi="Garamond"/>
          <w:i w:val="0"/>
          <w:sz w:val="22"/>
          <w:szCs w:val="22"/>
        </w:rPr>
        <w:t>and in</w:t>
      </w:r>
      <w:r w:rsidR="003567BF" w:rsidRPr="00A55F3A">
        <w:rPr>
          <w:rStyle w:val="Emphasis"/>
          <w:rFonts w:ascii="Garamond" w:hAnsi="Garamond"/>
          <w:i w:val="0"/>
          <w:sz w:val="22"/>
          <w:szCs w:val="22"/>
        </w:rPr>
        <w:t xml:space="preserve"> </w:t>
      </w:r>
      <w:r w:rsidR="001F273D" w:rsidRPr="00A55F3A">
        <w:rPr>
          <w:rStyle w:val="Emphasis"/>
          <w:rFonts w:ascii="Garamond" w:hAnsi="Garamond"/>
          <w:i w:val="0"/>
          <w:sz w:val="22"/>
          <w:szCs w:val="22"/>
        </w:rPr>
        <w:t xml:space="preserve">England </w:t>
      </w:r>
      <w:r w:rsidR="00D13877">
        <w:rPr>
          <w:rStyle w:val="Emphasis"/>
          <w:rFonts w:ascii="Garamond" w:hAnsi="Garamond"/>
          <w:i w:val="0"/>
          <w:sz w:val="22"/>
          <w:szCs w:val="22"/>
        </w:rPr>
        <w:t xml:space="preserve"> </w:t>
      </w:r>
      <w:r w:rsidR="003567BF" w:rsidRPr="00A55F3A">
        <w:rPr>
          <w:rStyle w:val="Emphasis"/>
          <w:rFonts w:ascii="Garamond" w:hAnsi="Garamond"/>
          <w:i w:val="0"/>
          <w:sz w:val="22"/>
          <w:szCs w:val="22"/>
        </w:rPr>
        <w:t xml:space="preserve"> </w:t>
      </w:r>
      <w:r w:rsidRPr="00A55F3A">
        <w:rPr>
          <w:rStyle w:val="Emphasis"/>
          <w:rFonts w:ascii="Garamond" w:hAnsi="Garamond"/>
          <w:i w:val="0"/>
          <w:sz w:val="22"/>
          <w:szCs w:val="22"/>
        </w:rPr>
        <w:t>are not related to</w:t>
      </w:r>
      <w:r w:rsidR="001F273D" w:rsidRPr="00A55F3A">
        <w:rPr>
          <w:rStyle w:val="Emphasis"/>
          <w:rFonts w:ascii="Garamond" w:hAnsi="Garamond"/>
          <w:i w:val="0"/>
          <w:sz w:val="22"/>
          <w:szCs w:val="22"/>
        </w:rPr>
        <w:t xml:space="preserve"> their belonging to a different legal family.</w:t>
      </w:r>
      <w:r w:rsidR="00CB5E00" w:rsidRPr="00A55F3A">
        <w:rPr>
          <w:rStyle w:val="FootnoteReference"/>
          <w:rFonts w:ascii="Garamond" w:hAnsi="Garamond"/>
          <w:iCs/>
          <w:sz w:val="22"/>
          <w:szCs w:val="22"/>
        </w:rPr>
        <w:footnoteReference w:id="13"/>
      </w:r>
      <w:r w:rsidR="003567BF" w:rsidRPr="00A55F3A">
        <w:rPr>
          <w:rStyle w:val="Emphasis"/>
          <w:rFonts w:ascii="Garamond" w:hAnsi="Garamond"/>
          <w:i w:val="0"/>
          <w:sz w:val="22"/>
          <w:szCs w:val="22"/>
        </w:rPr>
        <w:t xml:space="preserve"> </w:t>
      </w:r>
      <w:r w:rsidRPr="00A55F3A">
        <w:rPr>
          <w:rStyle w:val="Emphasis"/>
          <w:rFonts w:ascii="Garamond" w:hAnsi="Garamond"/>
          <w:i w:val="0"/>
          <w:sz w:val="22"/>
          <w:szCs w:val="22"/>
        </w:rPr>
        <w:t xml:space="preserve">It might be argued, for instance, that the doctrine of </w:t>
      </w:r>
      <w:r w:rsidRPr="00A55F3A">
        <w:rPr>
          <w:rStyle w:val="Emphasis"/>
          <w:rFonts w:ascii="Garamond" w:hAnsi="Garamond"/>
          <w:sz w:val="22"/>
          <w:szCs w:val="22"/>
        </w:rPr>
        <w:t>stare decisis</w:t>
      </w:r>
      <w:r w:rsidRPr="00A55F3A">
        <w:rPr>
          <w:rStyle w:val="Emphasis"/>
          <w:rFonts w:ascii="Garamond" w:hAnsi="Garamond"/>
          <w:i w:val="0"/>
          <w:sz w:val="22"/>
          <w:szCs w:val="22"/>
        </w:rPr>
        <w:t xml:space="preserve"> and the practice of distinguishing cases logically increase the pressure on common law judges to find the truth. However, the doctrine of </w:t>
      </w:r>
      <w:r w:rsidRPr="00A55F3A">
        <w:rPr>
          <w:rStyle w:val="Emphasis"/>
          <w:rFonts w:ascii="Garamond" w:hAnsi="Garamond"/>
          <w:sz w:val="22"/>
          <w:szCs w:val="22"/>
        </w:rPr>
        <w:t>stare decisis</w:t>
      </w:r>
      <w:r w:rsidRPr="00A55F3A">
        <w:rPr>
          <w:rStyle w:val="Emphasis"/>
          <w:rFonts w:ascii="Garamond" w:hAnsi="Garamond"/>
          <w:i w:val="0"/>
          <w:sz w:val="22"/>
          <w:szCs w:val="22"/>
        </w:rPr>
        <w:t xml:space="preserve"> differentiate</w:t>
      </w:r>
      <w:r w:rsidR="006B63B0" w:rsidRPr="00A55F3A">
        <w:rPr>
          <w:rStyle w:val="Emphasis"/>
          <w:rFonts w:ascii="Garamond" w:hAnsi="Garamond"/>
          <w:i w:val="0"/>
          <w:sz w:val="22"/>
          <w:szCs w:val="22"/>
        </w:rPr>
        <w:t>s</w:t>
      </w:r>
      <w:r w:rsidRPr="00A55F3A">
        <w:rPr>
          <w:rStyle w:val="Emphasis"/>
          <w:rFonts w:ascii="Garamond" w:hAnsi="Garamond"/>
          <w:i w:val="0"/>
          <w:sz w:val="22"/>
          <w:szCs w:val="22"/>
        </w:rPr>
        <w:t xml:space="preserve"> civil and common law systems only to a degree.</w:t>
      </w:r>
      <w:r w:rsidR="005009DF" w:rsidRPr="00A55F3A">
        <w:rPr>
          <w:rStyle w:val="FootnoteReference"/>
          <w:rFonts w:ascii="Garamond" w:hAnsi="Garamond"/>
          <w:iCs/>
          <w:sz w:val="22"/>
          <w:szCs w:val="22"/>
        </w:rPr>
        <w:footnoteReference w:id="14"/>
      </w:r>
      <w:r w:rsidRPr="00A55F3A">
        <w:rPr>
          <w:rFonts w:ascii="Garamond" w:hAnsi="Garamond"/>
          <w:sz w:val="22"/>
          <w:szCs w:val="22"/>
        </w:rPr>
        <w:t xml:space="preserve"> </w:t>
      </w:r>
      <w:r w:rsidRPr="00A55F3A">
        <w:rPr>
          <w:rStyle w:val="Emphasis"/>
          <w:rFonts w:ascii="Garamond" w:hAnsi="Garamond"/>
          <w:i w:val="0"/>
          <w:sz w:val="22"/>
          <w:szCs w:val="22"/>
        </w:rPr>
        <w:t xml:space="preserve">Italian judges are also obliged to provide consistent decisions (the so-called horizontal effect of the doctrine of the binding precedent) and to comply with the </w:t>
      </w:r>
      <w:r w:rsidR="00691E3E">
        <w:rPr>
          <w:rStyle w:val="Emphasis"/>
          <w:rFonts w:ascii="Garamond" w:hAnsi="Garamond"/>
          <w:i w:val="0"/>
          <w:sz w:val="22"/>
          <w:szCs w:val="22"/>
        </w:rPr>
        <w:t>case law</w:t>
      </w:r>
      <w:r w:rsidR="00691E3E" w:rsidRPr="00A55F3A">
        <w:rPr>
          <w:rStyle w:val="Emphasis"/>
          <w:rFonts w:ascii="Garamond" w:hAnsi="Garamond"/>
          <w:i w:val="0"/>
          <w:sz w:val="22"/>
          <w:szCs w:val="22"/>
        </w:rPr>
        <w:t xml:space="preserve"> </w:t>
      </w:r>
      <w:r w:rsidRPr="00A55F3A">
        <w:rPr>
          <w:rStyle w:val="Emphasis"/>
          <w:rFonts w:ascii="Garamond" w:hAnsi="Garamond"/>
          <w:i w:val="0"/>
          <w:sz w:val="22"/>
          <w:szCs w:val="22"/>
        </w:rPr>
        <w:t>of the final appellate jurisdictions (the so-called vertical effect) of the Corte di Cassasione, the Consiglio di Stato and the Corte Costituzionale.</w:t>
      </w:r>
      <w:r w:rsidR="001C4BE2" w:rsidRPr="00A55F3A">
        <w:rPr>
          <w:rStyle w:val="FootnoteReference"/>
          <w:rFonts w:ascii="Garamond" w:hAnsi="Garamond"/>
          <w:iCs/>
          <w:sz w:val="22"/>
          <w:szCs w:val="22"/>
        </w:rPr>
        <w:footnoteReference w:id="15"/>
      </w:r>
      <w:r w:rsidR="003E6331" w:rsidRPr="00A55F3A">
        <w:rPr>
          <w:rStyle w:val="Emphasis"/>
          <w:rFonts w:ascii="Garamond" w:hAnsi="Garamond"/>
          <w:i w:val="0"/>
          <w:sz w:val="22"/>
          <w:szCs w:val="22"/>
        </w:rPr>
        <w:t xml:space="preserve"> </w:t>
      </w:r>
    </w:p>
    <w:p w14:paraId="7BEF9628" w14:textId="778DBDC1"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Secondly, there is a </w:t>
      </w:r>
      <w:r w:rsidR="00AB5488" w:rsidRPr="00A55F3A">
        <w:rPr>
          <w:rFonts w:ascii="Garamond" w:hAnsi="Garamond"/>
          <w:sz w:val="22"/>
          <w:szCs w:val="22"/>
        </w:rPr>
        <w:t>well-established</w:t>
      </w:r>
      <w:r w:rsidRPr="00A55F3A">
        <w:rPr>
          <w:rFonts w:ascii="Garamond" w:hAnsi="Garamond"/>
          <w:sz w:val="22"/>
          <w:szCs w:val="22"/>
        </w:rPr>
        <w:t xml:space="preserve"> literature on the specific methodologies for comparing </w:t>
      </w:r>
      <w:r w:rsidRPr="00A55F3A">
        <w:rPr>
          <w:rFonts w:ascii="Garamond" w:hAnsi="Garamond"/>
          <w:sz w:val="22"/>
          <w:szCs w:val="22"/>
        </w:rPr>
        <w:lastRenderedPageBreak/>
        <w:t>two legal systems.</w:t>
      </w:r>
      <w:r w:rsidR="00EE5FDD" w:rsidRPr="00A55F3A">
        <w:rPr>
          <w:rStyle w:val="FootnoteReference"/>
          <w:rFonts w:ascii="Garamond" w:hAnsi="Garamond"/>
          <w:sz w:val="22"/>
          <w:szCs w:val="22"/>
        </w:rPr>
        <w:footnoteReference w:id="16"/>
      </w:r>
      <w:r w:rsidRPr="00A55F3A">
        <w:rPr>
          <w:rFonts w:ascii="Garamond" w:hAnsi="Garamond"/>
          <w:sz w:val="22"/>
          <w:szCs w:val="22"/>
        </w:rPr>
        <w:t xml:space="preserve"> However, this essay will focus almost exclusively on </w:t>
      </w:r>
      <w:r w:rsidR="009E5E24">
        <w:rPr>
          <w:rFonts w:ascii="Garamond" w:hAnsi="Garamond"/>
          <w:sz w:val="22"/>
          <w:szCs w:val="22"/>
        </w:rPr>
        <w:t xml:space="preserve">a functional perspective that aims at </w:t>
      </w:r>
      <w:r w:rsidRPr="00A55F3A">
        <w:rPr>
          <w:rFonts w:ascii="Garamond" w:hAnsi="Garamond"/>
          <w:sz w:val="22"/>
          <w:szCs w:val="22"/>
        </w:rPr>
        <w:t xml:space="preserve">comparing judicial arguments that support decisions </w:t>
      </w:r>
      <w:r w:rsidR="00253EE6" w:rsidRPr="00A55F3A">
        <w:rPr>
          <w:rFonts w:ascii="Garamond" w:hAnsi="Garamond"/>
          <w:sz w:val="22"/>
          <w:szCs w:val="22"/>
        </w:rPr>
        <w:t>(</w:t>
      </w:r>
      <w:r w:rsidRPr="00A55F3A">
        <w:rPr>
          <w:rFonts w:ascii="Garamond" w:hAnsi="Garamond"/>
          <w:sz w:val="22"/>
          <w:szCs w:val="22"/>
        </w:rPr>
        <w:t xml:space="preserve">for excluding or allowing </w:t>
      </w:r>
      <w:r w:rsidR="004156FD" w:rsidRPr="00A55F3A">
        <w:rPr>
          <w:rFonts w:ascii="Garamond" w:hAnsi="Garamond"/>
          <w:sz w:val="22"/>
          <w:szCs w:val="22"/>
        </w:rPr>
        <w:t xml:space="preserve">an </w:t>
      </w:r>
      <w:r w:rsidR="00291400" w:rsidRPr="00A55F3A">
        <w:rPr>
          <w:rFonts w:ascii="Garamond" w:hAnsi="Garamond"/>
          <w:sz w:val="22"/>
          <w:szCs w:val="22"/>
        </w:rPr>
        <w:t>IOE</w:t>
      </w:r>
      <w:r w:rsidR="00253EE6" w:rsidRPr="00A55F3A">
        <w:rPr>
          <w:rFonts w:ascii="Garamond" w:hAnsi="Garamond"/>
          <w:sz w:val="22"/>
          <w:szCs w:val="22"/>
        </w:rPr>
        <w:t xml:space="preserve"> in court)</w:t>
      </w:r>
      <w:r w:rsidRPr="00A55F3A">
        <w:rPr>
          <w:rFonts w:ascii="Garamond" w:hAnsi="Garamond"/>
          <w:sz w:val="22"/>
          <w:szCs w:val="22"/>
        </w:rPr>
        <w:t>.</w:t>
      </w:r>
      <w:r w:rsidR="009E5E24">
        <w:rPr>
          <w:rStyle w:val="FootnoteReference"/>
          <w:rFonts w:ascii="Garamond" w:hAnsi="Garamond"/>
          <w:sz w:val="22"/>
          <w:szCs w:val="22"/>
        </w:rPr>
        <w:footnoteReference w:id="17"/>
      </w:r>
      <w:r w:rsidRPr="00A55F3A">
        <w:rPr>
          <w:rFonts w:ascii="Garamond" w:hAnsi="Garamond"/>
          <w:sz w:val="22"/>
          <w:szCs w:val="22"/>
        </w:rPr>
        <w:t xml:space="preserve"> The reason for adopting this perspective is related to the pragmatic effects that </w:t>
      </w:r>
      <w:r w:rsidR="00291400" w:rsidRPr="00A55F3A">
        <w:rPr>
          <w:rFonts w:ascii="Garamond" w:hAnsi="Garamond"/>
          <w:sz w:val="22"/>
          <w:szCs w:val="22"/>
        </w:rPr>
        <w:t>IOE</w:t>
      </w:r>
      <w:r w:rsidR="00566C1D" w:rsidRPr="00A55F3A">
        <w:rPr>
          <w:rFonts w:ascii="Garamond" w:hAnsi="Garamond"/>
          <w:sz w:val="22"/>
          <w:szCs w:val="22"/>
        </w:rPr>
        <w:t xml:space="preserve"> regimes</w:t>
      </w:r>
      <w:r w:rsidR="003567BF" w:rsidRPr="00A55F3A">
        <w:rPr>
          <w:rFonts w:ascii="Garamond" w:hAnsi="Garamond"/>
          <w:sz w:val="22"/>
          <w:szCs w:val="22"/>
        </w:rPr>
        <w:t xml:space="preserve"> </w:t>
      </w:r>
      <w:r w:rsidRPr="00A55F3A">
        <w:rPr>
          <w:rFonts w:ascii="Garamond" w:hAnsi="Garamond"/>
          <w:sz w:val="22"/>
          <w:szCs w:val="22"/>
        </w:rPr>
        <w:t>have in deciding cases and on the binary nature of the decision over their admissibility. In other words, whilst the arguments that support the admissibility of</w:t>
      </w:r>
      <w:r w:rsidR="004156FD" w:rsidRPr="00A55F3A">
        <w:rPr>
          <w:rFonts w:ascii="Garamond" w:hAnsi="Garamond"/>
          <w:sz w:val="22"/>
          <w:szCs w:val="22"/>
        </w:rPr>
        <w:t xml:space="preserve"> an</w:t>
      </w:r>
      <w:r w:rsidRPr="00A55F3A">
        <w:rPr>
          <w:rFonts w:ascii="Garamond" w:hAnsi="Garamond"/>
          <w:sz w:val="22"/>
          <w:szCs w:val="22"/>
        </w:rPr>
        <w:t xml:space="preserve"> </w:t>
      </w:r>
      <w:r w:rsidR="00291400" w:rsidRPr="00A55F3A">
        <w:rPr>
          <w:rFonts w:ascii="Garamond" w:hAnsi="Garamond"/>
          <w:sz w:val="22"/>
          <w:szCs w:val="22"/>
        </w:rPr>
        <w:t>IOE</w:t>
      </w:r>
      <w:r w:rsidRPr="00A55F3A">
        <w:rPr>
          <w:rFonts w:ascii="Garamond" w:hAnsi="Garamond"/>
          <w:sz w:val="22"/>
          <w:szCs w:val="22"/>
        </w:rPr>
        <w:t xml:space="preserve"> might vary (in Italy there</w:t>
      </w:r>
      <w:r w:rsidR="00380B79" w:rsidRPr="00A55F3A">
        <w:rPr>
          <w:rFonts w:ascii="Garamond" w:hAnsi="Garamond"/>
          <w:sz w:val="22"/>
          <w:szCs w:val="22"/>
        </w:rPr>
        <w:t xml:space="preserve"> is a</w:t>
      </w:r>
      <w:r w:rsidRPr="00A55F3A">
        <w:rPr>
          <w:rFonts w:ascii="Garamond" w:hAnsi="Garamond"/>
          <w:sz w:val="22"/>
          <w:szCs w:val="22"/>
        </w:rPr>
        <w:t xml:space="preserve"> </w:t>
      </w:r>
      <w:r w:rsidR="006C3790" w:rsidRPr="00A55F3A">
        <w:rPr>
          <w:rFonts w:ascii="Garamond" w:hAnsi="Garamond"/>
          <w:sz w:val="22"/>
          <w:szCs w:val="22"/>
        </w:rPr>
        <w:t xml:space="preserve">deontological </w:t>
      </w:r>
      <w:r w:rsidRPr="00A55F3A">
        <w:rPr>
          <w:rFonts w:ascii="Garamond" w:hAnsi="Garamond"/>
          <w:sz w:val="22"/>
          <w:szCs w:val="22"/>
        </w:rPr>
        <w:t xml:space="preserve">evaluation of their improperness, whereas in England and Wales there is </w:t>
      </w:r>
      <w:r w:rsidR="006C3790" w:rsidRPr="00A55F3A">
        <w:rPr>
          <w:rFonts w:ascii="Garamond" w:hAnsi="Garamond"/>
          <w:sz w:val="22"/>
          <w:szCs w:val="22"/>
        </w:rPr>
        <w:t>assessment</w:t>
      </w:r>
      <w:r w:rsidR="003567BF" w:rsidRPr="00A55F3A">
        <w:rPr>
          <w:rFonts w:ascii="Garamond" w:hAnsi="Garamond"/>
          <w:sz w:val="22"/>
          <w:szCs w:val="22"/>
        </w:rPr>
        <w:t xml:space="preserve"> </w:t>
      </w:r>
      <w:r w:rsidRPr="00A55F3A">
        <w:rPr>
          <w:rFonts w:ascii="Garamond" w:hAnsi="Garamond"/>
          <w:sz w:val="22"/>
          <w:szCs w:val="22"/>
        </w:rPr>
        <w:t xml:space="preserve">of their </w:t>
      </w:r>
      <w:r w:rsidR="006C3790" w:rsidRPr="00A55F3A">
        <w:rPr>
          <w:rFonts w:ascii="Garamond" w:hAnsi="Garamond"/>
          <w:sz w:val="22"/>
          <w:szCs w:val="22"/>
        </w:rPr>
        <w:t>consequences</w:t>
      </w:r>
      <w:r w:rsidR="003567BF" w:rsidRPr="00A55F3A">
        <w:rPr>
          <w:rFonts w:ascii="Garamond" w:hAnsi="Garamond"/>
          <w:sz w:val="22"/>
          <w:szCs w:val="22"/>
        </w:rPr>
        <w:t xml:space="preserve"> </w:t>
      </w:r>
      <w:r w:rsidR="006C3790" w:rsidRPr="00A55F3A">
        <w:rPr>
          <w:rFonts w:ascii="Garamond" w:hAnsi="Garamond"/>
          <w:sz w:val="22"/>
          <w:szCs w:val="22"/>
        </w:rPr>
        <w:t>in the main issue of</w:t>
      </w:r>
      <w:r w:rsidR="003567BF" w:rsidRPr="00A55F3A">
        <w:rPr>
          <w:rFonts w:ascii="Garamond" w:hAnsi="Garamond"/>
          <w:sz w:val="22"/>
          <w:szCs w:val="22"/>
        </w:rPr>
        <w:t xml:space="preserve"> </w:t>
      </w:r>
      <w:r w:rsidR="003E6331" w:rsidRPr="00A55F3A">
        <w:rPr>
          <w:rFonts w:ascii="Garamond" w:hAnsi="Garamond"/>
          <w:sz w:val="22"/>
          <w:szCs w:val="22"/>
        </w:rPr>
        <w:t xml:space="preserve">the </w:t>
      </w:r>
      <w:r w:rsidRPr="00A55F3A">
        <w:rPr>
          <w:rFonts w:ascii="Garamond" w:hAnsi="Garamond"/>
          <w:sz w:val="22"/>
          <w:szCs w:val="22"/>
        </w:rPr>
        <w:t>case), the judicial decisions that follow are either allowed or disallowed.</w:t>
      </w:r>
    </w:p>
    <w:p w14:paraId="1719D51C" w14:textId="19A0F451"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Given the prominent role of case law</w:t>
      </w:r>
      <w:r w:rsidR="006B63B0" w:rsidRPr="00A55F3A">
        <w:rPr>
          <w:rFonts w:ascii="Garamond" w:hAnsi="Garamond"/>
          <w:sz w:val="22"/>
          <w:szCs w:val="22"/>
        </w:rPr>
        <w:t>,</w:t>
      </w:r>
      <w:r w:rsidRPr="00A55F3A">
        <w:rPr>
          <w:rFonts w:ascii="Garamond" w:hAnsi="Garamond"/>
          <w:sz w:val="22"/>
          <w:szCs w:val="22"/>
        </w:rPr>
        <w:t xml:space="preserve"> an analysis that focus</w:t>
      </w:r>
      <w:r w:rsidR="006B63B0" w:rsidRPr="00A55F3A">
        <w:rPr>
          <w:rFonts w:ascii="Garamond" w:hAnsi="Garamond"/>
          <w:sz w:val="22"/>
          <w:szCs w:val="22"/>
        </w:rPr>
        <w:t>es</w:t>
      </w:r>
      <w:r w:rsidRPr="00A55F3A">
        <w:rPr>
          <w:rFonts w:ascii="Garamond" w:hAnsi="Garamond"/>
          <w:sz w:val="22"/>
          <w:szCs w:val="22"/>
        </w:rPr>
        <w:t xml:space="preserve"> on principles might not inform either academics or practitioners. For instance Jane Stapleton in his </w:t>
      </w:r>
      <w:r w:rsidRPr="00A55F3A">
        <w:rPr>
          <w:rFonts w:ascii="Garamond" w:hAnsi="Garamond"/>
          <w:i/>
          <w:sz w:val="22"/>
          <w:szCs w:val="22"/>
        </w:rPr>
        <w:t>Benefits of Comparative Tort Reasoning: Lost in Translation</w:t>
      </w:r>
      <w:r w:rsidRPr="00A55F3A">
        <w:rPr>
          <w:rStyle w:val="FootnoteReference"/>
          <w:rFonts w:ascii="Garamond" w:hAnsi="Garamond"/>
          <w:sz w:val="22"/>
          <w:szCs w:val="22"/>
        </w:rPr>
        <w:footnoteReference w:id="18"/>
      </w:r>
      <w:r w:rsidRPr="00A55F3A">
        <w:rPr>
          <w:rFonts w:ascii="Garamond" w:hAnsi="Garamond"/>
          <w:sz w:val="22"/>
          <w:szCs w:val="22"/>
        </w:rPr>
        <w:t xml:space="preserve"> argues that in a comparative analysis that focuses on differences between judicial practices</w:t>
      </w:r>
      <w:r w:rsidR="00E4321A" w:rsidRPr="00A55F3A">
        <w:rPr>
          <w:rFonts w:ascii="Garamond" w:hAnsi="Garamond"/>
          <w:sz w:val="22"/>
          <w:szCs w:val="22"/>
        </w:rPr>
        <w:t>,</w:t>
      </w:r>
      <w:r w:rsidRPr="00A55F3A">
        <w:rPr>
          <w:rFonts w:ascii="Garamond" w:hAnsi="Garamond"/>
          <w:sz w:val="22"/>
          <w:szCs w:val="22"/>
        </w:rPr>
        <w:t xml:space="preserve"> such as the one engaged by this essay, a richer understanding of the compare</w:t>
      </w:r>
      <w:r w:rsidR="006B63B0" w:rsidRPr="00A55F3A">
        <w:rPr>
          <w:rFonts w:ascii="Garamond" w:hAnsi="Garamond"/>
          <w:sz w:val="22"/>
          <w:szCs w:val="22"/>
        </w:rPr>
        <w:t>d</w:t>
      </w:r>
      <w:r w:rsidRPr="00A55F3A">
        <w:rPr>
          <w:rFonts w:ascii="Garamond" w:hAnsi="Garamond"/>
          <w:sz w:val="22"/>
          <w:szCs w:val="22"/>
        </w:rPr>
        <w:t xml:space="preserve"> systems is achieved by focusing on judicial arguments.</w:t>
      </w:r>
      <w:r w:rsidR="001C4BE2" w:rsidRPr="00A55F3A">
        <w:rPr>
          <w:rStyle w:val="FootnoteReference"/>
          <w:rFonts w:ascii="Garamond" w:hAnsi="Garamond"/>
          <w:sz w:val="22"/>
          <w:szCs w:val="22"/>
        </w:rPr>
        <w:footnoteReference w:id="19"/>
      </w:r>
      <w:r w:rsidRPr="00A55F3A">
        <w:rPr>
          <w:rFonts w:ascii="Garamond" w:hAnsi="Garamond"/>
          <w:sz w:val="22"/>
          <w:szCs w:val="22"/>
        </w:rPr>
        <w:t xml:space="preserve"> The methodology, if applied correctly, would allow</w:t>
      </w:r>
      <w:r w:rsidR="006B63B0" w:rsidRPr="00A55F3A">
        <w:rPr>
          <w:rFonts w:ascii="Garamond" w:hAnsi="Garamond"/>
          <w:sz w:val="22"/>
          <w:szCs w:val="22"/>
        </w:rPr>
        <w:t xml:space="preserve"> the reducing</w:t>
      </w:r>
      <w:r w:rsidRPr="00A55F3A">
        <w:rPr>
          <w:rFonts w:ascii="Garamond" w:hAnsi="Garamond"/>
          <w:sz w:val="22"/>
          <w:szCs w:val="22"/>
        </w:rPr>
        <w:t xml:space="preserve"> </w:t>
      </w:r>
      <w:r w:rsidR="006B63B0" w:rsidRPr="00A55F3A">
        <w:rPr>
          <w:rFonts w:ascii="Garamond" w:hAnsi="Garamond"/>
          <w:sz w:val="22"/>
          <w:szCs w:val="22"/>
        </w:rPr>
        <w:t xml:space="preserve">of </w:t>
      </w:r>
      <w:r w:rsidRPr="00A55F3A">
        <w:rPr>
          <w:rFonts w:ascii="Garamond" w:hAnsi="Garamond"/>
          <w:sz w:val="22"/>
          <w:szCs w:val="22"/>
        </w:rPr>
        <w:t>the linguistic and terminological mistakes.</w:t>
      </w:r>
      <w:r w:rsidRPr="00A55F3A">
        <w:rPr>
          <w:rStyle w:val="FootnoteReference"/>
          <w:rFonts w:ascii="Garamond" w:hAnsi="Garamond"/>
          <w:sz w:val="22"/>
          <w:szCs w:val="22"/>
        </w:rPr>
        <w:footnoteReference w:id="20"/>
      </w:r>
      <w:r w:rsidRPr="00A55F3A">
        <w:rPr>
          <w:rFonts w:ascii="Garamond" w:hAnsi="Garamond"/>
          <w:sz w:val="22"/>
          <w:szCs w:val="22"/>
        </w:rPr>
        <w:t xml:space="preserve"> It also reduces the dual concern of comparative subjectivism: ‘the desire to see a common legal pattern in legal systems’ and ‘the tendency to impose one’s own (naïve) legal conceptions and expectations on the systems being compared’.</w:t>
      </w:r>
      <w:r w:rsidR="004A2FD0" w:rsidRPr="00A55F3A">
        <w:rPr>
          <w:rStyle w:val="FootnoteReference"/>
          <w:rFonts w:ascii="Garamond" w:hAnsi="Garamond"/>
          <w:sz w:val="22"/>
          <w:szCs w:val="22"/>
        </w:rPr>
        <w:footnoteReference w:id="21"/>
      </w:r>
    </w:p>
    <w:p w14:paraId="5B0E5E47" w14:textId="0EDD9028" w:rsidR="00605CE2" w:rsidRPr="00A55F3A" w:rsidRDefault="008A16AB" w:rsidP="00A55F3A">
      <w:pPr>
        <w:pStyle w:val="Standard"/>
        <w:spacing w:line="480" w:lineRule="auto"/>
        <w:rPr>
          <w:rFonts w:ascii="Garamond" w:hAnsi="Garamond"/>
          <w:sz w:val="22"/>
          <w:szCs w:val="22"/>
        </w:rPr>
      </w:pPr>
      <w:r w:rsidRPr="00A67D3F">
        <w:rPr>
          <w:rFonts w:ascii="Garamond" w:eastAsia="Garamond" w:hAnsi="Garamond" w:cs="Garamond"/>
          <w:sz w:val="22"/>
          <w:szCs w:val="22"/>
        </w:rPr>
        <w:t>The article,</w:t>
      </w:r>
      <w:r w:rsidR="00380B79" w:rsidRPr="00A67D3F">
        <w:rPr>
          <w:rFonts w:ascii="Garamond" w:eastAsia="Garamond" w:hAnsi="Garamond" w:cs="Garamond"/>
          <w:sz w:val="22"/>
          <w:szCs w:val="22"/>
        </w:rPr>
        <w:t xml:space="preserve"> by</w:t>
      </w:r>
      <w:r w:rsidR="00593D4F" w:rsidRPr="00A67D3F">
        <w:rPr>
          <w:rFonts w:ascii="Garamond" w:eastAsia="Garamond" w:hAnsi="Garamond" w:cs="Garamond"/>
          <w:sz w:val="22"/>
          <w:szCs w:val="22"/>
        </w:rPr>
        <w:t xml:space="preserve"> focusing on </w:t>
      </w:r>
      <w:r w:rsidR="00E4321A" w:rsidRPr="00A67D3F">
        <w:rPr>
          <w:rFonts w:ascii="Garamond" w:eastAsia="Garamond" w:hAnsi="Garamond" w:cs="Garamond"/>
          <w:sz w:val="22"/>
          <w:szCs w:val="22"/>
        </w:rPr>
        <w:t>case law</w:t>
      </w:r>
      <w:r w:rsidR="00380B79" w:rsidRPr="00A67D3F">
        <w:rPr>
          <w:rFonts w:ascii="Garamond" w:eastAsia="Garamond" w:hAnsi="Garamond" w:cs="Garamond"/>
          <w:sz w:val="22"/>
          <w:szCs w:val="22"/>
        </w:rPr>
        <w:t xml:space="preserve"> that qualif</w:t>
      </w:r>
      <w:r w:rsidR="00B70E13" w:rsidRPr="00A67D3F">
        <w:rPr>
          <w:rFonts w:ascii="Garamond" w:eastAsia="Garamond" w:hAnsi="Garamond" w:cs="Garamond"/>
          <w:sz w:val="22"/>
          <w:szCs w:val="22"/>
        </w:rPr>
        <w:t>ies</w:t>
      </w:r>
      <w:r w:rsidR="00380B79" w:rsidRPr="00A67D3F">
        <w:rPr>
          <w:rFonts w:ascii="Garamond" w:eastAsia="Garamond" w:hAnsi="Garamond" w:cs="Garamond"/>
          <w:sz w:val="22"/>
          <w:szCs w:val="22"/>
        </w:rPr>
        <w:t xml:space="preserve"> </w:t>
      </w:r>
      <w:r w:rsidR="004156FD" w:rsidRPr="00A67D3F">
        <w:rPr>
          <w:rFonts w:ascii="Garamond" w:eastAsia="Garamond" w:hAnsi="Garamond" w:cs="Garamond"/>
          <w:sz w:val="22"/>
          <w:szCs w:val="22"/>
        </w:rPr>
        <w:t xml:space="preserve">the regime of </w:t>
      </w:r>
      <w:r w:rsidR="00291400" w:rsidRPr="00A67D3F">
        <w:rPr>
          <w:rFonts w:ascii="Garamond" w:eastAsia="Garamond" w:hAnsi="Garamond" w:cs="Garamond"/>
          <w:sz w:val="22"/>
          <w:szCs w:val="22"/>
        </w:rPr>
        <w:t>IOE</w:t>
      </w:r>
      <w:r w:rsidR="00E4321A" w:rsidRPr="00A67D3F">
        <w:rPr>
          <w:rFonts w:ascii="Garamond" w:eastAsia="Garamond" w:hAnsi="Garamond" w:cs="Garamond"/>
          <w:sz w:val="22"/>
          <w:szCs w:val="22"/>
        </w:rPr>
        <w:t>,</w:t>
      </w:r>
      <w:r w:rsidR="00593D4F" w:rsidRPr="00A67D3F">
        <w:rPr>
          <w:rFonts w:ascii="Garamond" w:eastAsia="Garamond" w:hAnsi="Garamond" w:cs="Garamond"/>
          <w:sz w:val="22"/>
          <w:szCs w:val="22"/>
        </w:rPr>
        <w:t xml:space="preserve"> </w:t>
      </w:r>
      <w:r w:rsidRPr="00A67D3F">
        <w:rPr>
          <w:rFonts w:ascii="Garamond" w:eastAsia="Garamond" w:hAnsi="Garamond" w:cs="Garamond"/>
          <w:sz w:val="22"/>
          <w:szCs w:val="22"/>
        </w:rPr>
        <w:t xml:space="preserve">will mitigate the effect of </w:t>
      </w:r>
      <w:r w:rsidR="00593D4F" w:rsidRPr="00A67D3F">
        <w:rPr>
          <w:rFonts w:ascii="Garamond" w:eastAsia="Garamond" w:hAnsi="Garamond" w:cs="Garamond"/>
          <w:sz w:val="22"/>
          <w:szCs w:val="22"/>
        </w:rPr>
        <w:t>comparative subjectivism</w:t>
      </w:r>
      <w:r w:rsidR="00E4321A" w:rsidRPr="00A67D3F">
        <w:rPr>
          <w:rFonts w:ascii="Garamond" w:eastAsia="Garamond" w:hAnsi="Garamond" w:cs="Garamond"/>
          <w:sz w:val="22"/>
          <w:szCs w:val="22"/>
        </w:rPr>
        <w:t>.</w:t>
      </w:r>
      <w:r w:rsidR="003567BF" w:rsidRPr="00A67D3F">
        <w:rPr>
          <w:rFonts w:ascii="Garamond" w:eastAsia="Garamond" w:hAnsi="Garamond" w:cs="Garamond"/>
          <w:sz w:val="22"/>
          <w:szCs w:val="22"/>
        </w:rPr>
        <w:t xml:space="preserve"> </w:t>
      </w:r>
      <w:r w:rsidR="00E4321A" w:rsidRPr="00A67D3F">
        <w:rPr>
          <w:rFonts w:ascii="Garamond" w:eastAsia="Garamond" w:hAnsi="Garamond" w:cs="Garamond"/>
          <w:sz w:val="22"/>
          <w:szCs w:val="22"/>
        </w:rPr>
        <w:t>J</w:t>
      </w:r>
      <w:r w:rsidR="00593D4F" w:rsidRPr="00A67D3F">
        <w:rPr>
          <w:rFonts w:ascii="Garamond" w:eastAsia="Garamond" w:hAnsi="Garamond" w:cs="Garamond"/>
          <w:sz w:val="22"/>
          <w:szCs w:val="22"/>
        </w:rPr>
        <w:t>udges</w:t>
      </w:r>
      <w:r w:rsidR="00380B79" w:rsidRPr="00A67D3F">
        <w:rPr>
          <w:rFonts w:ascii="Garamond" w:eastAsia="Garamond" w:hAnsi="Garamond" w:cs="Garamond"/>
          <w:sz w:val="22"/>
          <w:szCs w:val="22"/>
        </w:rPr>
        <w:t xml:space="preserve"> that are asked to admit/exclude</w:t>
      </w:r>
      <w:r w:rsidR="00C10D33" w:rsidRPr="00A67D3F">
        <w:rPr>
          <w:rFonts w:ascii="Garamond" w:eastAsia="Garamond" w:hAnsi="Garamond" w:cs="Garamond"/>
          <w:sz w:val="22"/>
          <w:szCs w:val="22"/>
        </w:rPr>
        <w:t xml:space="preserve"> an </w:t>
      </w:r>
      <w:r w:rsidR="00380B79" w:rsidRPr="00A67D3F">
        <w:rPr>
          <w:rFonts w:ascii="Garamond" w:eastAsia="Garamond" w:hAnsi="Garamond" w:cs="Garamond"/>
          <w:sz w:val="22"/>
          <w:szCs w:val="22"/>
        </w:rPr>
        <w:t xml:space="preserve"> </w:t>
      </w:r>
      <w:r w:rsidR="00291400" w:rsidRPr="00A67D3F">
        <w:rPr>
          <w:rFonts w:ascii="Garamond" w:eastAsia="Garamond" w:hAnsi="Garamond" w:cs="Garamond"/>
          <w:sz w:val="22"/>
          <w:szCs w:val="22"/>
        </w:rPr>
        <w:t>IOE</w:t>
      </w:r>
      <w:r w:rsidR="00B50D56" w:rsidRPr="00A67D3F">
        <w:rPr>
          <w:rFonts w:ascii="Garamond" w:eastAsia="Garamond" w:hAnsi="Garamond" w:cs="Garamond"/>
          <w:sz w:val="22"/>
          <w:szCs w:val="22"/>
        </w:rPr>
        <w:t xml:space="preserve"> </w:t>
      </w:r>
      <w:r w:rsidR="00593D4F" w:rsidRPr="00A67D3F">
        <w:rPr>
          <w:rFonts w:ascii="Garamond" w:eastAsia="Garamond" w:hAnsi="Garamond" w:cs="Garamond"/>
          <w:sz w:val="22"/>
          <w:szCs w:val="22"/>
        </w:rPr>
        <w:t xml:space="preserve">are asked to provide </w:t>
      </w:r>
      <w:r w:rsidR="00253EE6" w:rsidRPr="00A67D3F">
        <w:rPr>
          <w:rFonts w:ascii="Garamond" w:eastAsia="Garamond" w:hAnsi="Garamond" w:cs="Garamond"/>
          <w:sz w:val="22"/>
          <w:szCs w:val="22"/>
        </w:rPr>
        <w:t>a solution</w:t>
      </w:r>
      <w:r w:rsidR="00593D4F" w:rsidRPr="00A67D3F">
        <w:rPr>
          <w:rFonts w:ascii="Garamond" w:eastAsia="Garamond" w:hAnsi="Garamond" w:cs="Garamond"/>
          <w:sz w:val="22"/>
          <w:szCs w:val="22"/>
        </w:rPr>
        <w:t xml:space="preserve"> to legal dilemmas. The level of </w:t>
      </w:r>
      <w:r w:rsidR="00F60E23" w:rsidRPr="00A67D3F">
        <w:rPr>
          <w:rFonts w:ascii="Garamond" w:eastAsia="Garamond" w:hAnsi="Garamond" w:cs="Garamond"/>
          <w:sz w:val="22"/>
          <w:szCs w:val="22"/>
        </w:rPr>
        <w:t>candor</w:t>
      </w:r>
      <w:r w:rsidR="00593D4F" w:rsidRPr="00A67D3F">
        <w:rPr>
          <w:rFonts w:ascii="Garamond" w:eastAsia="Garamond" w:hAnsi="Garamond" w:cs="Garamond"/>
          <w:sz w:val="22"/>
          <w:szCs w:val="22"/>
        </w:rPr>
        <w:t xml:space="preserve"> of how a judge </w:t>
      </w:r>
      <w:r w:rsidR="00197FA7" w:rsidRPr="00A67D3F">
        <w:rPr>
          <w:rFonts w:ascii="Garamond" w:eastAsia="Garamond" w:hAnsi="Garamond" w:cs="Garamond"/>
          <w:sz w:val="22"/>
          <w:szCs w:val="22"/>
        </w:rPr>
        <w:t>represent each</w:t>
      </w:r>
      <w:r w:rsidR="004156FD" w:rsidRPr="00A67D3F">
        <w:rPr>
          <w:rFonts w:ascii="Garamond" w:eastAsia="Garamond" w:hAnsi="Garamond" w:cs="Garamond"/>
          <w:sz w:val="22"/>
          <w:szCs w:val="22"/>
        </w:rPr>
        <w:t xml:space="preserve"> party's argument</w:t>
      </w:r>
      <w:r w:rsidR="00197FA7" w:rsidRPr="00A67D3F">
        <w:rPr>
          <w:rFonts w:ascii="Garamond" w:eastAsia="Garamond" w:hAnsi="Garamond" w:cs="Garamond"/>
          <w:sz w:val="22"/>
          <w:szCs w:val="22"/>
        </w:rPr>
        <w:t xml:space="preserve"> in the decision</w:t>
      </w:r>
      <w:r w:rsidR="00593D4F" w:rsidRPr="00A67D3F">
        <w:rPr>
          <w:rFonts w:ascii="Garamond" w:eastAsia="Garamond" w:hAnsi="Garamond" w:cs="Garamond"/>
          <w:sz w:val="22"/>
          <w:szCs w:val="22"/>
        </w:rPr>
        <w:t xml:space="preserve"> might vary and </w:t>
      </w:r>
      <w:r w:rsidR="00E4321A" w:rsidRPr="00A67D3F">
        <w:rPr>
          <w:rFonts w:ascii="Garamond" w:eastAsia="Garamond" w:hAnsi="Garamond" w:cs="Garamond"/>
          <w:sz w:val="22"/>
          <w:szCs w:val="22"/>
        </w:rPr>
        <w:t>it is possible to deliver a</w:t>
      </w:r>
      <w:r w:rsidR="003567BF" w:rsidRPr="00A67D3F">
        <w:rPr>
          <w:rFonts w:ascii="Garamond" w:eastAsia="Garamond" w:hAnsi="Garamond" w:cs="Garamond"/>
          <w:sz w:val="22"/>
          <w:szCs w:val="22"/>
        </w:rPr>
        <w:t xml:space="preserve"> </w:t>
      </w:r>
      <w:r w:rsidR="00593D4F" w:rsidRPr="00A67D3F">
        <w:rPr>
          <w:rFonts w:ascii="Garamond" w:eastAsia="Garamond" w:hAnsi="Garamond" w:cs="Garamond"/>
          <w:sz w:val="22"/>
          <w:szCs w:val="22"/>
        </w:rPr>
        <w:t xml:space="preserve">misdirected comparative assessment </w:t>
      </w:r>
      <w:r w:rsidR="00E4321A" w:rsidRPr="00A67D3F">
        <w:rPr>
          <w:rFonts w:ascii="Garamond" w:eastAsia="Garamond" w:hAnsi="Garamond" w:cs="Garamond"/>
          <w:sz w:val="22"/>
          <w:szCs w:val="22"/>
        </w:rPr>
        <w:t>by, for instance,</w:t>
      </w:r>
      <w:r w:rsidR="003567BF" w:rsidRPr="00A67D3F">
        <w:rPr>
          <w:rFonts w:ascii="Garamond" w:eastAsia="Garamond" w:hAnsi="Garamond" w:cs="Garamond"/>
          <w:sz w:val="22"/>
          <w:szCs w:val="22"/>
        </w:rPr>
        <w:t xml:space="preserve"> </w:t>
      </w:r>
      <w:r w:rsidR="00593D4F" w:rsidRPr="00A67D3F">
        <w:rPr>
          <w:rFonts w:ascii="Garamond" w:eastAsia="Garamond" w:hAnsi="Garamond" w:cs="Garamond"/>
          <w:sz w:val="22"/>
          <w:szCs w:val="22"/>
        </w:rPr>
        <w:t>stretch</w:t>
      </w:r>
      <w:r w:rsidR="00E4321A" w:rsidRPr="00A67D3F">
        <w:rPr>
          <w:rFonts w:ascii="Garamond" w:eastAsia="Garamond" w:hAnsi="Garamond" w:cs="Garamond"/>
          <w:sz w:val="22"/>
          <w:szCs w:val="22"/>
        </w:rPr>
        <w:t>ing</w:t>
      </w:r>
      <w:r w:rsidR="003567BF" w:rsidRPr="00A67D3F">
        <w:rPr>
          <w:rFonts w:ascii="Garamond" w:eastAsia="Garamond" w:hAnsi="Garamond" w:cs="Garamond"/>
          <w:sz w:val="22"/>
          <w:szCs w:val="22"/>
        </w:rPr>
        <w:t xml:space="preserve"> </w:t>
      </w:r>
      <w:r w:rsidR="00593D4F" w:rsidRPr="00A67D3F">
        <w:rPr>
          <w:rFonts w:ascii="Garamond" w:eastAsia="Garamond" w:hAnsi="Garamond" w:cs="Garamond"/>
          <w:sz w:val="22"/>
          <w:szCs w:val="22"/>
        </w:rPr>
        <w:t>the signifi</w:t>
      </w:r>
      <w:r w:rsidR="00E4321A" w:rsidRPr="00A67D3F">
        <w:rPr>
          <w:rFonts w:ascii="Garamond" w:eastAsia="Garamond" w:hAnsi="Garamond" w:cs="Garamond"/>
          <w:sz w:val="22"/>
          <w:szCs w:val="22"/>
        </w:rPr>
        <w:t>cance of authoritative argument</w:t>
      </w:r>
      <w:r w:rsidR="00593D4F" w:rsidRPr="00A67D3F">
        <w:rPr>
          <w:rFonts w:ascii="Garamond" w:eastAsia="Garamond" w:hAnsi="Garamond" w:cs="Garamond"/>
          <w:sz w:val="22"/>
          <w:szCs w:val="22"/>
        </w:rPr>
        <w:t>. However, the</w:t>
      </w:r>
      <w:r w:rsidR="00E4321A" w:rsidRPr="00A67D3F">
        <w:rPr>
          <w:rFonts w:ascii="Garamond" w:eastAsia="Garamond" w:hAnsi="Garamond" w:cs="Garamond"/>
          <w:sz w:val="22"/>
          <w:szCs w:val="22"/>
        </w:rPr>
        <w:t xml:space="preserve"> </w:t>
      </w:r>
      <w:r w:rsidR="00E4321A" w:rsidRPr="00A67D3F">
        <w:rPr>
          <w:rFonts w:ascii="Garamond" w:eastAsia="Garamond" w:hAnsi="Garamond" w:cs="Garamond"/>
          <w:sz w:val="22"/>
          <w:szCs w:val="22"/>
        </w:rPr>
        <w:lastRenderedPageBreak/>
        <w:t xml:space="preserve">possibility of </w:t>
      </w:r>
      <w:r w:rsidR="00691E3E" w:rsidRPr="00A67D3F">
        <w:rPr>
          <w:rFonts w:ascii="Garamond" w:eastAsia="Garamond" w:hAnsi="Garamond" w:cs="Garamond"/>
          <w:sz w:val="22"/>
          <w:szCs w:val="22"/>
        </w:rPr>
        <w:t xml:space="preserve">making </w:t>
      </w:r>
      <w:r w:rsidR="00E4321A" w:rsidRPr="00A67D3F">
        <w:rPr>
          <w:rFonts w:ascii="Garamond" w:eastAsia="Garamond" w:hAnsi="Garamond" w:cs="Garamond"/>
          <w:sz w:val="22"/>
          <w:szCs w:val="22"/>
        </w:rPr>
        <w:t>these types of mistakes</w:t>
      </w:r>
      <w:r w:rsidR="00392455" w:rsidRPr="00A67D3F">
        <w:rPr>
          <w:rFonts w:ascii="Garamond" w:eastAsia="Garamond" w:hAnsi="Garamond" w:cs="Garamond"/>
          <w:sz w:val="22"/>
          <w:szCs w:val="22"/>
        </w:rPr>
        <w:t xml:space="preserve"> (</w:t>
      </w:r>
      <w:r w:rsidR="006A0B80" w:rsidRPr="00A67D3F">
        <w:rPr>
          <w:rFonts w:ascii="Garamond" w:eastAsia="Garamond" w:hAnsi="Garamond" w:cs="Garamond"/>
          <w:sz w:val="22"/>
          <w:szCs w:val="22"/>
        </w:rPr>
        <w:t>which might be perceived as</w:t>
      </w:r>
      <w:r w:rsidR="00A774B7" w:rsidRPr="00A67D3F">
        <w:rPr>
          <w:rFonts w:ascii="Garamond" w:eastAsia="Garamond" w:hAnsi="Garamond" w:cs="Garamond"/>
          <w:sz w:val="22"/>
          <w:szCs w:val="22"/>
        </w:rPr>
        <w:t>:</w:t>
      </w:r>
      <w:r w:rsidR="006A0B80" w:rsidRPr="00A67D3F">
        <w:rPr>
          <w:rFonts w:ascii="Garamond" w:eastAsia="Garamond" w:hAnsi="Garamond" w:cs="Garamond"/>
          <w:sz w:val="22"/>
          <w:szCs w:val="22"/>
        </w:rPr>
        <w:t xml:space="preserve"> </w:t>
      </w:r>
      <w:r w:rsidR="00197FA7" w:rsidRPr="00A67D3F">
        <w:rPr>
          <w:rFonts w:ascii="Garamond" w:eastAsia="Garamond" w:hAnsi="Garamond" w:cs="Garamond"/>
          <w:sz w:val="22"/>
          <w:szCs w:val="22"/>
        </w:rPr>
        <w:t>“</w:t>
      </w:r>
      <w:r w:rsidR="00392455" w:rsidRPr="00A67D3F">
        <w:rPr>
          <w:rFonts w:ascii="Garamond" w:eastAsia="Garamond" w:hAnsi="Garamond" w:cs="Garamond"/>
          <w:sz w:val="22"/>
          <w:szCs w:val="22"/>
        </w:rPr>
        <w:t>massaging the narrative</w:t>
      </w:r>
      <w:r w:rsidR="00197FA7" w:rsidRPr="00A67D3F">
        <w:rPr>
          <w:rFonts w:ascii="Garamond" w:eastAsia="Garamond" w:hAnsi="Garamond" w:cs="Garamond"/>
          <w:sz w:val="22"/>
          <w:szCs w:val="22"/>
        </w:rPr>
        <w:t>”</w:t>
      </w:r>
      <w:r w:rsidR="00392455" w:rsidRPr="00A67D3F">
        <w:rPr>
          <w:rFonts w:ascii="Garamond" w:eastAsia="Garamond" w:hAnsi="Garamond" w:cs="Garamond"/>
          <w:sz w:val="22"/>
          <w:szCs w:val="22"/>
        </w:rPr>
        <w:t>)</w:t>
      </w:r>
      <w:r w:rsidR="00B50D56" w:rsidRPr="00A67D3F">
        <w:rPr>
          <w:rFonts w:ascii="Garamond" w:eastAsia="Garamond" w:hAnsi="Garamond" w:cs="Garamond"/>
          <w:sz w:val="22"/>
          <w:szCs w:val="22"/>
        </w:rPr>
        <w:t xml:space="preserve"> </w:t>
      </w:r>
      <w:r w:rsidR="00E4321A" w:rsidRPr="00A67D3F">
        <w:rPr>
          <w:rFonts w:ascii="Garamond" w:eastAsia="Garamond" w:hAnsi="Garamond" w:cs="Garamond"/>
          <w:sz w:val="22"/>
          <w:szCs w:val="22"/>
        </w:rPr>
        <w:t>is reduced in comparative analyses that focus</w:t>
      </w:r>
      <w:r w:rsidR="00593D4F" w:rsidRPr="00A67D3F">
        <w:rPr>
          <w:rFonts w:ascii="Garamond" w:eastAsia="Garamond" w:hAnsi="Garamond" w:cs="Garamond"/>
          <w:sz w:val="22"/>
          <w:szCs w:val="22"/>
        </w:rPr>
        <w:t xml:space="preserve"> </w:t>
      </w:r>
      <w:r w:rsidR="00E4321A" w:rsidRPr="00A67D3F">
        <w:rPr>
          <w:rFonts w:ascii="Garamond" w:eastAsia="Garamond" w:hAnsi="Garamond" w:cs="Garamond"/>
          <w:sz w:val="22"/>
          <w:szCs w:val="22"/>
        </w:rPr>
        <w:t xml:space="preserve">on the </w:t>
      </w:r>
      <w:r w:rsidR="006A0B80" w:rsidRPr="00A67D3F">
        <w:rPr>
          <w:rFonts w:ascii="Garamond" w:eastAsia="Garamond" w:hAnsi="Garamond" w:cs="Garamond"/>
          <w:sz w:val="22"/>
          <w:szCs w:val="22"/>
        </w:rPr>
        <w:t xml:space="preserve">series of winning and losing </w:t>
      </w:r>
      <w:r w:rsidR="00A774B7" w:rsidRPr="00A67D3F">
        <w:rPr>
          <w:rFonts w:ascii="Garamond" w:eastAsia="Garamond" w:hAnsi="Garamond" w:cs="Garamond"/>
          <w:sz w:val="22"/>
          <w:szCs w:val="22"/>
        </w:rPr>
        <w:t xml:space="preserve">judicial decisions </w:t>
      </w:r>
      <w:r w:rsidR="00197FA7" w:rsidRPr="00A67D3F">
        <w:rPr>
          <w:rFonts w:ascii="Garamond" w:eastAsia="Garamond" w:hAnsi="Garamond" w:cs="Garamond"/>
          <w:sz w:val="22"/>
          <w:szCs w:val="22"/>
        </w:rPr>
        <w:t xml:space="preserve"> (such as the one</w:t>
      </w:r>
      <w:r w:rsidR="00A774B7" w:rsidRPr="00A67D3F">
        <w:rPr>
          <w:rFonts w:ascii="Garamond" w:eastAsia="Garamond" w:hAnsi="Garamond" w:cs="Garamond"/>
          <w:sz w:val="22"/>
          <w:szCs w:val="22"/>
        </w:rPr>
        <w:t xml:space="preserve">s that </w:t>
      </w:r>
      <w:r w:rsidR="00197FA7" w:rsidRPr="00A67D3F">
        <w:rPr>
          <w:rFonts w:ascii="Garamond" w:eastAsia="Garamond" w:hAnsi="Garamond" w:cs="Garamond"/>
          <w:sz w:val="22"/>
          <w:szCs w:val="22"/>
        </w:rPr>
        <w:t xml:space="preserve"> accepted or  excluded IOE)</w:t>
      </w:r>
      <w:r w:rsidR="2E3206C5" w:rsidRPr="00A67D3F">
        <w:rPr>
          <w:rFonts w:ascii="Garamond" w:eastAsia="Garamond" w:hAnsi="Garamond" w:cs="Garamond"/>
          <w:sz w:val="22"/>
          <w:szCs w:val="22"/>
        </w:rPr>
        <w:t xml:space="preserve">. </w:t>
      </w:r>
      <w:r w:rsidR="006C3790" w:rsidRPr="00A67D3F">
        <w:rPr>
          <w:rFonts w:ascii="Garamond" w:eastAsia="Garamond" w:hAnsi="Garamond" w:cs="Garamond"/>
          <w:sz w:val="22"/>
          <w:szCs w:val="22"/>
        </w:rPr>
        <w:t xml:space="preserve"> This is the methodology that </w:t>
      </w:r>
      <w:r w:rsidR="002B3CEA" w:rsidRPr="00A67D3F">
        <w:rPr>
          <w:rFonts w:ascii="Garamond" w:eastAsia="Garamond" w:hAnsi="Garamond" w:cs="Garamond"/>
          <w:sz w:val="22"/>
          <w:szCs w:val="22"/>
        </w:rPr>
        <w:t>this essay</w:t>
      </w:r>
      <w:r w:rsidR="006C3790" w:rsidRPr="00A67D3F">
        <w:rPr>
          <w:rFonts w:ascii="Garamond" w:eastAsia="Garamond" w:hAnsi="Garamond" w:cs="Garamond"/>
          <w:sz w:val="22"/>
          <w:szCs w:val="22"/>
        </w:rPr>
        <w:t xml:space="preserve"> will follow.</w:t>
      </w:r>
      <w:r w:rsidR="003567BF" w:rsidRPr="00A67D3F">
        <w:rPr>
          <w:rFonts w:ascii="Garamond" w:eastAsia="Garamond" w:hAnsi="Garamond" w:cs="Garamond"/>
          <w:sz w:val="22"/>
          <w:szCs w:val="22"/>
        </w:rPr>
        <w:t xml:space="preserve"> </w:t>
      </w:r>
    </w:p>
    <w:p w14:paraId="3B12D602" w14:textId="2936E773"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Thirdly, this article will compare </w:t>
      </w:r>
      <w:r w:rsidR="0063123C" w:rsidRPr="00A55F3A">
        <w:rPr>
          <w:rFonts w:ascii="Garamond" w:hAnsi="Garamond"/>
          <w:sz w:val="22"/>
          <w:szCs w:val="22"/>
        </w:rPr>
        <w:t>Italian and</w:t>
      </w:r>
      <w:r w:rsidR="003567BF" w:rsidRPr="00A55F3A">
        <w:rPr>
          <w:rFonts w:ascii="Garamond" w:hAnsi="Garamond"/>
          <w:sz w:val="22"/>
          <w:szCs w:val="22"/>
        </w:rPr>
        <w:t xml:space="preserve"> </w:t>
      </w:r>
      <w:r w:rsidR="00763452" w:rsidRPr="00A55F3A">
        <w:rPr>
          <w:rFonts w:ascii="Garamond" w:hAnsi="Garamond"/>
          <w:sz w:val="22"/>
          <w:szCs w:val="22"/>
        </w:rPr>
        <w:t>English</w:t>
      </w:r>
      <w:r w:rsidR="00584F92" w:rsidRPr="00A55F3A">
        <w:rPr>
          <w:rFonts w:ascii="Garamond" w:hAnsi="Garamond"/>
          <w:sz w:val="22"/>
          <w:szCs w:val="22"/>
        </w:rPr>
        <w:t xml:space="preserve"> </w:t>
      </w:r>
      <w:r w:rsidR="00D13877">
        <w:rPr>
          <w:rFonts w:ascii="Garamond" w:hAnsi="Garamond"/>
          <w:sz w:val="22"/>
          <w:szCs w:val="22"/>
        </w:rPr>
        <w:t xml:space="preserve"> </w:t>
      </w:r>
      <w:r w:rsidR="0063123C" w:rsidRPr="00A55F3A">
        <w:rPr>
          <w:rFonts w:ascii="Garamond" w:hAnsi="Garamond"/>
          <w:sz w:val="22"/>
          <w:szCs w:val="22"/>
        </w:rPr>
        <w:t>regime</w:t>
      </w:r>
      <w:r w:rsidR="006B63B0" w:rsidRPr="00A55F3A">
        <w:rPr>
          <w:rFonts w:ascii="Garamond" w:hAnsi="Garamond"/>
          <w:sz w:val="22"/>
          <w:szCs w:val="22"/>
        </w:rPr>
        <w:t>s</w:t>
      </w:r>
      <w:r w:rsidR="0063123C" w:rsidRPr="00A55F3A">
        <w:rPr>
          <w:rFonts w:ascii="Garamond" w:hAnsi="Garamond"/>
          <w:sz w:val="22"/>
          <w:szCs w:val="22"/>
        </w:rPr>
        <w:t xml:space="preserve"> of </w:t>
      </w:r>
      <w:r w:rsidR="00291400" w:rsidRPr="00A55F3A">
        <w:rPr>
          <w:rFonts w:ascii="Garamond" w:hAnsi="Garamond"/>
          <w:sz w:val="22"/>
          <w:szCs w:val="22"/>
        </w:rPr>
        <w:t>IOE</w:t>
      </w:r>
      <w:r w:rsidR="0063123C" w:rsidRPr="00A55F3A">
        <w:rPr>
          <w:rFonts w:ascii="Garamond" w:hAnsi="Garamond"/>
          <w:sz w:val="22"/>
          <w:szCs w:val="22"/>
        </w:rPr>
        <w:t xml:space="preserve"> in</w:t>
      </w:r>
      <w:r w:rsidR="003567BF" w:rsidRPr="00A55F3A">
        <w:rPr>
          <w:rFonts w:ascii="Garamond" w:hAnsi="Garamond"/>
          <w:sz w:val="22"/>
          <w:szCs w:val="22"/>
        </w:rPr>
        <w:t xml:space="preserve"> </w:t>
      </w:r>
      <w:r w:rsidRPr="00A55F3A">
        <w:rPr>
          <w:rFonts w:ascii="Garamond" w:hAnsi="Garamond"/>
          <w:sz w:val="22"/>
          <w:szCs w:val="22"/>
        </w:rPr>
        <w:t xml:space="preserve">civil and family law </w:t>
      </w:r>
      <w:r w:rsidR="00102D86" w:rsidRPr="00A55F3A">
        <w:rPr>
          <w:rFonts w:ascii="Garamond" w:hAnsi="Garamond"/>
          <w:sz w:val="22"/>
          <w:szCs w:val="22"/>
        </w:rPr>
        <w:t>case</w:t>
      </w:r>
      <w:r w:rsidR="0063123C" w:rsidRPr="00A55F3A">
        <w:rPr>
          <w:rFonts w:ascii="Garamond" w:hAnsi="Garamond"/>
          <w:sz w:val="22"/>
          <w:szCs w:val="22"/>
        </w:rPr>
        <w:t>s</w:t>
      </w:r>
      <w:r w:rsidRPr="00A55F3A">
        <w:rPr>
          <w:rFonts w:ascii="Garamond" w:hAnsi="Garamond"/>
          <w:sz w:val="22"/>
          <w:szCs w:val="22"/>
        </w:rPr>
        <w:t xml:space="preserve">. </w:t>
      </w:r>
      <w:r w:rsidR="0063123C" w:rsidRPr="00A55F3A">
        <w:rPr>
          <w:rFonts w:ascii="Garamond" w:hAnsi="Garamond"/>
          <w:sz w:val="22"/>
          <w:szCs w:val="22"/>
        </w:rPr>
        <w:t xml:space="preserve">It is important to note </w:t>
      </w:r>
      <w:r w:rsidRPr="00A55F3A">
        <w:rPr>
          <w:rFonts w:ascii="Garamond" w:hAnsi="Garamond"/>
          <w:sz w:val="22"/>
          <w:szCs w:val="22"/>
        </w:rPr>
        <w:t>Italian civil proc</w:t>
      </w:r>
      <w:r w:rsidR="00763452" w:rsidRPr="00A55F3A">
        <w:rPr>
          <w:rFonts w:ascii="Garamond" w:hAnsi="Garamond"/>
          <w:sz w:val="22"/>
          <w:szCs w:val="22"/>
        </w:rPr>
        <w:t>edure rules do not distinguish</w:t>
      </w:r>
      <w:r w:rsidRPr="00A55F3A">
        <w:rPr>
          <w:rFonts w:ascii="Garamond" w:hAnsi="Garamond"/>
          <w:sz w:val="22"/>
          <w:szCs w:val="22"/>
        </w:rPr>
        <w:t xml:space="preserve"> the regime of </w:t>
      </w:r>
      <w:r w:rsidR="00291400" w:rsidRPr="00A55F3A">
        <w:rPr>
          <w:rFonts w:ascii="Garamond" w:hAnsi="Garamond"/>
          <w:sz w:val="22"/>
          <w:szCs w:val="22"/>
        </w:rPr>
        <w:t>IOE</w:t>
      </w:r>
      <w:r w:rsidRPr="00A55F3A">
        <w:rPr>
          <w:rFonts w:ascii="Garamond" w:hAnsi="Garamond"/>
          <w:sz w:val="22"/>
          <w:szCs w:val="22"/>
        </w:rPr>
        <w:t xml:space="preserve"> in family and other civil cases. However, the </w:t>
      </w:r>
      <w:r w:rsidR="00584F92" w:rsidRPr="00A55F3A">
        <w:rPr>
          <w:rFonts w:ascii="Garamond" w:hAnsi="Garamond"/>
          <w:sz w:val="22"/>
          <w:szCs w:val="22"/>
        </w:rPr>
        <w:t>Eng</w:t>
      </w:r>
      <w:r w:rsidR="006B63B0" w:rsidRPr="00A55F3A">
        <w:rPr>
          <w:rFonts w:ascii="Garamond" w:hAnsi="Garamond"/>
          <w:sz w:val="22"/>
          <w:szCs w:val="22"/>
        </w:rPr>
        <w:t>l</w:t>
      </w:r>
      <w:r w:rsidR="00584F92" w:rsidRPr="00A55F3A">
        <w:rPr>
          <w:rFonts w:ascii="Garamond" w:hAnsi="Garamond"/>
          <w:sz w:val="22"/>
          <w:szCs w:val="22"/>
        </w:rPr>
        <w:t xml:space="preserve">ish </w:t>
      </w:r>
      <w:r w:rsidRPr="00A55F3A">
        <w:rPr>
          <w:rFonts w:ascii="Garamond" w:hAnsi="Garamond"/>
          <w:sz w:val="22"/>
          <w:szCs w:val="22"/>
        </w:rPr>
        <w:t>civi</w:t>
      </w:r>
      <w:r w:rsidR="006C3790" w:rsidRPr="00A55F3A">
        <w:rPr>
          <w:rFonts w:ascii="Garamond" w:hAnsi="Garamond"/>
          <w:sz w:val="22"/>
          <w:szCs w:val="22"/>
        </w:rPr>
        <w:t>l</w:t>
      </w:r>
      <w:r w:rsidRPr="00A55F3A">
        <w:rPr>
          <w:rFonts w:ascii="Garamond" w:hAnsi="Garamond"/>
          <w:sz w:val="22"/>
          <w:szCs w:val="22"/>
        </w:rPr>
        <w:t xml:space="preserve"> procedure </w:t>
      </w:r>
      <w:r w:rsidR="00691E3E">
        <w:rPr>
          <w:rFonts w:ascii="Garamond" w:hAnsi="Garamond"/>
          <w:sz w:val="22"/>
          <w:szCs w:val="22"/>
        </w:rPr>
        <w:t>contains</w:t>
      </w:r>
      <w:r w:rsidRPr="00A55F3A">
        <w:rPr>
          <w:rFonts w:ascii="Garamond" w:hAnsi="Garamond"/>
          <w:sz w:val="22"/>
          <w:szCs w:val="22"/>
        </w:rPr>
        <w:t xml:space="preserve"> a specific set of rules, commonly known as ‘the Hildebrand Rules’ for </w:t>
      </w:r>
      <w:r w:rsidR="004156FD" w:rsidRPr="00A55F3A">
        <w:rPr>
          <w:rFonts w:ascii="Garamond" w:hAnsi="Garamond"/>
          <w:sz w:val="22"/>
          <w:szCs w:val="22"/>
        </w:rPr>
        <w:t xml:space="preserve">an </w:t>
      </w:r>
      <w:r w:rsidR="00291400" w:rsidRPr="00A55F3A">
        <w:rPr>
          <w:rFonts w:ascii="Garamond" w:hAnsi="Garamond"/>
          <w:sz w:val="22"/>
          <w:szCs w:val="22"/>
        </w:rPr>
        <w:t>IOE</w:t>
      </w:r>
      <w:r w:rsidRPr="00A55F3A">
        <w:rPr>
          <w:rFonts w:ascii="Garamond" w:hAnsi="Garamond"/>
          <w:sz w:val="22"/>
          <w:szCs w:val="22"/>
        </w:rPr>
        <w:t xml:space="preserve"> </w:t>
      </w:r>
      <w:r w:rsidR="006C3790" w:rsidRPr="00A55F3A">
        <w:rPr>
          <w:rFonts w:ascii="Garamond" w:hAnsi="Garamond"/>
          <w:sz w:val="22"/>
          <w:szCs w:val="22"/>
        </w:rPr>
        <w:t xml:space="preserve">submitted in </w:t>
      </w:r>
      <w:r w:rsidRPr="00A55F3A">
        <w:rPr>
          <w:rFonts w:ascii="Garamond" w:hAnsi="Garamond"/>
          <w:sz w:val="22"/>
          <w:szCs w:val="22"/>
        </w:rPr>
        <w:t>family law cases.</w:t>
      </w:r>
      <w:r w:rsidRPr="00A55F3A">
        <w:rPr>
          <w:rStyle w:val="FootnoteReference"/>
          <w:rFonts w:ascii="Garamond" w:hAnsi="Garamond"/>
          <w:sz w:val="22"/>
          <w:szCs w:val="22"/>
        </w:rPr>
        <w:footnoteReference w:id="22"/>
      </w:r>
      <w:r w:rsidRPr="00A55F3A">
        <w:rPr>
          <w:rFonts w:ascii="Garamond" w:hAnsi="Garamond"/>
          <w:sz w:val="22"/>
          <w:szCs w:val="22"/>
        </w:rPr>
        <w:t xml:space="preserve"> The </w:t>
      </w:r>
      <w:r w:rsidR="008A16AB" w:rsidRPr="00A55F3A">
        <w:rPr>
          <w:rFonts w:ascii="Garamond" w:hAnsi="Garamond"/>
          <w:sz w:val="22"/>
          <w:szCs w:val="22"/>
        </w:rPr>
        <w:t>‘</w:t>
      </w:r>
      <w:r w:rsidRPr="00A55F3A">
        <w:rPr>
          <w:rFonts w:ascii="Garamond" w:hAnsi="Garamond"/>
          <w:sz w:val="22"/>
          <w:szCs w:val="22"/>
        </w:rPr>
        <w:t>Hildebrand Rules</w:t>
      </w:r>
      <w:r w:rsidR="008A16AB" w:rsidRPr="00A55F3A">
        <w:rPr>
          <w:rFonts w:ascii="Garamond" w:hAnsi="Garamond"/>
          <w:sz w:val="22"/>
          <w:szCs w:val="22"/>
        </w:rPr>
        <w:t>’</w:t>
      </w:r>
      <w:r w:rsidRPr="00A55F3A">
        <w:rPr>
          <w:rFonts w:ascii="Garamond" w:hAnsi="Garamond"/>
          <w:sz w:val="22"/>
          <w:szCs w:val="22"/>
        </w:rPr>
        <w:t xml:space="preserve"> </w:t>
      </w:r>
      <w:r w:rsidRPr="00A55F3A">
        <w:rPr>
          <w:rFonts w:ascii="Garamond" w:hAnsi="Garamond"/>
          <w:i/>
          <w:sz w:val="22"/>
          <w:szCs w:val="22"/>
        </w:rPr>
        <w:t>de facto</w:t>
      </w:r>
      <w:r w:rsidRPr="00A55F3A">
        <w:rPr>
          <w:rFonts w:ascii="Garamond" w:hAnsi="Garamond"/>
          <w:sz w:val="22"/>
          <w:szCs w:val="22"/>
        </w:rPr>
        <w:t xml:space="preserve"> encourage one of the spouses during a divorce proceeding to retrieve private information </w:t>
      </w:r>
      <w:r w:rsidR="00253EE6" w:rsidRPr="00A55F3A">
        <w:rPr>
          <w:rFonts w:ascii="Garamond" w:hAnsi="Garamond"/>
          <w:sz w:val="22"/>
          <w:szCs w:val="22"/>
        </w:rPr>
        <w:t>(</w:t>
      </w:r>
      <w:r w:rsidRPr="00A55F3A">
        <w:rPr>
          <w:rFonts w:ascii="Garamond" w:hAnsi="Garamond"/>
          <w:sz w:val="22"/>
          <w:szCs w:val="22"/>
        </w:rPr>
        <w:t>that show</w:t>
      </w:r>
      <w:r w:rsidR="00173109" w:rsidRPr="00A55F3A">
        <w:rPr>
          <w:rFonts w:ascii="Garamond" w:hAnsi="Garamond"/>
          <w:sz w:val="22"/>
          <w:szCs w:val="22"/>
        </w:rPr>
        <w:t>s</w:t>
      </w:r>
      <w:r w:rsidRPr="00A55F3A">
        <w:rPr>
          <w:rFonts w:ascii="Garamond" w:hAnsi="Garamond"/>
          <w:sz w:val="22"/>
          <w:szCs w:val="22"/>
        </w:rPr>
        <w:t xml:space="preserve"> the effective exten</w:t>
      </w:r>
      <w:r w:rsidR="006B63B0" w:rsidRPr="00A55F3A">
        <w:rPr>
          <w:rFonts w:ascii="Garamond" w:hAnsi="Garamond"/>
          <w:sz w:val="22"/>
          <w:szCs w:val="22"/>
        </w:rPr>
        <w:t>t</w:t>
      </w:r>
      <w:r w:rsidRPr="00A55F3A">
        <w:rPr>
          <w:rFonts w:ascii="Garamond" w:hAnsi="Garamond"/>
          <w:sz w:val="22"/>
          <w:szCs w:val="22"/>
        </w:rPr>
        <w:t xml:space="preserve"> of the other spouse</w:t>
      </w:r>
      <w:r w:rsidR="006B63B0" w:rsidRPr="00A55F3A">
        <w:rPr>
          <w:rFonts w:ascii="Garamond" w:hAnsi="Garamond"/>
          <w:sz w:val="22"/>
          <w:szCs w:val="22"/>
        </w:rPr>
        <w:t>’s</w:t>
      </w:r>
      <w:r w:rsidRPr="00A55F3A">
        <w:rPr>
          <w:rFonts w:ascii="Garamond" w:hAnsi="Garamond"/>
          <w:sz w:val="22"/>
          <w:szCs w:val="22"/>
        </w:rPr>
        <w:t xml:space="preserve"> asset</w:t>
      </w:r>
      <w:r w:rsidR="006B63B0" w:rsidRPr="00A55F3A">
        <w:rPr>
          <w:rFonts w:ascii="Garamond" w:hAnsi="Garamond"/>
          <w:sz w:val="22"/>
          <w:szCs w:val="22"/>
        </w:rPr>
        <w:t>s</w:t>
      </w:r>
      <w:r w:rsidR="00253EE6" w:rsidRPr="00A55F3A">
        <w:rPr>
          <w:rFonts w:ascii="Garamond" w:hAnsi="Garamond"/>
          <w:sz w:val="22"/>
          <w:szCs w:val="22"/>
        </w:rPr>
        <w:t>)</w:t>
      </w:r>
      <w:r w:rsidRPr="00A55F3A">
        <w:rPr>
          <w:rFonts w:ascii="Garamond" w:hAnsi="Garamond"/>
          <w:sz w:val="22"/>
          <w:szCs w:val="22"/>
        </w:rPr>
        <w:t>. The rule</w:t>
      </w:r>
      <w:r w:rsidR="0063123C" w:rsidRPr="00A55F3A">
        <w:rPr>
          <w:rFonts w:ascii="Garamond" w:hAnsi="Garamond"/>
          <w:sz w:val="22"/>
          <w:szCs w:val="22"/>
        </w:rPr>
        <w:t>s</w:t>
      </w:r>
      <w:r w:rsidR="003567BF" w:rsidRPr="00A55F3A">
        <w:rPr>
          <w:rFonts w:ascii="Garamond" w:hAnsi="Garamond"/>
          <w:sz w:val="22"/>
          <w:szCs w:val="22"/>
        </w:rPr>
        <w:t xml:space="preserve"> </w:t>
      </w:r>
      <w:r w:rsidRPr="00A55F3A">
        <w:rPr>
          <w:rFonts w:ascii="Garamond" w:hAnsi="Garamond"/>
          <w:sz w:val="22"/>
          <w:szCs w:val="22"/>
        </w:rPr>
        <w:t>ha</w:t>
      </w:r>
      <w:r w:rsidR="0063123C" w:rsidRPr="00A55F3A">
        <w:rPr>
          <w:rFonts w:ascii="Garamond" w:hAnsi="Garamond"/>
          <w:sz w:val="22"/>
          <w:szCs w:val="22"/>
        </w:rPr>
        <w:t>ve</w:t>
      </w:r>
      <w:r w:rsidR="003567BF" w:rsidRPr="00A55F3A">
        <w:rPr>
          <w:rFonts w:ascii="Garamond" w:hAnsi="Garamond"/>
          <w:sz w:val="22"/>
          <w:szCs w:val="22"/>
        </w:rPr>
        <w:t xml:space="preserve"> </w:t>
      </w:r>
      <w:r w:rsidRPr="00A55F3A">
        <w:rPr>
          <w:rFonts w:ascii="Garamond" w:hAnsi="Garamond"/>
          <w:sz w:val="22"/>
          <w:szCs w:val="22"/>
        </w:rPr>
        <w:t xml:space="preserve">no equivalent in Italian law and therefore </w:t>
      </w:r>
      <w:r w:rsidR="0063123C" w:rsidRPr="00A55F3A">
        <w:rPr>
          <w:rFonts w:ascii="Garamond" w:hAnsi="Garamond"/>
          <w:sz w:val="22"/>
          <w:szCs w:val="22"/>
        </w:rPr>
        <w:t>they are</w:t>
      </w:r>
      <w:r w:rsidR="003567BF" w:rsidRPr="00A55F3A">
        <w:rPr>
          <w:rFonts w:ascii="Garamond" w:hAnsi="Garamond"/>
          <w:sz w:val="22"/>
          <w:szCs w:val="22"/>
        </w:rPr>
        <w:t xml:space="preserve"> </w:t>
      </w:r>
      <w:r w:rsidRPr="00A55F3A">
        <w:rPr>
          <w:rFonts w:ascii="Garamond" w:hAnsi="Garamond"/>
          <w:sz w:val="22"/>
          <w:szCs w:val="22"/>
        </w:rPr>
        <w:t xml:space="preserve">ill suited for a comparative analysis. </w:t>
      </w:r>
    </w:p>
    <w:p w14:paraId="51C1EBF1" w14:textId="19802A4B"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Fourthly, it is not part of the aim of the essay to discuss the ethic</w:t>
      </w:r>
      <w:r w:rsidR="006B63B0" w:rsidRPr="00A55F3A">
        <w:rPr>
          <w:rFonts w:ascii="Garamond" w:hAnsi="Garamond"/>
          <w:sz w:val="22"/>
          <w:szCs w:val="22"/>
        </w:rPr>
        <w:t>al</w:t>
      </w:r>
      <w:r w:rsidRPr="00A55F3A">
        <w:rPr>
          <w:rFonts w:ascii="Garamond" w:hAnsi="Garamond"/>
          <w:sz w:val="22"/>
          <w:szCs w:val="22"/>
        </w:rPr>
        <w:t xml:space="preserve"> implications for legal practitioners of having a </w:t>
      </w:r>
      <w:r w:rsidR="0063123C" w:rsidRPr="00A55F3A">
        <w:rPr>
          <w:rFonts w:ascii="Garamond" w:hAnsi="Garamond"/>
          <w:sz w:val="22"/>
          <w:szCs w:val="22"/>
        </w:rPr>
        <w:t>regime</w:t>
      </w:r>
      <w:r w:rsidR="006B63B0" w:rsidRPr="00A55F3A">
        <w:rPr>
          <w:rFonts w:ascii="Garamond" w:hAnsi="Garamond"/>
          <w:sz w:val="22"/>
          <w:szCs w:val="22"/>
        </w:rPr>
        <w:t xml:space="preserve"> that</w:t>
      </w:r>
      <w:r w:rsidR="0063123C" w:rsidRPr="00A55F3A">
        <w:rPr>
          <w:rFonts w:ascii="Garamond" w:hAnsi="Garamond"/>
          <w:sz w:val="22"/>
          <w:szCs w:val="22"/>
        </w:rPr>
        <w:t xml:space="preserve"> </w:t>
      </w:r>
      <w:r w:rsidRPr="00A55F3A">
        <w:rPr>
          <w:rFonts w:ascii="Garamond" w:hAnsi="Garamond"/>
          <w:sz w:val="22"/>
          <w:szCs w:val="22"/>
        </w:rPr>
        <w:t>allow</w:t>
      </w:r>
      <w:r w:rsidR="0063123C" w:rsidRPr="00A55F3A">
        <w:rPr>
          <w:rFonts w:ascii="Garamond" w:hAnsi="Garamond"/>
          <w:sz w:val="22"/>
          <w:szCs w:val="22"/>
        </w:rPr>
        <w:t>s</w:t>
      </w:r>
      <w:r w:rsidR="006C3790" w:rsidRPr="00A55F3A">
        <w:rPr>
          <w:rFonts w:ascii="Garamond" w:hAnsi="Garamond"/>
          <w:sz w:val="22"/>
          <w:szCs w:val="22"/>
        </w:rPr>
        <w:t xml:space="preserve"> </w:t>
      </w:r>
      <w:r w:rsidR="00291400" w:rsidRPr="00A55F3A">
        <w:rPr>
          <w:rFonts w:ascii="Garamond" w:hAnsi="Garamond"/>
          <w:sz w:val="22"/>
          <w:szCs w:val="22"/>
        </w:rPr>
        <w:t>IOE</w:t>
      </w:r>
      <w:r w:rsidR="00253EE6" w:rsidRPr="00A55F3A">
        <w:rPr>
          <w:rFonts w:ascii="Garamond" w:hAnsi="Garamond"/>
          <w:sz w:val="22"/>
          <w:szCs w:val="22"/>
        </w:rPr>
        <w:t xml:space="preserve"> in court</w:t>
      </w:r>
      <w:r w:rsidR="0063123C" w:rsidRPr="00A55F3A">
        <w:rPr>
          <w:rFonts w:ascii="Garamond" w:hAnsi="Garamond"/>
          <w:sz w:val="22"/>
          <w:szCs w:val="22"/>
        </w:rPr>
        <w:t xml:space="preserve">. </w:t>
      </w:r>
      <w:r w:rsidR="00253EE6" w:rsidRPr="00A55F3A">
        <w:rPr>
          <w:rFonts w:ascii="Garamond" w:hAnsi="Garamond"/>
          <w:sz w:val="22"/>
          <w:szCs w:val="22"/>
        </w:rPr>
        <w:t>As mentioned earl</w:t>
      </w:r>
      <w:r w:rsidR="00B70E13" w:rsidRPr="00A55F3A">
        <w:rPr>
          <w:rFonts w:ascii="Garamond" w:hAnsi="Garamond"/>
          <w:sz w:val="22"/>
          <w:szCs w:val="22"/>
        </w:rPr>
        <w:t>ier</w:t>
      </w:r>
      <w:r w:rsidR="00253EE6" w:rsidRPr="00A55F3A">
        <w:rPr>
          <w:rFonts w:ascii="Garamond" w:hAnsi="Garamond"/>
          <w:sz w:val="22"/>
          <w:szCs w:val="22"/>
        </w:rPr>
        <w:t>, the</w:t>
      </w:r>
      <w:r w:rsidR="003567BF" w:rsidRPr="00A55F3A">
        <w:rPr>
          <w:rFonts w:ascii="Garamond" w:hAnsi="Garamond"/>
          <w:sz w:val="22"/>
          <w:szCs w:val="22"/>
        </w:rPr>
        <w:t xml:space="preserve"> </w:t>
      </w:r>
      <w:r w:rsidRPr="00A55F3A">
        <w:rPr>
          <w:rStyle w:val="Carpredefinitoparagrafo"/>
          <w:rFonts w:ascii="Garamond" w:hAnsi="Garamond" w:cs="Times New Roman"/>
          <w:sz w:val="22"/>
          <w:szCs w:val="22"/>
        </w:rPr>
        <w:t xml:space="preserve">Bar Council has </w:t>
      </w:r>
      <w:r w:rsidR="0063123C" w:rsidRPr="00A55F3A">
        <w:rPr>
          <w:rStyle w:val="Carpredefinitoparagrafo"/>
          <w:rFonts w:ascii="Garamond" w:hAnsi="Garamond" w:cs="Times New Roman"/>
          <w:sz w:val="22"/>
          <w:szCs w:val="22"/>
        </w:rPr>
        <w:t>published guidance for its</w:t>
      </w:r>
      <w:r w:rsidR="006B63B0"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members</w:t>
      </w:r>
      <w:r w:rsidR="0063123C" w:rsidRPr="00A55F3A">
        <w:rPr>
          <w:rStyle w:val="Carpredefinitoparagrafo"/>
          <w:rFonts w:ascii="Garamond" w:hAnsi="Garamond" w:cs="Times New Roman"/>
          <w:sz w:val="22"/>
          <w:szCs w:val="22"/>
        </w:rPr>
        <w:t xml:space="preserve"> who come into contact with </w:t>
      </w:r>
      <w:r w:rsidR="00291400" w:rsidRPr="00A55F3A">
        <w:rPr>
          <w:rStyle w:val="Carpredefinitoparagrafo"/>
          <w:rFonts w:ascii="Garamond" w:hAnsi="Garamond" w:cs="Times New Roman"/>
          <w:sz w:val="22"/>
          <w:szCs w:val="22"/>
        </w:rPr>
        <w:t>IOE</w:t>
      </w:r>
      <w:r w:rsidRPr="00A55F3A">
        <w:rPr>
          <w:rStyle w:val="Carpredefinitoparagrafo"/>
          <w:rFonts w:ascii="Garamond" w:hAnsi="Garamond" w:cs="Times New Roman"/>
          <w:sz w:val="22"/>
          <w:szCs w:val="22"/>
        </w:rPr>
        <w:t>.</w:t>
      </w:r>
      <w:r w:rsidRPr="00A55F3A">
        <w:rPr>
          <w:rStyle w:val="FootnoteReference"/>
          <w:rFonts w:ascii="Garamond" w:hAnsi="Garamond"/>
          <w:sz w:val="22"/>
          <w:szCs w:val="22"/>
        </w:rPr>
        <w:footnoteReference w:id="23"/>
      </w:r>
      <w:r w:rsidRPr="00A55F3A">
        <w:rPr>
          <w:rStyle w:val="Carpredefinitoparagrafo"/>
          <w:rFonts w:ascii="Garamond" w:hAnsi="Garamond" w:cs="Times New Roman"/>
          <w:sz w:val="22"/>
          <w:szCs w:val="22"/>
        </w:rPr>
        <w:t xml:space="preserve"> Given the present changes in the Italian system, it is logical to assume that the Ordine Nazionale Forense (</w:t>
      </w:r>
      <w:r w:rsidR="008A16AB" w:rsidRPr="00A55F3A">
        <w:rPr>
          <w:rStyle w:val="Carpredefinitoparagrafo"/>
          <w:rFonts w:ascii="Garamond" w:hAnsi="Garamond" w:cs="Times New Roman"/>
          <w:sz w:val="22"/>
          <w:szCs w:val="22"/>
        </w:rPr>
        <w:t xml:space="preserve">the </w:t>
      </w:r>
      <w:r w:rsidRPr="00A55F3A">
        <w:rPr>
          <w:rStyle w:val="Carpredefinitoparagrafo"/>
          <w:rFonts w:ascii="Garamond" w:hAnsi="Garamond" w:cs="Times New Roman"/>
          <w:sz w:val="22"/>
          <w:szCs w:val="22"/>
        </w:rPr>
        <w:t xml:space="preserve">Italian </w:t>
      </w:r>
      <w:r w:rsidR="00173109" w:rsidRPr="00A55F3A">
        <w:rPr>
          <w:rStyle w:val="Carpredefinitoparagrafo"/>
          <w:rFonts w:ascii="Garamond" w:hAnsi="Garamond" w:cs="Times New Roman"/>
          <w:sz w:val="22"/>
          <w:szCs w:val="22"/>
        </w:rPr>
        <w:t>B</w:t>
      </w:r>
      <w:r w:rsidRPr="00A55F3A">
        <w:rPr>
          <w:rStyle w:val="Carpredefinitoparagrafo"/>
          <w:rFonts w:ascii="Garamond" w:hAnsi="Garamond" w:cs="Times New Roman"/>
          <w:sz w:val="22"/>
          <w:szCs w:val="22"/>
        </w:rPr>
        <w:t>ar Association) will, in</w:t>
      </w:r>
      <w:r w:rsidR="006B63B0" w:rsidRPr="00A55F3A">
        <w:rPr>
          <w:rStyle w:val="Carpredefinitoparagrafo"/>
          <w:rFonts w:ascii="Garamond" w:hAnsi="Garamond" w:cs="Times New Roman"/>
          <w:sz w:val="22"/>
          <w:szCs w:val="22"/>
        </w:rPr>
        <w:t xml:space="preserve"> the</w:t>
      </w:r>
      <w:r w:rsidRPr="00A55F3A">
        <w:rPr>
          <w:rStyle w:val="Carpredefinitoparagrafo"/>
          <w:rFonts w:ascii="Garamond" w:hAnsi="Garamond" w:cs="Times New Roman"/>
          <w:sz w:val="22"/>
          <w:szCs w:val="22"/>
        </w:rPr>
        <w:t xml:space="preserve"> near future, set an internal regulation for </w:t>
      </w:r>
      <w:r w:rsidR="006C3790" w:rsidRPr="00A55F3A">
        <w:rPr>
          <w:rStyle w:val="Carpredefinitoparagrafo"/>
          <w:rFonts w:ascii="Garamond" w:hAnsi="Garamond" w:cs="Times New Roman"/>
          <w:sz w:val="22"/>
          <w:szCs w:val="22"/>
        </w:rPr>
        <w:t>its</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members who </w:t>
      </w:r>
      <w:r w:rsidR="0063123C" w:rsidRPr="00A55F3A">
        <w:rPr>
          <w:rStyle w:val="Carpredefinitoparagrafo"/>
          <w:rFonts w:ascii="Garamond" w:hAnsi="Garamond" w:cs="Times New Roman"/>
          <w:sz w:val="22"/>
          <w:szCs w:val="22"/>
        </w:rPr>
        <w:t>might</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need to present </w:t>
      </w:r>
      <w:r w:rsidR="004156FD" w:rsidRPr="00A55F3A">
        <w:rPr>
          <w:rStyle w:val="Carpredefinitoparagrafo"/>
          <w:rFonts w:ascii="Garamond" w:hAnsi="Garamond" w:cs="Times New Roman"/>
          <w:sz w:val="22"/>
          <w:szCs w:val="22"/>
        </w:rPr>
        <w:t xml:space="preserve">an </w:t>
      </w:r>
      <w:r w:rsidR="00291400" w:rsidRPr="00A55F3A">
        <w:rPr>
          <w:rStyle w:val="Carpredefinitoparagrafo"/>
          <w:rFonts w:ascii="Garamond" w:hAnsi="Garamond" w:cs="Times New Roman"/>
          <w:sz w:val="22"/>
          <w:szCs w:val="22"/>
        </w:rPr>
        <w:t>IOE</w:t>
      </w:r>
      <w:r w:rsidR="0063123C" w:rsidRPr="00A55F3A">
        <w:rPr>
          <w:rStyle w:val="Carpredefinitoparagrafo"/>
          <w:rFonts w:ascii="Garamond" w:hAnsi="Garamond" w:cs="Times New Roman"/>
          <w:sz w:val="22"/>
          <w:szCs w:val="22"/>
        </w:rPr>
        <w:t xml:space="preserve"> in court</w:t>
      </w:r>
      <w:r w:rsidRPr="00A55F3A">
        <w:rPr>
          <w:rStyle w:val="Carpredefinitoparagrafo"/>
          <w:rFonts w:ascii="Garamond" w:hAnsi="Garamond" w:cs="Times New Roman"/>
          <w:sz w:val="22"/>
          <w:szCs w:val="22"/>
        </w:rPr>
        <w:t xml:space="preserve">. It could be also speculated that </w:t>
      </w:r>
      <w:r w:rsidR="00102D86" w:rsidRPr="00A55F3A">
        <w:rPr>
          <w:rStyle w:val="Carpredefinitoparagrafo"/>
          <w:rFonts w:ascii="Garamond" w:hAnsi="Garamond" w:cs="Times New Roman"/>
          <w:sz w:val="22"/>
          <w:szCs w:val="22"/>
        </w:rPr>
        <w:t xml:space="preserve">the </w:t>
      </w:r>
      <w:r w:rsidRPr="00A55F3A">
        <w:rPr>
          <w:rStyle w:val="Carpredefinitoparagrafo"/>
          <w:rFonts w:ascii="Garamond" w:hAnsi="Garamond" w:cs="Times New Roman"/>
          <w:sz w:val="22"/>
          <w:szCs w:val="22"/>
        </w:rPr>
        <w:t xml:space="preserve">Ordine Nazionale Forense will seek inspiration </w:t>
      </w:r>
      <w:r w:rsidR="00173109" w:rsidRPr="00A55F3A">
        <w:rPr>
          <w:rStyle w:val="Carpredefinitoparagrafo"/>
          <w:rFonts w:ascii="Garamond" w:hAnsi="Garamond" w:cs="Times New Roman"/>
          <w:sz w:val="22"/>
          <w:szCs w:val="22"/>
        </w:rPr>
        <w:t xml:space="preserve">from </w:t>
      </w:r>
      <w:r w:rsidRPr="00A55F3A">
        <w:rPr>
          <w:rStyle w:val="Carpredefinitoparagrafo"/>
          <w:rFonts w:ascii="Garamond" w:hAnsi="Garamond" w:cs="Times New Roman"/>
          <w:sz w:val="22"/>
          <w:szCs w:val="22"/>
        </w:rPr>
        <w:t xml:space="preserve">Bar Council’s regulations. However, </w:t>
      </w:r>
      <w:r w:rsidR="0063123C" w:rsidRPr="00A55F3A">
        <w:rPr>
          <w:rStyle w:val="Carpredefinitoparagrafo"/>
          <w:rFonts w:ascii="Garamond" w:hAnsi="Garamond" w:cs="Times New Roman"/>
          <w:sz w:val="22"/>
          <w:szCs w:val="22"/>
        </w:rPr>
        <w:t>this</w:t>
      </w:r>
      <w:r w:rsidR="006746D2" w:rsidRPr="00A55F3A">
        <w:rPr>
          <w:rStyle w:val="Carpredefinitoparagrafo"/>
          <w:rFonts w:ascii="Garamond" w:hAnsi="Garamond" w:cs="Times New Roman"/>
          <w:sz w:val="22"/>
          <w:szCs w:val="22"/>
        </w:rPr>
        <w:t xml:space="preserve"> ethical aspect</w:t>
      </w:r>
      <w:r w:rsidR="003567BF" w:rsidRPr="00A55F3A">
        <w:rPr>
          <w:rStyle w:val="Carpredefinitoparagrafo"/>
          <w:rFonts w:ascii="Garamond" w:hAnsi="Garamond" w:cs="Times New Roman"/>
          <w:sz w:val="22"/>
          <w:szCs w:val="22"/>
        </w:rPr>
        <w:t xml:space="preserve"> </w:t>
      </w:r>
      <w:r w:rsidR="0063123C" w:rsidRPr="00A55F3A">
        <w:rPr>
          <w:rStyle w:val="Carpredefinitoparagrafo"/>
          <w:rFonts w:ascii="Garamond" w:hAnsi="Garamond" w:cs="Times New Roman"/>
          <w:sz w:val="22"/>
          <w:szCs w:val="22"/>
        </w:rPr>
        <w:t xml:space="preserve">of the </w:t>
      </w:r>
      <w:r w:rsidR="00291400" w:rsidRPr="00A55F3A">
        <w:rPr>
          <w:rStyle w:val="Carpredefinitoparagrafo"/>
          <w:rFonts w:ascii="Garamond" w:hAnsi="Garamond" w:cs="Times New Roman"/>
          <w:sz w:val="22"/>
          <w:szCs w:val="22"/>
        </w:rPr>
        <w:t xml:space="preserve"> regime of IOE </w:t>
      </w:r>
      <w:r w:rsidR="00B70E13" w:rsidRPr="00A55F3A">
        <w:rPr>
          <w:rStyle w:val="Carpredefinitoparagrafo"/>
          <w:rFonts w:ascii="Garamond" w:hAnsi="Garamond" w:cs="Times New Roman"/>
          <w:sz w:val="22"/>
          <w:szCs w:val="22"/>
        </w:rPr>
        <w:t>can</w:t>
      </w:r>
      <w:r w:rsidR="006746D2" w:rsidRPr="00A55F3A">
        <w:rPr>
          <w:rStyle w:val="Carpredefinitoparagrafo"/>
          <w:rFonts w:ascii="Garamond" w:hAnsi="Garamond" w:cs="Times New Roman"/>
          <w:sz w:val="22"/>
          <w:szCs w:val="22"/>
        </w:rPr>
        <w:t xml:space="preserve"> be distinguished from the</w:t>
      </w:r>
      <w:r w:rsidR="003567BF" w:rsidRPr="00A55F3A">
        <w:rPr>
          <w:rStyle w:val="Carpredefinitoparagrafo"/>
          <w:rFonts w:ascii="Garamond" w:hAnsi="Garamond" w:cs="Times New Roman"/>
          <w:sz w:val="22"/>
          <w:szCs w:val="22"/>
        </w:rPr>
        <w:t xml:space="preserve"> </w:t>
      </w:r>
      <w:r w:rsidR="00392455" w:rsidRPr="00A55F3A">
        <w:rPr>
          <w:rStyle w:val="Carpredefinitoparagrafo"/>
          <w:rFonts w:ascii="Garamond" w:hAnsi="Garamond" w:cs="Times New Roman"/>
          <w:sz w:val="22"/>
          <w:szCs w:val="22"/>
        </w:rPr>
        <w:t>deontological and pragmatic implication</w:t>
      </w:r>
      <w:r w:rsidR="00B50D56" w:rsidRPr="00A55F3A">
        <w:rPr>
          <w:rStyle w:val="Carpredefinitoparagrafo"/>
          <w:rFonts w:ascii="Garamond" w:hAnsi="Garamond" w:cs="Times New Roman"/>
          <w:sz w:val="22"/>
          <w:szCs w:val="22"/>
        </w:rPr>
        <w:t xml:space="preserve"> </w:t>
      </w:r>
      <w:r w:rsidR="0063123C" w:rsidRPr="00A55F3A">
        <w:rPr>
          <w:rStyle w:val="Carpredefinitoparagrafo"/>
          <w:rFonts w:ascii="Garamond" w:hAnsi="Garamond" w:cs="Times New Roman"/>
          <w:sz w:val="22"/>
          <w:szCs w:val="22"/>
        </w:rPr>
        <w:t>of</w:t>
      </w:r>
      <w:r w:rsidR="00392455" w:rsidRPr="00A55F3A">
        <w:rPr>
          <w:rStyle w:val="Carpredefinitoparagrafo"/>
          <w:rFonts w:ascii="Garamond" w:hAnsi="Garamond" w:cs="Times New Roman"/>
          <w:sz w:val="22"/>
          <w:szCs w:val="22"/>
        </w:rPr>
        <w:t xml:space="preserve"> admitting and excluding</w:t>
      </w:r>
      <w:r w:rsidR="00B50D56" w:rsidRPr="00A55F3A">
        <w:rPr>
          <w:rStyle w:val="Carpredefinitoparagrafo"/>
          <w:rFonts w:ascii="Garamond" w:hAnsi="Garamond" w:cs="Times New Roman"/>
          <w:sz w:val="22"/>
          <w:szCs w:val="22"/>
        </w:rPr>
        <w:t xml:space="preserve"> </w:t>
      </w:r>
      <w:r w:rsidR="00291400" w:rsidRPr="00A55F3A">
        <w:rPr>
          <w:rStyle w:val="Carpredefinitoparagrafo"/>
          <w:rFonts w:ascii="Garamond" w:hAnsi="Garamond" w:cs="Times New Roman"/>
          <w:sz w:val="22"/>
          <w:szCs w:val="22"/>
        </w:rPr>
        <w:t>IOE</w:t>
      </w:r>
      <w:r w:rsidR="00C10D33" w:rsidRPr="00A55F3A">
        <w:rPr>
          <w:rStyle w:val="Carpredefinitoparagrafo"/>
          <w:rFonts w:ascii="Garamond" w:hAnsi="Garamond" w:cs="Times New Roman"/>
          <w:sz w:val="22"/>
          <w:szCs w:val="22"/>
        </w:rPr>
        <w:t xml:space="preserve"> </w:t>
      </w:r>
      <w:r w:rsidR="00F60E23" w:rsidRPr="00A55F3A">
        <w:rPr>
          <w:rStyle w:val="Carpredefinitoparagrafo"/>
          <w:rFonts w:ascii="Garamond" w:hAnsi="Garamond" w:cs="Times New Roman"/>
          <w:sz w:val="22"/>
          <w:szCs w:val="22"/>
        </w:rPr>
        <w:t>and will</w:t>
      </w:r>
      <w:r w:rsidR="00291400" w:rsidRPr="00A55F3A">
        <w:rPr>
          <w:rStyle w:val="Carpredefinitoparagrafo"/>
          <w:rFonts w:ascii="Garamond" w:hAnsi="Garamond" w:cs="Times New Roman"/>
          <w:sz w:val="22"/>
          <w:szCs w:val="22"/>
        </w:rPr>
        <w:t xml:space="preserve"> not be discussed</w:t>
      </w:r>
      <w:r w:rsidR="004156FD" w:rsidRPr="00A55F3A">
        <w:rPr>
          <w:rStyle w:val="Carpredefinitoparagrafo"/>
          <w:rFonts w:ascii="Garamond" w:hAnsi="Garamond" w:cs="Times New Roman"/>
          <w:sz w:val="22"/>
          <w:szCs w:val="22"/>
        </w:rPr>
        <w:t xml:space="preserve"> in this essay</w:t>
      </w:r>
      <w:r w:rsidR="00291400" w:rsidRPr="00A55F3A">
        <w:rPr>
          <w:rStyle w:val="Carpredefinitoparagrafo"/>
          <w:rFonts w:ascii="Garamond" w:hAnsi="Garamond" w:cs="Times New Roman"/>
          <w:sz w:val="22"/>
          <w:szCs w:val="22"/>
        </w:rPr>
        <w:t>.</w:t>
      </w:r>
    </w:p>
    <w:p w14:paraId="67E2EFAD" w14:textId="75D89D2E" w:rsidR="00605CE2" w:rsidRPr="00A55F3A" w:rsidRDefault="00593D4F" w:rsidP="00A55F3A">
      <w:pPr>
        <w:pStyle w:val="Standard"/>
        <w:spacing w:line="480" w:lineRule="auto"/>
        <w:rPr>
          <w:rFonts w:ascii="Garamond" w:hAnsi="Garamond"/>
          <w:sz w:val="22"/>
          <w:szCs w:val="22"/>
        </w:rPr>
      </w:pPr>
      <w:r w:rsidRPr="00A55F3A">
        <w:rPr>
          <w:rStyle w:val="Carpredefinitoparagrafo"/>
          <w:rFonts w:ascii="Garamond" w:hAnsi="Garamond" w:cs="Times New Roman"/>
          <w:sz w:val="22"/>
          <w:szCs w:val="22"/>
        </w:rPr>
        <w:t xml:space="preserve">The last point </w:t>
      </w:r>
      <w:r w:rsidR="006C3790" w:rsidRPr="00A55F3A">
        <w:rPr>
          <w:rStyle w:val="Carpredefinitoparagrafo"/>
          <w:rFonts w:ascii="Garamond" w:hAnsi="Garamond" w:cs="Times New Roman"/>
          <w:sz w:val="22"/>
          <w:szCs w:val="22"/>
        </w:rPr>
        <w:t>of th</w:t>
      </w:r>
      <w:r w:rsidR="006746D2" w:rsidRPr="00A55F3A">
        <w:rPr>
          <w:rStyle w:val="Carpredefinitoparagrafo"/>
          <w:rFonts w:ascii="Garamond" w:hAnsi="Garamond" w:cs="Times New Roman"/>
          <w:sz w:val="22"/>
          <w:szCs w:val="22"/>
        </w:rPr>
        <w:t>is</w:t>
      </w:r>
      <w:r w:rsidR="00392455" w:rsidRPr="00A55F3A">
        <w:rPr>
          <w:rStyle w:val="Carpredefinitoparagrafo"/>
          <w:rFonts w:ascii="Garamond" w:hAnsi="Garamond" w:cs="Times New Roman"/>
          <w:sz w:val="22"/>
          <w:szCs w:val="22"/>
        </w:rPr>
        <w:t>,</w:t>
      </w:r>
      <w:r w:rsidR="003567BF" w:rsidRPr="00A55F3A">
        <w:rPr>
          <w:rStyle w:val="Carpredefinitoparagrafo"/>
          <w:rFonts w:ascii="Garamond" w:hAnsi="Garamond" w:cs="Times New Roman"/>
          <w:sz w:val="22"/>
          <w:szCs w:val="22"/>
        </w:rPr>
        <w:t xml:space="preserve"> </w:t>
      </w:r>
      <w:r w:rsidR="006C3790" w:rsidRPr="00A55F3A">
        <w:rPr>
          <w:rStyle w:val="Carpredefinitoparagrafo"/>
          <w:rFonts w:ascii="Garamond" w:hAnsi="Garamond" w:cs="Times New Roman"/>
          <w:sz w:val="22"/>
          <w:szCs w:val="22"/>
        </w:rPr>
        <w:t>rather long</w:t>
      </w:r>
      <w:r w:rsidR="00392455" w:rsidRPr="00A55F3A">
        <w:rPr>
          <w:rStyle w:val="Carpredefinitoparagrafo"/>
          <w:rFonts w:ascii="Garamond" w:hAnsi="Garamond" w:cs="Times New Roman"/>
          <w:sz w:val="22"/>
          <w:szCs w:val="22"/>
        </w:rPr>
        <w:t>,</w:t>
      </w:r>
      <w:r w:rsidR="006C3790" w:rsidRPr="00A55F3A">
        <w:rPr>
          <w:rStyle w:val="Carpredefinitoparagrafo"/>
          <w:rFonts w:ascii="Garamond" w:hAnsi="Garamond" w:cs="Times New Roman"/>
          <w:sz w:val="22"/>
          <w:szCs w:val="22"/>
        </w:rPr>
        <w:t xml:space="preserve"> list of</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preliminary issue</w:t>
      </w:r>
      <w:r w:rsidR="006C3790" w:rsidRPr="00A55F3A">
        <w:rPr>
          <w:rStyle w:val="Carpredefinitoparagrafo"/>
          <w:rFonts w:ascii="Garamond" w:hAnsi="Garamond" w:cs="Times New Roman"/>
          <w:sz w:val="22"/>
          <w:szCs w:val="22"/>
        </w:rPr>
        <w:t>s</w:t>
      </w:r>
      <w:r w:rsidR="003567BF" w:rsidRPr="00A55F3A">
        <w:rPr>
          <w:rStyle w:val="Carpredefinitoparagrafo"/>
          <w:rFonts w:ascii="Garamond" w:hAnsi="Garamond" w:cs="Times New Roman"/>
          <w:sz w:val="22"/>
          <w:szCs w:val="22"/>
        </w:rPr>
        <w:t xml:space="preserve"> </w:t>
      </w:r>
      <w:r w:rsidR="00917C1B" w:rsidRPr="00A55F3A">
        <w:rPr>
          <w:rStyle w:val="Carpredefinitoparagrafo"/>
          <w:rFonts w:ascii="Garamond" w:hAnsi="Garamond" w:cs="Times New Roman"/>
          <w:sz w:val="22"/>
          <w:szCs w:val="22"/>
        </w:rPr>
        <w:t>engages the so</w:t>
      </w:r>
      <w:r w:rsidR="00173109" w:rsidRPr="00A55F3A">
        <w:rPr>
          <w:rStyle w:val="Carpredefinitoparagrafo"/>
          <w:rFonts w:ascii="Garamond" w:hAnsi="Garamond" w:cs="Times New Roman"/>
          <w:sz w:val="22"/>
          <w:szCs w:val="22"/>
        </w:rPr>
        <w:t>-</w:t>
      </w:r>
      <w:r w:rsidR="00917C1B" w:rsidRPr="00A55F3A">
        <w:rPr>
          <w:rStyle w:val="Carpredefinitoparagrafo"/>
          <w:rFonts w:ascii="Garamond" w:hAnsi="Garamond" w:cs="Times New Roman"/>
          <w:sz w:val="22"/>
          <w:szCs w:val="22"/>
        </w:rPr>
        <w:t>called</w:t>
      </w:r>
      <w:r w:rsidR="003567BF" w:rsidRPr="00A55F3A">
        <w:rPr>
          <w:rStyle w:val="Carpredefinitoparagrafo"/>
          <w:rFonts w:ascii="Garamond" w:hAnsi="Garamond" w:cs="Times New Roman"/>
          <w:sz w:val="22"/>
          <w:szCs w:val="22"/>
        </w:rPr>
        <w:t xml:space="preserve"> </w:t>
      </w:r>
      <w:r w:rsidR="00392455"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language barrier</w:t>
      </w:r>
      <w:r w:rsidR="00392455"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There is, we can speculate, an unbalance between the number of Italian judges who speak English and the number of </w:t>
      </w:r>
      <w:r w:rsidR="00763452" w:rsidRPr="00A55F3A">
        <w:rPr>
          <w:rStyle w:val="Carpredefinitoparagrafo"/>
          <w:rFonts w:ascii="Garamond" w:hAnsi="Garamond" w:cs="Times New Roman"/>
          <w:sz w:val="22"/>
          <w:szCs w:val="22"/>
        </w:rPr>
        <w:t>English</w:t>
      </w:r>
      <w:r w:rsidR="00584F92" w:rsidRPr="00A55F3A">
        <w:rPr>
          <w:rStyle w:val="Carpredefinitoparagrafo"/>
          <w:rFonts w:ascii="Garamond" w:hAnsi="Garamond" w:cs="Times New Roman"/>
          <w:sz w:val="22"/>
          <w:szCs w:val="22"/>
        </w:rPr>
        <w:t xml:space="preserve"> </w:t>
      </w:r>
      <w:r w:rsidR="00D13877">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judges who</w:t>
      </w:r>
      <w:r w:rsidR="00763452" w:rsidRPr="00A55F3A">
        <w:rPr>
          <w:rStyle w:val="Carpredefinitoparagrafo"/>
          <w:rFonts w:ascii="Garamond" w:hAnsi="Garamond" w:cs="Times New Roman"/>
          <w:sz w:val="22"/>
          <w:szCs w:val="22"/>
        </w:rPr>
        <w:t xml:space="preserve"> might</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read Italian.</w:t>
      </w:r>
      <w:r w:rsidR="007421E8" w:rsidRPr="00A55F3A">
        <w:rPr>
          <w:rStyle w:val="FootnoteReference"/>
          <w:rFonts w:ascii="Garamond" w:hAnsi="Garamond"/>
          <w:sz w:val="22"/>
          <w:szCs w:val="22"/>
        </w:rPr>
        <w:footnoteReference w:id="24"/>
      </w:r>
      <w:r w:rsidRPr="00A55F3A">
        <w:rPr>
          <w:rStyle w:val="Carpredefinitoparagrafo"/>
          <w:rFonts w:ascii="Garamond" w:hAnsi="Garamond" w:cs="Times New Roman"/>
          <w:sz w:val="22"/>
          <w:szCs w:val="22"/>
        </w:rPr>
        <w:t xml:space="preserve"> </w:t>
      </w:r>
      <w:r w:rsidR="00763452" w:rsidRPr="00A55F3A">
        <w:rPr>
          <w:rStyle w:val="Carpredefinitoparagrafo"/>
          <w:rFonts w:ascii="Garamond" w:hAnsi="Garamond" w:cs="Times New Roman"/>
          <w:sz w:val="22"/>
          <w:szCs w:val="22"/>
        </w:rPr>
        <w:t xml:space="preserve">This is an axiomatic </w:t>
      </w:r>
      <w:r w:rsidR="00763452" w:rsidRPr="00A55F3A">
        <w:rPr>
          <w:rStyle w:val="Carpredefinitoparagrafo"/>
          <w:rFonts w:ascii="Garamond" w:hAnsi="Garamond" w:cs="Times New Roman"/>
          <w:sz w:val="22"/>
          <w:szCs w:val="22"/>
        </w:rPr>
        <w:lastRenderedPageBreak/>
        <w:t>aspect of a</w:t>
      </w:r>
      <w:r w:rsidR="003567BF" w:rsidRPr="00A55F3A">
        <w:rPr>
          <w:rStyle w:val="Carpredefinitoparagrafo"/>
          <w:rFonts w:ascii="Garamond" w:hAnsi="Garamond" w:cs="Times New Roman"/>
          <w:sz w:val="22"/>
          <w:szCs w:val="22"/>
        </w:rPr>
        <w:t xml:space="preserve"> </w:t>
      </w:r>
      <w:r w:rsidR="00763452" w:rsidRPr="00A55F3A">
        <w:rPr>
          <w:rStyle w:val="Carpredefinitoparagrafo"/>
          <w:rFonts w:ascii="Garamond" w:hAnsi="Garamond" w:cs="Times New Roman"/>
          <w:sz w:val="22"/>
          <w:szCs w:val="22"/>
        </w:rPr>
        <w:t xml:space="preserve">comparative </w:t>
      </w:r>
      <w:r w:rsidR="00173109" w:rsidRPr="00A55F3A">
        <w:rPr>
          <w:rStyle w:val="Carpredefinitoparagrafo"/>
          <w:rFonts w:ascii="Garamond" w:hAnsi="Garamond" w:cs="Times New Roman"/>
          <w:sz w:val="22"/>
          <w:szCs w:val="22"/>
        </w:rPr>
        <w:t>analysis;</w:t>
      </w:r>
      <w:r w:rsidR="003567BF" w:rsidRPr="00A55F3A">
        <w:rPr>
          <w:rStyle w:val="Carpredefinitoparagrafo"/>
          <w:rFonts w:ascii="Garamond" w:hAnsi="Garamond" w:cs="Times New Roman"/>
          <w:sz w:val="22"/>
          <w:szCs w:val="22"/>
        </w:rPr>
        <w:t xml:space="preserve"> </w:t>
      </w:r>
      <w:r w:rsidR="00763452" w:rsidRPr="00A55F3A">
        <w:rPr>
          <w:rStyle w:val="Carpredefinitoparagrafo"/>
          <w:rFonts w:ascii="Garamond" w:hAnsi="Garamond" w:cs="Times New Roman"/>
          <w:sz w:val="22"/>
          <w:szCs w:val="22"/>
        </w:rPr>
        <w:t>however</w:t>
      </w:r>
      <w:r w:rsidR="00173109" w:rsidRPr="00A55F3A">
        <w:rPr>
          <w:rStyle w:val="Carpredefinitoparagrafo"/>
          <w:rFonts w:ascii="Garamond" w:hAnsi="Garamond" w:cs="Times New Roman"/>
          <w:sz w:val="22"/>
          <w:szCs w:val="22"/>
        </w:rPr>
        <w:t>,</w:t>
      </w:r>
      <w:r w:rsidR="00763452" w:rsidRPr="00A55F3A">
        <w:rPr>
          <w:rStyle w:val="Carpredefinitoparagrafo"/>
          <w:rFonts w:ascii="Garamond" w:hAnsi="Garamond" w:cs="Times New Roman"/>
          <w:sz w:val="22"/>
          <w:szCs w:val="22"/>
        </w:rPr>
        <w:t xml:space="preserve"> we have to remember common law systems are, by comparison to civil law system</w:t>
      </w:r>
      <w:r w:rsidR="00B70E13" w:rsidRPr="00A55F3A">
        <w:rPr>
          <w:rStyle w:val="Carpredefinitoparagrafo"/>
          <w:rFonts w:ascii="Garamond" w:hAnsi="Garamond" w:cs="Times New Roman"/>
          <w:sz w:val="22"/>
          <w:szCs w:val="22"/>
        </w:rPr>
        <w:t>s</w:t>
      </w:r>
      <w:r w:rsidR="00763452" w:rsidRPr="00A55F3A">
        <w:rPr>
          <w:rStyle w:val="Carpredefinitoparagrafo"/>
          <w:rFonts w:ascii="Garamond" w:hAnsi="Garamond" w:cs="Times New Roman"/>
          <w:sz w:val="22"/>
          <w:szCs w:val="22"/>
        </w:rPr>
        <w:t>,</w:t>
      </w:r>
      <w:r w:rsidR="003567BF" w:rsidRPr="00A55F3A">
        <w:rPr>
          <w:rStyle w:val="Carpredefinitoparagrafo"/>
          <w:rFonts w:ascii="Garamond" w:hAnsi="Garamond" w:cs="Times New Roman"/>
          <w:sz w:val="22"/>
          <w:szCs w:val="22"/>
        </w:rPr>
        <w:t xml:space="preserve"> </w:t>
      </w:r>
      <w:r w:rsidR="00763452" w:rsidRPr="00A55F3A">
        <w:rPr>
          <w:rStyle w:val="Carpredefinitoparagrafo"/>
          <w:rFonts w:ascii="Garamond" w:hAnsi="Garamond" w:cs="Times New Roman"/>
          <w:sz w:val="22"/>
          <w:szCs w:val="22"/>
        </w:rPr>
        <w:t>designed</w:t>
      </w:r>
      <w:r w:rsidR="003567BF" w:rsidRPr="00A55F3A">
        <w:rPr>
          <w:rStyle w:val="Carpredefinitoparagrafo"/>
          <w:rFonts w:ascii="Garamond" w:hAnsi="Garamond" w:cs="Times New Roman"/>
          <w:sz w:val="22"/>
          <w:szCs w:val="22"/>
        </w:rPr>
        <w:t xml:space="preserve"> </w:t>
      </w:r>
      <w:r w:rsidR="00763452" w:rsidRPr="00A55F3A">
        <w:rPr>
          <w:rStyle w:val="Carpredefinitoparagrafo"/>
          <w:rFonts w:ascii="Garamond" w:hAnsi="Garamond" w:cs="Times New Roman"/>
          <w:sz w:val="22"/>
          <w:szCs w:val="22"/>
        </w:rPr>
        <w:t>to</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accept persuasive narratives from other common law </w:t>
      </w:r>
      <w:r w:rsidR="00763452" w:rsidRPr="00A55F3A">
        <w:rPr>
          <w:rStyle w:val="Carpredefinitoparagrafo"/>
          <w:rFonts w:ascii="Garamond" w:hAnsi="Garamond" w:cs="Times New Roman"/>
          <w:sz w:val="22"/>
          <w:szCs w:val="22"/>
        </w:rPr>
        <w:t>jurisdictions</w:t>
      </w:r>
      <w:r w:rsidRPr="00A55F3A">
        <w:rPr>
          <w:rStyle w:val="Carpredefinitoparagrafo"/>
          <w:rFonts w:ascii="Garamond" w:hAnsi="Garamond" w:cs="Times New Roman"/>
          <w:sz w:val="22"/>
          <w:szCs w:val="22"/>
        </w:rPr>
        <w:t>.</w:t>
      </w:r>
      <w:r w:rsidR="006C3790" w:rsidRPr="00A55F3A">
        <w:rPr>
          <w:rStyle w:val="Carpredefinitoparagrafo"/>
          <w:rFonts w:ascii="Garamond" w:hAnsi="Garamond" w:cs="Times New Roman"/>
          <w:sz w:val="22"/>
          <w:szCs w:val="22"/>
        </w:rPr>
        <w:t xml:space="preserve"> Furthermore, the lack of linguistic knowledge does not reduce the strength of </w:t>
      </w:r>
      <w:r w:rsidR="006E3573" w:rsidRPr="00A55F3A">
        <w:rPr>
          <w:rStyle w:val="Carpredefinitoparagrafo"/>
          <w:rFonts w:ascii="Garamond" w:hAnsi="Garamond" w:cs="Times New Roman"/>
          <w:sz w:val="22"/>
          <w:szCs w:val="22"/>
        </w:rPr>
        <w:t>o</w:t>
      </w:r>
      <w:r w:rsidR="00D7765D" w:rsidRPr="00A55F3A">
        <w:rPr>
          <w:rStyle w:val="Carpredefinitoparagrafo"/>
          <w:rFonts w:ascii="Garamond" w:hAnsi="Garamond" w:cs="Times New Roman"/>
          <w:sz w:val="22"/>
          <w:szCs w:val="22"/>
        </w:rPr>
        <w:t xml:space="preserve">ur contention. That is, the </w:t>
      </w:r>
      <w:r w:rsidR="006C3790" w:rsidRPr="00A55F3A">
        <w:rPr>
          <w:rStyle w:val="Carpredefinitoparagrafo"/>
          <w:rFonts w:ascii="Garamond" w:hAnsi="Garamond" w:cs="Times New Roman"/>
          <w:sz w:val="22"/>
          <w:szCs w:val="22"/>
        </w:rPr>
        <w:t>judicial qualification</w:t>
      </w:r>
      <w:r w:rsidR="00291400" w:rsidRPr="00A55F3A">
        <w:rPr>
          <w:rStyle w:val="Carpredefinitoparagrafo"/>
          <w:rFonts w:ascii="Garamond" w:hAnsi="Garamond" w:cs="Times New Roman"/>
          <w:sz w:val="22"/>
          <w:szCs w:val="22"/>
        </w:rPr>
        <w:t>s</w:t>
      </w:r>
      <w:r w:rsidR="006C3790" w:rsidRPr="00A55F3A">
        <w:rPr>
          <w:rStyle w:val="Carpredefinitoparagrafo"/>
          <w:rFonts w:ascii="Garamond" w:hAnsi="Garamond" w:cs="Times New Roman"/>
          <w:sz w:val="22"/>
          <w:szCs w:val="22"/>
        </w:rPr>
        <w:t xml:space="preserve"> of the regimes of </w:t>
      </w:r>
      <w:r w:rsidR="00291400" w:rsidRPr="00A55F3A">
        <w:rPr>
          <w:rStyle w:val="Carpredefinitoparagrafo"/>
          <w:rFonts w:ascii="Garamond" w:hAnsi="Garamond" w:cs="Times New Roman"/>
          <w:sz w:val="22"/>
          <w:szCs w:val="22"/>
        </w:rPr>
        <w:t>IOE</w:t>
      </w:r>
      <w:r w:rsidR="006C3790" w:rsidRPr="00A55F3A">
        <w:rPr>
          <w:rStyle w:val="Carpredefinitoparagrafo"/>
          <w:rFonts w:ascii="Garamond" w:hAnsi="Garamond" w:cs="Times New Roman"/>
          <w:sz w:val="22"/>
          <w:szCs w:val="22"/>
        </w:rPr>
        <w:t xml:space="preserve"> </w:t>
      </w:r>
      <w:r w:rsidR="00291400" w:rsidRPr="00A55F3A">
        <w:rPr>
          <w:rStyle w:val="Carpredefinitoparagrafo"/>
          <w:rFonts w:ascii="Garamond" w:hAnsi="Garamond" w:cs="Times New Roman"/>
          <w:sz w:val="22"/>
          <w:szCs w:val="22"/>
        </w:rPr>
        <w:t>(</w:t>
      </w:r>
      <w:r w:rsidR="006C3790" w:rsidRPr="00A55F3A">
        <w:rPr>
          <w:rStyle w:val="Carpredefinitoparagrafo"/>
          <w:rFonts w:ascii="Garamond" w:hAnsi="Garamond" w:cs="Times New Roman"/>
          <w:sz w:val="22"/>
          <w:szCs w:val="22"/>
        </w:rPr>
        <w:t xml:space="preserve">in Italy and England </w:t>
      </w:r>
      <w:r w:rsidR="00D13877">
        <w:rPr>
          <w:rStyle w:val="Carpredefinitoparagrafo"/>
          <w:rFonts w:ascii="Garamond" w:hAnsi="Garamond" w:cs="Times New Roman"/>
          <w:sz w:val="22"/>
          <w:szCs w:val="22"/>
        </w:rPr>
        <w:t xml:space="preserve"> </w:t>
      </w:r>
      <w:r w:rsidR="00291400" w:rsidRPr="00A55F3A">
        <w:rPr>
          <w:rStyle w:val="Carpredefinitoparagrafo"/>
          <w:rFonts w:ascii="Garamond" w:hAnsi="Garamond" w:cs="Times New Roman"/>
          <w:sz w:val="22"/>
          <w:szCs w:val="22"/>
        </w:rPr>
        <w:t xml:space="preserve">) are changing and, in this transitional phase,  </w:t>
      </w:r>
      <w:r w:rsidR="006C3790" w:rsidRPr="00A55F3A">
        <w:rPr>
          <w:rStyle w:val="Carpredefinitoparagrafo"/>
          <w:rFonts w:ascii="Garamond" w:hAnsi="Garamond" w:cs="Times New Roman"/>
          <w:sz w:val="22"/>
          <w:szCs w:val="22"/>
        </w:rPr>
        <w:t xml:space="preserve"> </w:t>
      </w:r>
      <w:r w:rsidR="00291400" w:rsidRPr="00A55F3A">
        <w:rPr>
          <w:rStyle w:val="Carpredefinitoparagrafo"/>
          <w:rFonts w:ascii="Garamond" w:hAnsi="Garamond" w:cs="Times New Roman"/>
          <w:sz w:val="22"/>
          <w:szCs w:val="22"/>
        </w:rPr>
        <w:t xml:space="preserve">they  </w:t>
      </w:r>
      <w:r w:rsidR="006C3790" w:rsidRPr="00A55F3A">
        <w:rPr>
          <w:rStyle w:val="Carpredefinitoparagrafo"/>
          <w:rFonts w:ascii="Garamond" w:hAnsi="Garamond" w:cs="Times New Roman"/>
          <w:sz w:val="22"/>
          <w:szCs w:val="22"/>
        </w:rPr>
        <w:t xml:space="preserve">might </w:t>
      </w:r>
      <w:r w:rsidR="00291400" w:rsidRPr="00A55F3A">
        <w:rPr>
          <w:rStyle w:val="Carpredefinitoparagrafo"/>
          <w:rFonts w:ascii="Garamond" w:hAnsi="Garamond" w:cs="Times New Roman"/>
          <w:sz w:val="22"/>
          <w:szCs w:val="22"/>
        </w:rPr>
        <w:t>be inspired from</w:t>
      </w:r>
      <w:r w:rsidR="006C3790" w:rsidRPr="00A55F3A">
        <w:rPr>
          <w:rStyle w:val="Carpredefinitoparagrafo"/>
          <w:rFonts w:ascii="Garamond" w:hAnsi="Garamond" w:cs="Times New Roman"/>
          <w:sz w:val="22"/>
          <w:szCs w:val="22"/>
        </w:rPr>
        <w:t xml:space="preserve"> each other experiences.</w:t>
      </w:r>
    </w:p>
    <w:p w14:paraId="04D0DB00" w14:textId="7BA29726" w:rsidR="00605CE2" w:rsidRPr="00A55F3A" w:rsidRDefault="007853C8" w:rsidP="00A55F3A">
      <w:pPr>
        <w:pStyle w:val="Heading2"/>
        <w:spacing w:line="480" w:lineRule="auto"/>
        <w:jc w:val="center"/>
        <w:rPr>
          <w:rFonts w:ascii="Garamond" w:hAnsi="Garamond"/>
        </w:rPr>
      </w:pPr>
      <w:r w:rsidRPr="00A55F3A">
        <w:rPr>
          <w:rFonts w:ascii="Garamond" w:hAnsi="Garamond"/>
        </w:rPr>
        <w:t xml:space="preserve">Squaring an </w:t>
      </w:r>
      <w:r w:rsidR="00862CD7" w:rsidRPr="00A55F3A">
        <w:rPr>
          <w:rFonts w:ascii="Garamond" w:hAnsi="Garamond"/>
        </w:rPr>
        <w:t>O</w:t>
      </w:r>
      <w:r w:rsidRPr="00A55F3A">
        <w:rPr>
          <w:rFonts w:ascii="Garamond" w:hAnsi="Garamond"/>
        </w:rPr>
        <w:t>utrageous</w:t>
      </w:r>
      <w:r w:rsidR="003567BF" w:rsidRPr="00A55F3A">
        <w:rPr>
          <w:rFonts w:ascii="Garamond" w:hAnsi="Garamond"/>
        </w:rPr>
        <w:t xml:space="preserve"> </w:t>
      </w:r>
      <w:r w:rsidRPr="00A55F3A">
        <w:rPr>
          <w:rFonts w:ascii="Garamond" w:hAnsi="Garamond"/>
        </w:rPr>
        <w:t xml:space="preserve">Circle: Illegally </w:t>
      </w:r>
      <w:r w:rsidR="00862CD7" w:rsidRPr="00A55F3A">
        <w:rPr>
          <w:rFonts w:ascii="Garamond" w:hAnsi="Garamond"/>
        </w:rPr>
        <w:t>O</w:t>
      </w:r>
      <w:r w:rsidRPr="00A55F3A">
        <w:rPr>
          <w:rFonts w:ascii="Garamond" w:hAnsi="Garamond"/>
        </w:rPr>
        <w:t xml:space="preserve">btained </w:t>
      </w:r>
      <w:r w:rsidR="00291400" w:rsidRPr="00A55F3A">
        <w:rPr>
          <w:rFonts w:ascii="Garamond" w:hAnsi="Garamond"/>
        </w:rPr>
        <w:t>Evidence</w:t>
      </w:r>
      <w:r w:rsidR="00593D4F" w:rsidRPr="00A55F3A">
        <w:rPr>
          <w:rFonts w:ascii="Garamond" w:hAnsi="Garamond"/>
        </w:rPr>
        <w:t xml:space="preserve"> in England </w:t>
      </w:r>
      <w:r w:rsidR="00D13877">
        <w:rPr>
          <w:rFonts w:ascii="Garamond" w:hAnsi="Garamond"/>
        </w:rPr>
        <w:t xml:space="preserve"> </w:t>
      </w:r>
    </w:p>
    <w:p w14:paraId="76B6A5FA" w14:textId="2AC70A87" w:rsidR="00C00DC8" w:rsidRPr="00A55F3A" w:rsidRDefault="00995DDB" w:rsidP="00A55F3A">
      <w:pPr>
        <w:pStyle w:val="Standard"/>
        <w:spacing w:line="480" w:lineRule="auto"/>
        <w:rPr>
          <w:rFonts w:ascii="Garamond" w:hAnsi="Garamond"/>
          <w:sz w:val="22"/>
          <w:szCs w:val="22"/>
        </w:rPr>
      </w:pPr>
      <w:r w:rsidRPr="00A55F3A">
        <w:rPr>
          <w:rFonts w:ascii="Garamond" w:hAnsi="Garamond"/>
          <w:sz w:val="22"/>
          <w:szCs w:val="22"/>
        </w:rPr>
        <w:t>The admissibility of</w:t>
      </w:r>
      <w:r w:rsidR="003567BF" w:rsidRPr="00A55F3A">
        <w:rPr>
          <w:rFonts w:ascii="Garamond" w:hAnsi="Garamond"/>
          <w:sz w:val="22"/>
          <w:szCs w:val="22"/>
        </w:rPr>
        <w:t xml:space="preserve"> </w:t>
      </w:r>
      <w:r w:rsidR="00291400" w:rsidRPr="00A55F3A">
        <w:rPr>
          <w:rFonts w:ascii="Garamond" w:hAnsi="Garamond"/>
          <w:sz w:val="22"/>
          <w:szCs w:val="22"/>
        </w:rPr>
        <w:t>IOE</w:t>
      </w:r>
      <w:r w:rsidRPr="00A55F3A">
        <w:rPr>
          <w:rFonts w:ascii="Garamond" w:hAnsi="Garamond"/>
          <w:sz w:val="22"/>
          <w:szCs w:val="22"/>
        </w:rPr>
        <w:t xml:space="preserve"> in England and Wales is regulated by statutes and common law.</w:t>
      </w:r>
      <w:r w:rsidR="003567BF" w:rsidRPr="00A55F3A">
        <w:rPr>
          <w:rFonts w:ascii="Garamond" w:hAnsi="Garamond"/>
          <w:sz w:val="22"/>
          <w:szCs w:val="22"/>
        </w:rPr>
        <w:t xml:space="preserve"> </w:t>
      </w:r>
      <w:r w:rsidR="00F60E23" w:rsidRPr="00A55F3A">
        <w:rPr>
          <w:rFonts w:ascii="Garamond" w:hAnsi="Garamond"/>
          <w:sz w:val="22"/>
          <w:szCs w:val="22"/>
        </w:rPr>
        <w:t>Rule 32.1 (1) of the CPR has entrusted the judges with the power of evaluating the admissibility of evidence and to exclude it  (ex Rule 32.1 (2)).</w:t>
      </w:r>
    </w:p>
    <w:p w14:paraId="335DE794" w14:textId="7DB7A844" w:rsidR="00995DDB" w:rsidRPr="00A55F3A" w:rsidRDefault="00F60E23" w:rsidP="00A55F3A">
      <w:pPr>
        <w:pStyle w:val="Standard"/>
        <w:spacing w:line="480" w:lineRule="auto"/>
        <w:rPr>
          <w:rFonts w:ascii="Garamond" w:hAnsi="Garamond"/>
          <w:sz w:val="22"/>
          <w:szCs w:val="22"/>
        </w:rPr>
      </w:pPr>
      <w:r w:rsidRPr="00A55F3A">
        <w:rPr>
          <w:rFonts w:ascii="Garamond" w:hAnsi="Garamond"/>
          <w:sz w:val="22"/>
          <w:szCs w:val="22"/>
        </w:rPr>
        <w:t xml:space="preserve"> </w:t>
      </w:r>
      <w:r w:rsidR="00593D4F" w:rsidRPr="00A55F3A">
        <w:rPr>
          <w:rFonts w:ascii="Garamond" w:hAnsi="Garamond"/>
          <w:sz w:val="22"/>
          <w:szCs w:val="22"/>
        </w:rPr>
        <w:t>The HRA</w:t>
      </w:r>
      <w:r w:rsidR="003567BF" w:rsidRPr="00A55F3A">
        <w:rPr>
          <w:rFonts w:ascii="Garamond" w:hAnsi="Garamond"/>
          <w:sz w:val="22"/>
          <w:szCs w:val="22"/>
        </w:rPr>
        <w:t xml:space="preserve"> </w:t>
      </w:r>
      <w:r w:rsidR="00995DDB" w:rsidRPr="00A55F3A">
        <w:rPr>
          <w:rFonts w:ascii="Garamond" w:hAnsi="Garamond"/>
          <w:sz w:val="22"/>
          <w:szCs w:val="22"/>
        </w:rPr>
        <w:t>ha</w:t>
      </w:r>
      <w:r w:rsidR="000B4BA8" w:rsidRPr="00A55F3A">
        <w:rPr>
          <w:rFonts w:ascii="Garamond" w:hAnsi="Garamond"/>
          <w:sz w:val="22"/>
          <w:szCs w:val="22"/>
        </w:rPr>
        <w:t>d</w:t>
      </w:r>
      <w:r w:rsidR="00995DDB" w:rsidRPr="00A55F3A">
        <w:rPr>
          <w:rFonts w:ascii="Garamond" w:hAnsi="Garamond"/>
          <w:sz w:val="22"/>
          <w:szCs w:val="22"/>
        </w:rPr>
        <w:t>, instead,</w:t>
      </w:r>
      <w:r w:rsidR="003567BF" w:rsidRPr="00A55F3A">
        <w:rPr>
          <w:rFonts w:ascii="Garamond" w:hAnsi="Garamond"/>
          <w:sz w:val="22"/>
          <w:szCs w:val="22"/>
        </w:rPr>
        <w:t xml:space="preserve"> </w:t>
      </w:r>
      <w:r w:rsidR="006C3790" w:rsidRPr="00A55F3A">
        <w:rPr>
          <w:rFonts w:ascii="Garamond" w:hAnsi="Garamond"/>
          <w:sz w:val="22"/>
          <w:szCs w:val="22"/>
        </w:rPr>
        <w:t xml:space="preserve">an </w:t>
      </w:r>
      <w:r w:rsidR="00995DDB" w:rsidRPr="00A55F3A">
        <w:rPr>
          <w:rFonts w:ascii="Garamond" w:hAnsi="Garamond"/>
          <w:sz w:val="22"/>
          <w:szCs w:val="22"/>
        </w:rPr>
        <w:t xml:space="preserve">indirect effect on the regime of </w:t>
      </w:r>
      <w:r w:rsidR="00291400" w:rsidRPr="00A55F3A">
        <w:rPr>
          <w:rFonts w:ascii="Garamond" w:hAnsi="Garamond"/>
          <w:sz w:val="22"/>
          <w:szCs w:val="22"/>
        </w:rPr>
        <w:t>IOE</w:t>
      </w:r>
      <w:r w:rsidR="00995DDB" w:rsidRPr="00A55F3A">
        <w:rPr>
          <w:rFonts w:ascii="Garamond" w:hAnsi="Garamond"/>
          <w:sz w:val="22"/>
          <w:szCs w:val="22"/>
        </w:rPr>
        <w:t>.</w:t>
      </w:r>
      <w:r w:rsidR="00C00DC8" w:rsidRPr="00A55F3A">
        <w:rPr>
          <w:rStyle w:val="FootnoteReference"/>
          <w:rFonts w:ascii="Garamond" w:hAnsi="Garamond"/>
          <w:sz w:val="22"/>
          <w:szCs w:val="22"/>
        </w:rPr>
        <w:footnoteReference w:id="25"/>
      </w:r>
      <w:r w:rsidR="003567BF" w:rsidRPr="00A55F3A">
        <w:rPr>
          <w:rFonts w:ascii="Garamond" w:hAnsi="Garamond"/>
          <w:sz w:val="22"/>
          <w:szCs w:val="22"/>
        </w:rPr>
        <w:t xml:space="preserve"> </w:t>
      </w:r>
      <w:r w:rsidR="00995DDB" w:rsidRPr="00A55F3A">
        <w:rPr>
          <w:rFonts w:ascii="Garamond" w:hAnsi="Garamond"/>
          <w:sz w:val="22"/>
          <w:szCs w:val="22"/>
        </w:rPr>
        <w:t>The HRA introduced in the UK legal system</w:t>
      </w:r>
      <w:r w:rsidR="003567BF" w:rsidRPr="00A55F3A">
        <w:rPr>
          <w:rFonts w:ascii="Garamond" w:hAnsi="Garamond"/>
          <w:sz w:val="22"/>
          <w:szCs w:val="22"/>
        </w:rPr>
        <w:t xml:space="preserve"> </w:t>
      </w:r>
      <w:r w:rsidR="00593D4F" w:rsidRPr="00A55F3A">
        <w:rPr>
          <w:rFonts w:ascii="Garamond" w:hAnsi="Garamond"/>
          <w:sz w:val="22"/>
          <w:szCs w:val="22"/>
        </w:rPr>
        <w:t>a selection of articles of the European Convention on Human Rights</w:t>
      </w:r>
      <w:r w:rsidR="00995DDB" w:rsidRPr="00A55F3A">
        <w:rPr>
          <w:rFonts w:ascii="Garamond" w:hAnsi="Garamond"/>
          <w:sz w:val="22"/>
          <w:szCs w:val="22"/>
        </w:rPr>
        <w:t xml:space="preserve"> (ECHR)</w:t>
      </w:r>
      <w:r w:rsidR="008A16AB" w:rsidRPr="00A55F3A">
        <w:rPr>
          <w:rStyle w:val="FootnoteReference"/>
          <w:rFonts w:ascii="Garamond" w:hAnsi="Garamond"/>
          <w:sz w:val="22"/>
          <w:szCs w:val="22"/>
        </w:rPr>
        <w:footnoteReference w:id="26"/>
      </w:r>
      <w:r w:rsidR="003567BF" w:rsidRPr="00A55F3A">
        <w:rPr>
          <w:rFonts w:ascii="Garamond" w:hAnsi="Garamond"/>
          <w:sz w:val="22"/>
          <w:szCs w:val="22"/>
        </w:rPr>
        <w:t xml:space="preserve"> </w:t>
      </w:r>
      <w:r w:rsidR="00593D4F" w:rsidRPr="00A55F3A">
        <w:rPr>
          <w:rFonts w:ascii="Garamond" w:hAnsi="Garamond"/>
          <w:sz w:val="22"/>
          <w:szCs w:val="22"/>
        </w:rPr>
        <w:t xml:space="preserve">and the related jurisprudence of the European Court of Human Rights (ECtHR) that </w:t>
      </w:r>
      <w:r w:rsidR="00995DDB" w:rsidRPr="00A55F3A">
        <w:rPr>
          <w:rFonts w:ascii="Garamond" w:hAnsi="Garamond"/>
          <w:sz w:val="22"/>
          <w:szCs w:val="22"/>
        </w:rPr>
        <w:t xml:space="preserve">had the </w:t>
      </w:r>
      <w:r w:rsidR="00392455" w:rsidRPr="00A55F3A">
        <w:rPr>
          <w:rFonts w:ascii="Garamond" w:hAnsi="Garamond"/>
          <w:sz w:val="22"/>
          <w:szCs w:val="22"/>
        </w:rPr>
        <w:t>consequence</w:t>
      </w:r>
      <w:r w:rsidR="00995DDB" w:rsidRPr="00A55F3A">
        <w:rPr>
          <w:rFonts w:ascii="Garamond" w:hAnsi="Garamond"/>
          <w:sz w:val="22"/>
          <w:szCs w:val="22"/>
        </w:rPr>
        <w:t xml:space="preserve"> of </w:t>
      </w:r>
      <w:r w:rsidR="00593D4F" w:rsidRPr="00A55F3A">
        <w:rPr>
          <w:rFonts w:ascii="Garamond" w:hAnsi="Garamond"/>
          <w:sz w:val="22"/>
          <w:szCs w:val="22"/>
        </w:rPr>
        <w:t>chang</w:t>
      </w:r>
      <w:r w:rsidR="00995DDB" w:rsidRPr="00A55F3A">
        <w:rPr>
          <w:rFonts w:ascii="Garamond" w:hAnsi="Garamond"/>
          <w:sz w:val="22"/>
          <w:szCs w:val="22"/>
        </w:rPr>
        <w:t>ing</w:t>
      </w:r>
      <w:r w:rsidR="003567BF" w:rsidRPr="00A55F3A">
        <w:rPr>
          <w:rFonts w:ascii="Garamond" w:hAnsi="Garamond"/>
          <w:sz w:val="22"/>
          <w:szCs w:val="22"/>
        </w:rPr>
        <w:t xml:space="preserve"> </w:t>
      </w:r>
      <w:r w:rsidR="00593D4F" w:rsidRPr="00A55F3A">
        <w:rPr>
          <w:rFonts w:ascii="Garamond" w:hAnsi="Garamond"/>
          <w:sz w:val="22"/>
          <w:szCs w:val="22"/>
        </w:rPr>
        <w:t>indirectly judicial practice.</w:t>
      </w:r>
      <w:r w:rsidR="003567BF" w:rsidRPr="00A55F3A">
        <w:rPr>
          <w:rFonts w:ascii="Garamond" w:hAnsi="Garamond"/>
          <w:sz w:val="22"/>
          <w:szCs w:val="22"/>
        </w:rPr>
        <w:t xml:space="preserve"> </w:t>
      </w:r>
      <w:r w:rsidRPr="00A55F3A">
        <w:rPr>
          <w:rFonts w:ascii="Garamond" w:hAnsi="Garamond"/>
          <w:sz w:val="22"/>
          <w:szCs w:val="22"/>
        </w:rPr>
        <w:t>For instance, evidence obtained as a result of outrageous violation of the right to privacy (ex article 8 ECHR) might be excluded from a civil case.</w:t>
      </w:r>
      <w:r w:rsidRPr="00A55F3A">
        <w:rPr>
          <w:rStyle w:val="FootnoteReference"/>
          <w:rFonts w:ascii="Garamond" w:hAnsi="Garamond"/>
          <w:sz w:val="22"/>
          <w:szCs w:val="22"/>
        </w:rPr>
        <w:footnoteReference w:id="27"/>
      </w:r>
      <w:r w:rsidRPr="00A55F3A">
        <w:rPr>
          <w:rFonts w:ascii="Garamond" w:hAnsi="Garamond"/>
          <w:sz w:val="22"/>
          <w:szCs w:val="22"/>
        </w:rPr>
        <w:t xml:space="preserve"> </w:t>
      </w:r>
    </w:p>
    <w:p w14:paraId="04D5A23F" w14:textId="693AD240" w:rsidR="00392455" w:rsidRPr="00A55F3A" w:rsidRDefault="00995DDB" w:rsidP="00A55F3A">
      <w:pPr>
        <w:pStyle w:val="Standard"/>
        <w:spacing w:line="480" w:lineRule="auto"/>
        <w:rPr>
          <w:rFonts w:ascii="Garamond" w:hAnsi="Garamond"/>
          <w:sz w:val="22"/>
          <w:szCs w:val="22"/>
        </w:rPr>
      </w:pPr>
      <w:r w:rsidRPr="00A55F3A">
        <w:rPr>
          <w:rFonts w:ascii="Garamond" w:hAnsi="Garamond"/>
          <w:sz w:val="22"/>
          <w:szCs w:val="22"/>
        </w:rPr>
        <w:t xml:space="preserve">The combined </w:t>
      </w:r>
      <w:r w:rsidR="006C3790" w:rsidRPr="00A55F3A">
        <w:rPr>
          <w:rFonts w:ascii="Garamond" w:hAnsi="Garamond"/>
          <w:sz w:val="22"/>
          <w:szCs w:val="22"/>
        </w:rPr>
        <w:t>interpretation of the</w:t>
      </w:r>
      <w:r w:rsidR="003567BF" w:rsidRPr="00A55F3A">
        <w:rPr>
          <w:rFonts w:ascii="Garamond" w:hAnsi="Garamond"/>
          <w:sz w:val="22"/>
          <w:szCs w:val="22"/>
        </w:rPr>
        <w:t xml:space="preserve"> </w:t>
      </w:r>
      <w:r w:rsidR="00593D4F" w:rsidRPr="00A55F3A">
        <w:rPr>
          <w:rFonts w:ascii="Garamond" w:hAnsi="Garamond"/>
          <w:sz w:val="22"/>
          <w:szCs w:val="22"/>
        </w:rPr>
        <w:t xml:space="preserve">CRP and </w:t>
      </w:r>
      <w:r w:rsidR="006C3790" w:rsidRPr="00A55F3A">
        <w:rPr>
          <w:rFonts w:ascii="Garamond" w:hAnsi="Garamond"/>
          <w:sz w:val="22"/>
          <w:szCs w:val="22"/>
        </w:rPr>
        <w:t xml:space="preserve">of the </w:t>
      </w:r>
      <w:r w:rsidR="00593D4F" w:rsidRPr="00A55F3A">
        <w:rPr>
          <w:rFonts w:ascii="Garamond" w:hAnsi="Garamond"/>
          <w:sz w:val="22"/>
          <w:szCs w:val="22"/>
        </w:rPr>
        <w:t xml:space="preserve">HRA altered </w:t>
      </w:r>
      <w:r w:rsidR="006C3790" w:rsidRPr="00A55F3A">
        <w:rPr>
          <w:rFonts w:ascii="Garamond" w:hAnsi="Garamond"/>
          <w:sz w:val="22"/>
          <w:szCs w:val="22"/>
        </w:rPr>
        <w:t>the</w:t>
      </w:r>
      <w:r w:rsidR="006746D2" w:rsidRPr="00A55F3A">
        <w:rPr>
          <w:rFonts w:ascii="Garamond" w:hAnsi="Garamond"/>
          <w:sz w:val="22"/>
          <w:szCs w:val="22"/>
        </w:rPr>
        <w:t xml:space="preserve"> main</w:t>
      </w:r>
      <w:r w:rsidR="003567BF" w:rsidRPr="00A55F3A">
        <w:rPr>
          <w:rFonts w:ascii="Garamond" w:hAnsi="Garamond"/>
          <w:sz w:val="22"/>
          <w:szCs w:val="22"/>
        </w:rPr>
        <w:t xml:space="preserve"> </w:t>
      </w:r>
      <w:r w:rsidR="006C3790" w:rsidRPr="00A55F3A">
        <w:rPr>
          <w:rFonts w:ascii="Garamond" w:hAnsi="Garamond"/>
          <w:sz w:val="22"/>
          <w:szCs w:val="22"/>
        </w:rPr>
        <w:t>line of authority</w:t>
      </w:r>
      <w:r w:rsidR="003567BF" w:rsidRPr="00A55F3A">
        <w:rPr>
          <w:rFonts w:ascii="Garamond" w:hAnsi="Garamond"/>
          <w:sz w:val="22"/>
          <w:szCs w:val="22"/>
        </w:rPr>
        <w:t xml:space="preserve"> </w:t>
      </w:r>
      <w:r w:rsidR="006C3790" w:rsidRPr="00A55F3A">
        <w:rPr>
          <w:rFonts w:ascii="Garamond" w:hAnsi="Garamond"/>
          <w:sz w:val="22"/>
          <w:szCs w:val="22"/>
        </w:rPr>
        <w:t>set</w:t>
      </w:r>
      <w:r w:rsidR="003567BF" w:rsidRPr="00A55F3A">
        <w:rPr>
          <w:rFonts w:ascii="Garamond" w:hAnsi="Garamond"/>
          <w:sz w:val="22"/>
          <w:szCs w:val="22"/>
        </w:rPr>
        <w:t xml:space="preserve"> </w:t>
      </w:r>
      <w:r w:rsidR="006C3790" w:rsidRPr="00A55F3A">
        <w:rPr>
          <w:rFonts w:ascii="Garamond" w:hAnsi="Garamond"/>
          <w:sz w:val="22"/>
          <w:szCs w:val="22"/>
        </w:rPr>
        <w:t xml:space="preserve">in </w:t>
      </w:r>
      <w:r w:rsidR="0020145B" w:rsidRPr="00A55F3A">
        <w:rPr>
          <w:rFonts w:ascii="Garamond" w:hAnsi="Garamond"/>
          <w:i/>
          <w:sz w:val="22"/>
          <w:szCs w:val="22"/>
        </w:rPr>
        <w:t>Helliwell an</w:t>
      </w:r>
      <w:r w:rsidR="00B70E13" w:rsidRPr="00A55F3A">
        <w:rPr>
          <w:rFonts w:ascii="Garamond" w:hAnsi="Garamond"/>
          <w:i/>
          <w:sz w:val="22"/>
          <w:szCs w:val="22"/>
        </w:rPr>
        <w:t>d</w:t>
      </w:r>
      <w:r w:rsidR="0020145B" w:rsidRPr="00A55F3A">
        <w:rPr>
          <w:rFonts w:ascii="Garamond" w:hAnsi="Garamond"/>
          <w:i/>
          <w:sz w:val="22"/>
          <w:szCs w:val="22"/>
        </w:rPr>
        <w:t xml:space="preserve"> Others</w:t>
      </w:r>
      <w:r w:rsidR="00C10272" w:rsidRPr="00A55F3A">
        <w:rPr>
          <w:rFonts w:ascii="Garamond" w:hAnsi="Garamond"/>
          <w:sz w:val="22"/>
          <w:szCs w:val="22"/>
        </w:rPr>
        <w:t xml:space="preserve"> v </w:t>
      </w:r>
      <w:r w:rsidR="003711AD" w:rsidRPr="00A55F3A">
        <w:rPr>
          <w:rFonts w:ascii="Garamond" w:hAnsi="Garamond"/>
          <w:i/>
          <w:sz w:val="22"/>
          <w:szCs w:val="22"/>
        </w:rPr>
        <w:t>Piggott-Sims</w:t>
      </w:r>
      <w:r w:rsidR="006746D2" w:rsidRPr="00A55F3A">
        <w:rPr>
          <w:rFonts w:ascii="Garamond" w:hAnsi="Garamond"/>
          <w:sz w:val="22"/>
          <w:szCs w:val="22"/>
        </w:rPr>
        <w:t>.</w:t>
      </w:r>
      <w:r w:rsidR="008A16AB" w:rsidRPr="00A55F3A">
        <w:rPr>
          <w:rStyle w:val="FootnoteReference"/>
          <w:rFonts w:ascii="Garamond" w:hAnsi="Garamond"/>
          <w:sz w:val="22"/>
          <w:szCs w:val="22"/>
        </w:rPr>
        <w:footnoteReference w:id="28"/>
      </w:r>
      <w:r w:rsidR="003567BF" w:rsidRPr="00A55F3A">
        <w:rPr>
          <w:rFonts w:ascii="Garamond" w:hAnsi="Garamond"/>
          <w:sz w:val="22"/>
          <w:szCs w:val="22"/>
        </w:rPr>
        <w:t xml:space="preserve"> </w:t>
      </w:r>
      <w:r w:rsidR="00B70E13" w:rsidRPr="00A55F3A">
        <w:rPr>
          <w:rFonts w:ascii="Garamond" w:hAnsi="Garamond"/>
          <w:sz w:val="22"/>
          <w:szCs w:val="22"/>
        </w:rPr>
        <w:t>The case spelt</w:t>
      </w:r>
      <w:r w:rsidR="00392455" w:rsidRPr="00A55F3A">
        <w:rPr>
          <w:rFonts w:ascii="Garamond" w:hAnsi="Garamond"/>
          <w:sz w:val="22"/>
          <w:szCs w:val="22"/>
        </w:rPr>
        <w:t xml:space="preserve"> out in </w:t>
      </w:r>
      <w:r w:rsidR="00C00DC8" w:rsidRPr="00A55F3A">
        <w:rPr>
          <w:rFonts w:ascii="Garamond" w:hAnsi="Garamond"/>
          <w:sz w:val="22"/>
          <w:szCs w:val="22"/>
        </w:rPr>
        <w:t xml:space="preserve">compelling </w:t>
      </w:r>
      <w:r w:rsidR="00392455" w:rsidRPr="00A55F3A">
        <w:rPr>
          <w:rFonts w:ascii="Garamond" w:hAnsi="Garamond"/>
          <w:sz w:val="22"/>
          <w:szCs w:val="22"/>
        </w:rPr>
        <w:t xml:space="preserve"> narrative that judges are</w:t>
      </w:r>
      <w:r w:rsidR="00B50D56" w:rsidRPr="00A55F3A">
        <w:rPr>
          <w:rFonts w:ascii="Garamond" w:hAnsi="Garamond"/>
          <w:sz w:val="22"/>
          <w:szCs w:val="22"/>
        </w:rPr>
        <w:t xml:space="preserve">  </w:t>
      </w:r>
      <w:r w:rsidR="00102D86" w:rsidRPr="00A55F3A">
        <w:rPr>
          <w:rFonts w:ascii="Garamond" w:hAnsi="Garamond"/>
          <w:sz w:val="22"/>
          <w:szCs w:val="22"/>
        </w:rPr>
        <w:t>prevented</w:t>
      </w:r>
      <w:r w:rsidR="003567BF" w:rsidRPr="00A55F3A">
        <w:rPr>
          <w:rFonts w:ascii="Garamond" w:hAnsi="Garamond"/>
          <w:sz w:val="22"/>
          <w:szCs w:val="22"/>
        </w:rPr>
        <w:t xml:space="preserve"> </w:t>
      </w:r>
      <w:r w:rsidR="00593D4F" w:rsidRPr="00A55F3A">
        <w:rPr>
          <w:rFonts w:ascii="Garamond" w:hAnsi="Garamond"/>
          <w:sz w:val="22"/>
          <w:szCs w:val="22"/>
        </w:rPr>
        <w:t xml:space="preserve">from excluding </w:t>
      </w:r>
      <w:r w:rsidR="004156FD" w:rsidRPr="00A55F3A">
        <w:rPr>
          <w:rFonts w:ascii="Garamond" w:hAnsi="Garamond"/>
          <w:sz w:val="22"/>
          <w:szCs w:val="22"/>
        </w:rPr>
        <w:t xml:space="preserve">an </w:t>
      </w:r>
      <w:r w:rsidR="00291400" w:rsidRPr="00A55F3A">
        <w:rPr>
          <w:rFonts w:ascii="Garamond" w:hAnsi="Garamond"/>
          <w:sz w:val="22"/>
          <w:szCs w:val="22"/>
        </w:rPr>
        <w:t>IOE</w:t>
      </w:r>
      <w:r w:rsidR="00392455" w:rsidRPr="00A55F3A">
        <w:rPr>
          <w:rFonts w:ascii="Garamond" w:hAnsi="Garamond"/>
          <w:sz w:val="22"/>
          <w:szCs w:val="22"/>
        </w:rPr>
        <w:t xml:space="preserve"> in </w:t>
      </w:r>
      <w:r w:rsidR="00691E3E">
        <w:rPr>
          <w:rFonts w:ascii="Garamond" w:hAnsi="Garamond"/>
          <w:sz w:val="22"/>
          <w:szCs w:val="22"/>
        </w:rPr>
        <w:t xml:space="preserve">a </w:t>
      </w:r>
      <w:r w:rsidR="00392455" w:rsidRPr="00A55F3A">
        <w:rPr>
          <w:rFonts w:ascii="Garamond" w:hAnsi="Garamond"/>
          <w:sz w:val="22"/>
          <w:szCs w:val="22"/>
        </w:rPr>
        <w:t>civil case</w:t>
      </w:r>
      <w:r w:rsidR="00593D4F" w:rsidRPr="00A55F3A">
        <w:rPr>
          <w:rFonts w:ascii="Garamond" w:hAnsi="Garamond"/>
          <w:sz w:val="22"/>
          <w:szCs w:val="22"/>
        </w:rPr>
        <w:t>.</w:t>
      </w:r>
      <w:r w:rsidR="009C06F7" w:rsidRPr="00A55F3A">
        <w:rPr>
          <w:rFonts w:ascii="Garamond" w:hAnsi="Garamond"/>
          <w:sz w:val="22"/>
          <w:szCs w:val="22"/>
        </w:rPr>
        <w:t xml:space="preserve"> </w:t>
      </w:r>
      <w:r w:rsidR="00593D4F" w:rsidRPr="00A55F3A">
        <w:rPr>
          <w:rFonts w:ascii="Garamond" w:hAnsi="Garamond"/>
          <w:sz w:val="22"/>
          <w:szCs w:val="22"/>
        </w:rPr>
        <w:t xml:space="preserve">‘I know that in criminal cases the judge may have </w:t>
      </w:r>
      <w:r w:rsidR="00F60E23" w:rsidRPr="00A55F3A">
        <w:rPr>
          <w:rFonts w:ascii="Garamond" w:hAnsi="Garamond"/>
          <w:sz w:val="22"/>
          <w:szCs w:val="22"/>
        </w:rPr>
        <w:t>discretion</w:t>
      </w:r>
      <w:r w:rsidR="00593D4F" w:rsidRPr="00A55F3A">
        <w:rPr>
          <w:rFonts w:ascii="Garamond" w:hAnsi="Garamond"/>
          <w:sz w:val="22"/>
          <w:szCs w:val="22"/>
        </w:rPr>
        <w:t xml:space="preserve"> […]</w:t>
      </w:r>
      <w:r w:rsidR="00691E3E">
        <w:rPr>
          <w:rFonts w:ascii="Garamond" w:hAnsi="Garamond"/>
          <w:sz w:val="22"/>
          <w:szCs w:val="22"/>
        </w:rPr>
        <w:t xml:space="preserve"> </w:t>
      </w:r>
      <w:r w:rsidR="00593D4F" w:rsidRPr="00A55F3A">
        <w:rPr>
          <w:rFonts w:ascii="Garamond" w:hAnsi="Garamond"/>
          <w:sz w:val="22"/>
          <w:szCs w:val="22"/>
        </w:rPr>
        <w:t>But so far as civil cases are concerned, it seems to me that the judge has no discretion. The evidence is relevant and admissible. The judge cannot refuse it on the ground that it may have been unlawfully obtained in the beginning.’</w:t>
      </w:r>
      <w:r w:rsidR="00C00DC8" w:rsidRPr="00A55F3A">
        <w:rPr>
          <w:rStyle w:val="FootnoteReference"/>
          <w:rFonts w:ascii="Garamond" w:hAnsi="Garamond"/>
          <w:sz w:val="22"/>
          <w:szCs w:val="22"/>
        </w:rPr>
        <w:footnoteReference w:id="29"/>
      </w:r>
      <w:r w:rsidR="00392455" w:rsidRPr="00A55F3A">
        <w:rPr>
          <w:rFonts w:ascii="Garamond" w:hAnsi="Garamond"/>
          <w:sz w:val="22"/>
          <w:szCs w:val="22"/>
        </w:rPr>
        <w:t xml:space="preserve"> T</w:t>
      </w:r>
      <w:r w:rsidR="006C3790" w:rsidRPr="00A55F3A">
        <w:rPr>
          <w:rFonts w:ascii="Garamond" w:hAnsi="Garamond"/>
          <w:sz w:val="22"/>
          <w:szCs w:val="22"/>
        </w:rPr>
        <w:t>he parties in a civil case</w:t>
      </w:r>
      <w:r w:rsidR="003567BF" w:rsidRPr="00A55F3A">
        <w:rPr>
          <w:rFonts w:ascii="Garamond" w:hAnsi="Garamond"/>
          <w:sz w:val="22"/>
          <w:szCs w:val="22"/>
        </w:rPr>
        <w:t xml:space="preserve"> </w:t>
      </w:r>
      <w:r w:rsidR="00593D4F" w:rsidRPr="00A55F3A">
        <w:rPr>
          <w:rFonts w:ascii="Garamond" w:hAnsi="Garamond"/>
          <w:sz w:val="22"/>
          <w:szCs w:val="22"/>
        </w:rPr>
        <w:t xml:space="preserve">should be allowed to support </w:t>
      </w:r>
      <w:r w:rsidRPr="00A55F3A">
        <w:rPr>
          <w:rFonts w:ascii="Garamond" w:hAnsi="Garamond"/>
          <w:sz w:val="22"/>
          <w:szCs w:val="22"/>
        </w:rPr>
        <w:t>their claims</w:t>
      </w:r>
      <w:r w:rsidR="003567BF" w:rsidRPr="00A55F3A">
        <w:rPr>
          <w:rFonts w:ascii="Garamond" w:hAnsi="Garamond"/>
          <w:sz w:val="22"/>
          <w:szCs w:val="22"/>
        </w:rPr>
        <w:t xml:space="preserve"> </w:t>
      </w:r>
      <w:r w:rsidR="00593D4F" w:rsidRPr="00A55F3A">
        <w:rPr>
          <w:rFonts w:ascii="Garamond" w:hAnsi="Garamond"/>
          <w:sz w:val="22"/>
          <w:szCs w:val="22"/>
        </w:rPr>
        <w:t xml:space="preserve">with the best </w:t>
      </w:r>
      <w:r w:rsidR="00AE5AD3" w:rsidRPr="00A55F3A">
        <w:rPr>
          <w:rFonts w:ascii="Garamond" w:hAnsi="Garamond"/>
          <w:sz w:val="22"/>
          <w:szCs w:val="22"/>
        </w:rPr>
        <w:t>e</w:t>
      </w:r>
      <w:r w:rsidR="00291400" w:rsidRPr="00A55F3A">
        <w:rPr>
          <w:rFonts w:ascii="Garamond" w:hAnsi="Garamond"/>
          <w:sz w:val="22"/>
          <w:szCs w:val="22"/>
        </w:rPr>
        <w:t>vidence</w:t>
      </w:r>
      <w:r w:rsidR="00593D4F" w:rsidRPr="00A55F3A">
        <w:rPr>
          <w:rFonts w:ascii="Garamond" w:hAnsi="Garamond"/>
          <w:sz w:val="22"/>
          <w:szCs w:val="22"/>
        </w:rPr>
        <w:t xml:space="preserve"> </w:t>
      </w:r>
      <w:r w:rsidRPr="00A55F3A">
        <w:rPr>
          <w:rFonts w:ascii="Garamond" w:hAnsi="Garamond"/>
          <w:sz w:val="22"/>
          <w:szCs w:val="22"/>
        </w:rPr>
        <w:t>they</w:t>
      </w:r>
      <w:r w:rsidR="003567BF" w:rsidRPr="00A55F3A">
        <w:rPr>
          <w:rFonts w:ascii="Garamond" w:hAnsi="Garamond"/>
          <w:sz w:val="22"/>
          <w:szCs w:val="22"/>
        </w:rPr>
        <w:t xml:space="preserve"> </w:t>
      </w:r>
      <w:r w:rsidR="009B4AC9" w:rsidRPr="00A55F3A">
        <w:rPr>
          <w:rFonts w:ascii="Garamond" w:hAnsi="Garamond"/>
          <w:sz w:val="22"/>
          <w:szCs w:val="22"/>
        </w:rPr>
        <w:t>might</w:t>
      </w:r>
      <w:r w:rsidR="003567BF" w:rsidRPr="00A55F3A">
        <w:rPr>
          <w:rFonts w:ascii="Garamond" w:hAnsi="Garamond"/>
          <w:sz w:val="22"/>
          <w:szCs w:val="22"/>
        </w:rPr>
        <w:t xml:space="preserve"> </w:t>
      </w:r>
      <w:r w:rsidR="009B4AC9" w:rsidRPr="00A55F3A">
        <w:rPr>
          <w:rFonts w:ascii="Garamond" w:hAnsi="Garamond"/>
          <w:sz w:val="22"/>
          <w:szCs w:val="22"/>
        </w:rPr>
        <w:t>retrieve</w:t>
      </w:r>
      <w:r w:rsidR="00593D4F" w:rsidRPr="00A55F3A">
        <w:rPr>
          <w:rFonts w:ascii="Garamond" w:hAnsi="Garamond"/>
          <w:sz w:val="22"/>
          <w:szCs w:val="22"/>
        </w:rPr>
        <w:t>.</w:t>
      </w:r>
      <w:r w:rsidR="006746D2" w:rsidRPr="00A55F3A">
        <w:rPr>
          <w:rFonts w:ascii="Garamond" w:hAnsi="Garamond"/>
          <w:sz w:val="22"/>
          <w:szCs w:val="22"/>
        </w:rPr>
        <w:t xml:space="preserve"> </w:t>
      </w:r>
    </w:p>
    <w:p w14:paraId="1DBB2815" w14:textId="112B0B5A" w:rsidR="00F33C8C" w:rsidRPr="00A55F3A" w:rsidRDefault="00995DDB" w:rsidP="00A55F3A">
      <w:pPr>
        <w:pStyle w:val="Standard"/>
        <w:spacing w:line="480" w:lineRule="auto"/>
        <w:rPr>
          <w:rStyle w:val="Carpredefinitoparagrafo"/>
          <w:rFonts w:ascii="Garamond" w:hAnsi="Garamond" w:cs="Times New Roman"/>
          <w:sz w:val="22"/>
          <w:szCs w:val="22"/>
        </w:rPr>
      </w:pPr>
      <w:r w:rsidRPr="00A55F3A">
        <w:rPr>
          <w:rFonts w:ascii="Garamond" w:hAnsi="Garamond"/>
          <w:sz w:val="22"/>
          <w:szCs w:val="22"/>
        </w:rPr>
        <w:lastRenderedPageBreak/>
        <w:t>However, t</w:t>
      </w:r>
      <w:r w:rsidR="00AB5488" w:rsidRPr="00A55F3A">
        <w:rPr>
          <w:rFonts w:ascii="Garamond" w:hAnsi="Garamond"/>
          <w:sz w:val="22"/>
          <w:szCs w:val="22"/>
        </w:rPr>
        <w:t xml:space="preserve">he </w:t>
      </w:r>
      <w:r w:rsidR="00AB5488" w:rsidRPr="00A55F3A">
        <w:rPr>
          <w:rFonts w:ascii="Garamond" w:hAnsi="Garamond"/>
          <w:i/>
          <w:sz w:val="22"/>
          <w:szCs w:val="22"/>
        </w:rPr>
        <w:t>laissez faire</w:t>
      </w:r>
      <w:r w:rsidR="00AB5488" w:rsidRPr="00A55F3A">
        <w:rPr>
          <w:rFonts w:ascii="Garamond" w:hAnsi="Garamond"/>
          <w:sz w:val="22"/>
          <w:szCs w:val="22"/>
        </w:rPr>
        <w:t xml:space="preserve"> policy set in </w:t>
      </w:r>
      <w:r w:rsidR="003711AD" w:rsidRPr="00A55F3A">
        <w:rPr>
          <w:rFonts w:ascii="Garamond" w:hAnsi="Garamond"/>
          <w:i/>
          <w:sz w:val="22"/>
          <w:szCs w:val="22"/>
        </w:rPr>
        <w:t>Helliwell</w:t>
      </w:r>
      <w:r w:rsidR="00C10272" w:rsidRPr="00A55F3A">
        <w:rPr>
          <w:rFonts w:ascii="Garamond" w:hAnsi="Garamond"/>
          <w:sz w:val="22"/>
          <w:szCs w:val="22"/>
        </w:rPr>
        <w:t xml:space="preserve"> v </w:t>
      </w:r>
      <w:r w:rsidR="003711AD" w:rsidRPr="00A55F3A">
        <w:rPr>
          <w:rFonts w:ascii="Garamond" w:hAnsi="Garamond"/>
          <w:i/>
          <w:sz w:val="22"/>
          <w:szCs w:val="22"/>
        </w:rPr>
        <w:t>Piggott-Sims</w:t>
      </w:r>
      <w:r w:rsidR="00AB5488" w:rsidRPr="00A55F3A">
        <w:rPr>
          <w:rFonts w:ascii="Garamond" w:hAnsi="Garamond"/>
          <w:sz w:val="22"/>
          <w:szCs w:val="22"/>
        </w:rPr>
        <w:t xml:space="preserve"> has been qualified by the </w:t>
      </w:r>
      <w:r w:rsidR="00AB5488" w:rsidRPr="00A55F3A">
        <w:rPr>
          <w:rStyle w:val="Carpredefinitoparagrafo"/>
          <w:rFonts w:ascii="Garamond" w:hAnsi="Garamond" w:cs="Times New Roman"/>
          <w:sz w:val="22"/>
          <w:szCs w:val="22"/>
        </w:rPr>
        <w:t xml:space="preserve">CPR </w:t>
      </w:r>
      <w:r w:rsidR="00392455" w:rsidRPr="00A55F3A">
        <w:rPr>
          <w:rStyle w:val="Carpredefinitoparagrafo"/>
          <w:rFonts w:ascii="Garamond" w:hAnsi="Garamond" w:cs="Times New Roman"/>
          <w:sz w:val="22"/>
          <w:szCs w:val="22"/>
        </w:rPr>
        <w:t>and HRA in two ways.</w:t>
      </w:r>
      <w:r w:rsidR="00AB5488" w:rsidRPr="00A55F3A">
        <w:rPr>
          <w:rStyle w:val="FootnoteReference"/>
          <w:rFonts w:ascii="Garamond" w:hAnsi="Garamond"/>
          <w:sz w:val="22"/>
          <w:szCs w:val="22"/>
        </w:rPr>
        <w:footnoteReference w:id="30"/>
      </w:r>
      <w:r w:rsidR="00B50D56" w:rsidRPr="00A55F3A">
        <w:rPr>
          <w:rStyle w:val="Carpredefinitoparagrafo"/>
          <w:rFonts w:ascii="Garamond" w:hAnsi="Garamond" w:cs="Times New Roman"/>
          <w:sz w:val="22"/>
          <w:szCs w:val="22"/>
        </w:rPr>
        <w:t xml:space="preserve"> </w:t>
      </w:r>
      <w:r w:rsidR="00392455" w:rsidRPr="00A55F3A">
        <w:rPr>
          <w:rStyle w:val="Carpredefinitoparagrafo"/>
          <w:rFonts w:ascii="Garamond" w:hAnsi="Garamond" w:cs="Times New Roman"/>
          <w:sz w:val="22"/>
          <w:szCs w:val="22"/>
        </w:rPr>
        <w:t xml:space="preserve">Firstly, </w:t>
      </w:r>
      <w:r w:rsidR="00593D4F" w:rsidRPr="00A55F3A">
        <w:rPr>
          <w:rStyle w:val="Carpredefinitoparagrafo"/>
          <w:rFonts w:ascii="Garamond" w:hAnsi="Garamond" w:cs="Times New Roman"/>
          <w:sz w:val="22"/>
          <w:szCs w:val="22"/>
        </w:rPr>
        <w:t xml:space="preserve">CPR entrusts judges with a series of </w:t>
      </w:r>
      <w:r w:rsidR="006C3790"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case management</w:t>
      </w:r>
      <w:r w:rsidR="006C3790"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 xml:space="preserve"> prerogatives. For instance, a judge might decide preliminary issues</w:t>
      </w:r>
      <w:r w:rsidR="00542B2D" w:rsidRPr="00A55F3A">
        <w:rPr>
          <w:rStyle w:val="FootnoteReference"/>
          <w:rFonts w:ascii="Garamond" w:hAnsi="Garamond"/>
          <w:sz w:val="22"/>
          <w:szCs w:val="22"/>
        </w:rPr>
        <w:footnoteReference w:id="31"/>
      </w:r>
      <w:r w:rsidR="00593D4F" w:rsidRPr="00A55F3A">
        <w:rPr>
          <w:rStyle w:val="Carpredefinitoparagrafo"/>
          <w:rFonts w:ascii="Garamond" w:hAnsi="Garamond" w:cs="Times New Roman"/>
          <w:sz w:val="22"/>
          <w:szCs w:val="22"/>
        </w:rPr>
        <w:t xml:space="preserve"> and has the prerogative to accept and exclude</w:t>
      </w:r>
      <w:r w:rsidR="00C10D33" w:rsidRPr="00A55F3A">
        <w:rPr>
          <w:rStyle w:val="Carpredefinitoparagrafo"/>
          <w:rFonts w:ascii="Garamond" w:hAnsi="Garamond" w:cs="Times New Roman"/>
          <w:sz w:val="22"/>
          <w:szCs w:val="22"/>
        </w:rPr>
        <w:t xml:space="preserve"> </w:t>
      </w:r>
      <w:r w:rsidR="00F60E23" w:rsidRPr="00A55F3A">
        <w:rPr>
          <w:rStyle w:val="Carpredefinitoparagrafo"/>
          <w:rFonts w:ascii="Garamond" w:hAnsi="Garamond" w:cs="Times New Roman"/>
          <w:sz w:val="22"/>
          <w:szCs w:val="22"/>
        </w:rPr>
        <w:t>evidence</w:t>
      </w:r>
      <w:r w:rsidR="006C3790" w:rsidRPr="00A55F3A">
        <w:rPr>
          <w:rStyle w:val="Carpredefinitoparagrafo"/>
          <w:rFonts w:ascii="Garamond" w:hAnsi="Garamond" w:cs="Times New Roman"/>
          <w:sz w:val="22"/>
          <w:szCs w:val="22"/>
        </w:rPr>
        <w:t xml:space="preserve"> obtained by phone</w:t>
      </w:r>
      <w:r w:rsidR="00593D4F" w:rsidRPr="00A55F3A">
        <w:rPr>
          <w:rStyle w:val="Carpredefinitoparagrafo"/>
          <w:rFonts w:ascii="Garamond" w:hAnsi="Garamond" w:cs="Times New Roman"/>
          <w:sz w:val="22"/>
          <w:szCs w:val="22"/>
        </w:rPr>
        <w:t>.</w:t>
      </w:r>
      <w:r w:rsidR="00F33C8C" w:rsidRPr="00A55F3A">
        <w:rPr>
          <w:rStyle w:val="FootnoteReference"/>
          <w:rFonts w:ascii="Garamond" w:hAnsi="Garamond"/>
          <w:sz w:val="22"/>
          <w:szCs w:val="22"/>
        </w:rPr>
        <w:t xml:space="preserve"> </w:t>
      </w:r>
      <w:r w:rsidR="00F33C8C" w:rsidRPr="00A55F3A">
        <w:rPr>
          <w:rStyle w:val="FootnoteReference"/>
          <w:rFonts w:ascii="Garamond" w:hAnsi="Garamond"/>
          <w:sz w:val="22"/>
          <w:szCs w:val="22"/>
        </w:rPr>
        <w:footnoteReference w:id="32"/>
      </w:r>
      <w:r w:rsidR="00F33C8C" w:rsidRPr="00A55F3A">
        <w:rPr>
          <w:rStyle w:val="Carpredefinitoparagrafo"/>
          <w:rFonts w:ascii="Garamond" w:hAnsi="Garamond" w:cs="Times New Roman"/>
          <w:sz w:val="22"/>
          <w:szCs w:val="22"/>
        </w:rPr>
        <w:t xml:space="preserve"> </w:t>
      </w:r>
    </w:p>
    <w:p w14:paraId="16E1A467" w14:textId="38BD6E56" w:rsidR="0006750C" w:rsidRPr="00A55F3A" w:rsidRDefault="00593D4F" w:rsidP="00A55F3A">
      <w:pPr>
        <w:pStyle w:val="Standard"/>
        <w:spacing w:line="480" w:lineRule="auto"/>
        <w:rPr>
          <w:rFonts w:ascii="Garamond" w:hAnsi="Garamond"/>
          <w:sz w:val="22"/>
          <w:szCs w:val="22"/>
        </w:rPr>
      </w:pPr>
      <w:r w:rsidRPr="00A55F3A">
        <w:rPr>
          <w:rStyle w:val="Carpredefinitoparagrafo"/>
          <w:rFonts w:ascii="Garamond" w:hAnsi="Garamond" w:cs="Times New Roman"/>
          <w:sz w:val="22"/>
          <w:szCs w:val="22"/>
        </w:rPr>
        <w:t>The HRA has</w:t>
      </w:r>
      <w:r w:rsidR="000B4BA8"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instead, introduced a selection of articles of ECHR into the British legal systems</w:t>
      </w:r>
      <w:r w:rsidR="0006750C" w:rsidRPr="00A55F3A">
        <w:rPr>
          <w:rStyle w:val="Carpredefinitoparagrafo"/>
          <w:rFonts w:ascii="Garamond" w:hAnsi="Garamond" w:cs="Times New Roman"/>
          <w:sz w:val="22"/>
          <w:szCs w:val="22"/>
        </w:rPr>
        <w:t>. Given the nature of the issues surrounding</w:t>
      </w:r>
      <w:r w:rsidR="00B50D56" w:rsidRPr="00A55F3A">
        <w:rPr>
          <w:rStyle w:val="Carpredefinitoparagrafo"/>
          <w:rFonts w:ascii="Garamond" w:hAnsi="Garamond" w:cs="Times New Roman"/>
          <w:sz w:val="22"/>
          <w:szCs w:val="22"/>
        </w:rPr>
        <w:t xml:space="preserve"> </w:t>
      </w:r>
      <w:r w:rsidR="00291400" w:rsidRPr="00A55F3A">
        <w:rPr>
          <w:rStyle w:val="Carpredefinitoparagrafo"/>
          <w:rFonts w:ascii="Garamond" w:hAnsi="Garamond" w:cs="Times New Roman"/>
          <w:sz w:val="22"/>
          <w:szCs w:val="22"/>
        </w:rPr>
        <w:t>IOE</w:t>
      </w:r>
      <w:r w:rsidR="0006750C" w:rsidRPr="00A55F3A">
        <w:rPr>
          <w:rStyle w:val="Carpredefinitoparagrafo"/>
          <w:rFonts w:ascii="Garamond" w:hAnsi="Garamond" w:cs="Times New Roman"/>
          <w:sz w:val="22"/>
          <w:szCs w:val="22"/>
        </w:rPr>
        <w:t xml:space="preserve"> (e.g. retrieval of confidential</w:t>
      </w:r>
      <w:r w:rsidR="00B50D56" w:rsidRPr="00A55F3A">
        <w:rPr>
          <w:rStyle w:val="Carpredefinitoparagrafo"/>
          <w:rFonts w:ascii="Garamond" w:hAnsi="Garamond" w:cs="Times New Roman"/>
          <w:sz w:val="22"/>
          <w:szCs w:val="22"/>
        </w:rPr>
        <w:t xml:space="preserve"> </w:t>
      </w:r>
      <w:r w:rsidR="0006750C" w:rsidRPr="00A55F3A">
        <w:rPr>
          <w:rStyle w:val="Carpredefinitoparagrafo"/>
          <w:rFonts w:ascii="Garamond" w:hAnsi="Garamond" w:cs="Times New Roman"/>
          <w:sz w:val="22"/>
          <w:szCs w:val="22"/>
        </w:rPr>
        <w:t>documents that belong to someone else)</w:t>
      </w:r>
      <w:r w:rsidR="00B50D56" w:rsidRPr="00A55F3A">
        <w:rPr>
          <w:rStyle w:val="Carpredefinitoparagrafo"/>
          <w:rFonts w:ascii="Garamond" w:hAnsi="Garamond" w:cs="Times New Roman"/>
          <w:sz w:val="22"/>
          <w:szCs w:val="22"/>
        </w:rPr>
        <w:t xml:space="preserve"> </w:t>
      </w:r>
      <w:r w:rsidR="0006750C" w:rsidRPr="00A55F3A">
        <w:rPr>
          <w:rStyle w:val="Carpredefinitoparagrafo"/>
          <w:rFonts w:ascii="Garamond" w:hAnsi="Garamond" w:cs="Times New Roman"/>
          <w:sz w:val="22"/>
          <w:szCs w:val="22"/>
        </w:rPr>
        <w:t>article 8</w:t>
      </w:r>
      <w:r w:rsidR="00B50D56" w:rsidRPr="00A55F3A">
        <w:rPr>
          <w:rStyle w:val="Carpredefinitoparagrafo"/>
          <w:rFonts w:ascii="Garamond" w:hAnsi="Garamond" w:cs="Times New Roman"/>
          <w:sz w:val="22"/>
          <w:szCs w:val="22"/>
        </w:rPr>
        <w:t xml:space="preserve"> </w:t>
      </w:r>
      <w:r w:rsidR="0006750C" w:rsidRPr="00A55F3A">
        <w:rPr>
          <w:rStyle w:val="Carpredefinitoparagrafo"/>
          <w:rFonts w:ascii="Garamond" w:hAnsi="Garamond" w:cs="Times New Roman"/>
          <w:sz w:val="22"/>
          <w:szCs w:val="22"/>
        </w:rPr>
        <w:t xml:space="preserve">is likely to </w:t>
      </w:r>
      <w:r w:rsidR="000D5857" w:rsidRPr="00A55F3A">
        <w:rPr>
          <w:rStyle w:val="Carpredefinitoparagrafo"/>
          <w:rFonts w:ascii="Garamond" w:hAnsi="Garamond" w:cs="Times New Roman"/>
          <w:sz w:val="22"/>
          <w:szCs w:val="22"/>
        </w:rPr>
        <w:t xml:space="preserve">be engaged more often by </w:t>
      </w:r>
      <w:r w:rsidR="004156FD" w:rsidRPr="00A55F3A">
        <w:rPr>
          <w:rStyle w:val="Carpredefinitoparagrafo"/>
          <w:rFonts w:ascii="Garamond" w:hAnsi="Garamond" w:cs="Times New Roman"/>
          <w:sz w:val="22"/>
          <w:szCs w:val="22"/>
        </w:rPr>
        <w:t>an illegal conduct</w:t>
      </w:r>
      <w:r w:rsidR="000D5857" w:rsidRPr="00A55F3A">
        <w:rPr>
          <w:rStyle w:val="Carpredefinitoparagrafo"/>
          <w:rFonts w:ascii="Garamond" w:hAnsi="Garamond" w:cs="Times New Roman"/>
          <w:sz w:val="22"/>
          <w:szCs w:val="22"/>
        </w:rPr>
        <w:t xml:space="preserve"> </w:t>
      </w:r>
      <w:r w:rsidR="004156FD" w:rsidRPr="00A55F3A">
        <w:rPr>
          <w:rStyle w:val="Carpredefinitoparagrafo"/>
          <w:rFonts w:ascii="Garamond" w:hAnsi="Garamond" w:cs="Times New Roman"/>
          <w:sz w:val="22"/>
          <w:szCs w:val="22"/>
        </w:rPr>
        <w:t xml:space="preserve">and to be a proxy for an ancillary issue.  </w:t>
      </w:r>
      <w:r w:rsidR="00B50D56" w:rsidRPr="00A55F3A">
        <w:rPr>
          <w:rStyle w:val="Carpredefinitoparagrafo"/>
          <w:rFonts w:ascii="Garamond" w:hAnsi="Garamond" w:cs="Times New Roman"/>
          <w:sz w:val="22"/>
          <w:szCs w:val="22"/>
        </w:rPr>
        <w:t xml:space="preserve"> </w:t>
      </w:r>
      <w:r w:rsidR="00392455" w:rsidRPr="00A55F3A">
        <w:rPr>
          <w:rStyle w:val="Carpredefinitoparagrafo"/>
          <w:rFonts w:ascii="Garamond" w:hAnsi="Garamond" w:cs="Times New Roman"/>
          <w:sz w:val="22"/>
          <w:szCs w:val="22"/>
        </w:rPr>
        <w:t xml:space="preserve"> </w:t>
      </w:r>
      <w:r w:rsidR="0006750C" w:rsidRPr="00A55F3A">
        <w:rPr>
          <w:rStyle w:val="Carpredefinitoparagrafo"/>
          <w:rFonts w:ascii="Garamond" w:hAnsi="Garamond" w:cs="Times New Roman"/>
          <w:sz w:val="22"/>
          <w:szCs w:val="22"/>
        </w:rPr>
        <w:t>Secondly</w:t>
      </w:r>
      <w:r w:rsidR="00392455" w:rsidRPr="00A55F3A">
        <w:rPr>
          <w:rStyle w:val="Carpredefinitoparagrafo"/>
          <w:rFonts w:ascii="Garamond" w:hAnsi="Garamond" w:cs="Times New Roman"/>
          <w:sz w:val="22"/>
          <w:szCs w:val="22"/>
        </w:rPr>
        <w:t>,</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the </w:t>
      </w:r>
      <w:r w:rsidR="001B47CD" w:rsidRPr="00A55F3A">
        <w:rPr>
          <w:rStyle w:val="Carpredefinitoparagrafo"/>
          <w:rFonts w:ascii="Garamond" w:hAnsi="Garamond" w:cs="Times New Roman"/>
          <w:sz w:val="22"/>
          <w:szCs w:val="22"/>
        </w:rPr>
        <w:t>HRA</w:t>
      </w:r>
      <w:r w:rsidRPr="00A55F3A">
        <w:rPr>
          <w:rStyle w:val="Carpredefinitoparagrafo"/>
          <w:rFonts w:ascii="Garamond" w:hAnsi="Garamond" w:cs="Times New Roman"/>
          <w:sz w:val="22"/>
          <w:szCs w:val="22"/>
        </w:rPr>
        <w:t xml:space="preserve"> and the CRP have </w:t>
      </w:r>
      <w:r w:rsidR="001B47CD" w:rsidRPr="00A55F3A">
        <w:rPr>
          <w:rStyle w:val="Carpredefinitoparagrafo"/>
          <w:rFonts w:ascii="Garamond" w:hAnsi="Garamond" w:cs="Times New Roman"/>
          <w:sz w:val="22"/>
          <w:szCs w:val="22"/>
        </w:rPr>
        <w:t xml:space="preserve">a </w:t>
      </w:r>
      <w:r w:rsidRPr="00A55F3A">
        <w:rPr>
          <w:rStyle w:val="Carpredefinitoparagrafo"/>
          <w:rFonts w:ascii="Garamond" w:hAnsi="Garamond" w:cs="Times New Roman"/>
          <w:sz w:val="22"/>
          <w:szCs w:val="22"/>
        </w:rPr>
        <w:t>combined interpretative effect. Sec</w:t>
      </w:r>
      <w:r w:rsidR="003711AD" w:rsidRPr="00A55F3A">
        <w:rPr>
          <w:rStyle w:val="Carpredefinitoparagrafo"/>
          <w:rFonts w:ascii="Garamond" w:hAnsi="Garamond" w:cs="Times New Roman"/>
          <w:sz w:val="22"/>
          <w:szCs w:val="22"/>
        </w:rPr>
        <w:t>tion</w:t>
      </w:r>
      <w:r w:rsidRPr="00A55F3A">
        <w:rPr>
          <w:rStyle w:val="Carpredefinitoparagrafo"/>
          <w:rFonts w:ascii="Garamond" w:hAnsi="Garamond" w:cs="Times New Roman"/>
          <w:sz w:val="22"/>
          <w:szCs w:val="22"/>
        </w:rPr>
        <w:t xml:space="preserve"> 3 of HRA provides that Act of Parliaments should be: ‘</w:t>
      </w:r>
      <w:r w:rsidRPr="00A55F3A">
        <w:rPr>
          <w:rFonts w:ascii="Garamond" w:hAnsi="Garamond"/>
          <w:sz w:val="22"/>
          <w:szCs w:val="22"/>
        </w:rPr>
        <w:t>read and given effect in a way which is compatible with the Convention rights’.</w:t>
      </w:r>
      <w:r w:rsidR="00F33C8C" w:rsidRPr="00A55F3A">
        <w:rPr>
          <w:rStyle w:val="FootnoteReference"/>
          <w:rFonts w:ascii="Garamond" w:hAnsi="Garamond"/>
          <w:sz w:val="22"/>
          <w:szCs w:val="22"/>
        </w:rPr>
        <w:t xml:space="preserve"> </w:t>
      </w:r>
      <w:r w:rsidR="00F33C8C" w:rsidRPr="00A55F3A">
        <w:rPr>
          <w:rStyle w:val="FootnoteReference"/>
          <w:rFonts w:ascii="Garamond" w:hAnsi="Garamond"/>
          <w:sz w:val="22"/>
          <w:szCs w:val="22"/>
        </w:rPr>
        <w:footnoteReference w:id="33"/>
      </w:r>
      <w:r w:rsidRPr="00A55F3A">
        <w:rPr>
          <w:rFonts w:ascii="Garamond" w:hAnsi="Garamond"/>
          <w:sz w:val="22"/>
          <w:szCs w:val="22"/>
        </w:rPr>
        <w:t xml:space="preserve"> </w:t>
      </w:r>
    </w:p>
    <w:p w14:paraId="4C7BE477" w14:textId="09BF22A8"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The first </w:t>
      </w:r>
      <w:r w:rsidR="009B4AC9" w:rsidRPr="00A55F3A">
        <w:rPr>
          <w:rFonts w:ascii="Garamond" w:hAnsi="Garamond"/>
          <w:sz w:val="22"/>
          <w:szCs w:val="22"/>
        </w:rPr>
        <w:t>indication</w:t>
      </w:r>
      <w:r w:rsidR="003567BF" w:rsidRPr="00A55F3A">
        <w:rPr>
          <w:rFonts w:ascii="Garamond" w:hAnsi="Garamond"/>
          <w:sz w:val="22"/>
          <w:szCs w:val="22"/>
        </w:rPr>
        <w:t xml:space="preserve"> </w:t>
      </w:r>
      <w:r w:rsidRPr="00A55F3A">
        <w:rPr>
          <w:rFonts w:ascii="Garamond" w:hAnsi="Garamond"/>
          <w:sz w:val="22"/>
          <w:szCs w:val="22"/>
        </w:rPr>
        <w:t xml:space="preserve">of </w:t>
      </w:r>
      <w:r w:rsidR="009B4AC9" w:rsidRPr="00A55F3A">
        <w:rPr>
          <w:rFonts w:ascii="Garamond" w:hAnsi="Garamond"/>
          <w:sz w:val="22"/>
          <w:szCs w:val="22"/>
        </w:rPr>
        <w:t>the</w:t>
      </w:r>
      <w:r w:rsidR="001B47CD" w:rsidRPr="00A55F3A">
        <w:rPr>
          <w:rFonts w:ascii="Garamond" w:hAnsi="Garamond"/>
          <w:sz w:val="22"/>
          <w:szCs w:val="22"/>
        </w:rPr>
        <w:t xml:space="preserve"> effect</w:t>
      </w:r>
      <w:r w:rsidR="003567BF" w:rsidRPr="00A55F3A">
        <w:rPr>
          <w:rFonts w:ascii="Garamond" w:hAnsi="Garamond"/>
          <w:sz w:val="22"/>
          <w:szCs w:val="22"/>
        </w:rPr>
        <w:t xml:space="preserve"> </w:t>
      </w:r>
      <w:r w:rsidR="001B47CD" w:rsidRPr="00A55F3A">
        <w:rPr>
          <w:rFonts w:ascii="Garamond" w:hAnsi="Garamond"/>
          <w:sz w:val="22"/>
          <w:szCs w:val="22"/>
        </w:rPr>
        <w:t>of the</w:t>
      </w:r>
      <w:r w:rsidRPr="00A55F3A">
        <w:rPr>
          <w:rFonts w:ascii="Garamond" w:hAnsi="Garamond"/>
          <w:sz w:val="22"/>
          <w:szCs w:val="22"/>
        </w:rPr>
        <w:t xml:space="preserve"> CPR and the HRA</w:t>
      </w:r>
      <w:r w:rsidR="0006750C" w:rsidRPr="00A55F3A">
        <w:rPr>
          <w:rFonts w:ascii="Garamond" w:hAnsi="Garamond"/>
          <w:sz w:val="22"/>
          <w:szCs w:val="22"/>
        </w:rPr>
        <w:t xml:space="preserve"> </w:t>
      </w:r>
      <w:r w:rsidR="00C10272" w:rsidRPr="00A55F3A">
        <w:rPr>
          <w:rFonts w:ascii="Garamond" w:hAnsi="Garamond"/>
          <w:sz w:val="22"/>
          <w:szCs w:val="22"/>
        </w:rPr>
        <w:t>o</w:t>
      </w:r>
      <w:r w:rsidR="0006750C" w:rsidRPr="00A55F3A">
        <w:rPr>
          <w:rFonts w:ascii="Garamond" w:hAnsi="Garamond"/>
          <w:sz w:val="22"/>
          <w:szCs w:val="22"/>
        </w:rPr>
        <w:t xml:space="preserve">n the regime of </w:t>
      </w:r>
      <w:r w:rsidR="00291400" w:rsidRPr="00A55F3A">
        <w:rPr>
          <w:rFonts w:ascii="Garamond" w:hAnsi="Garamond"/>
          <w:sz w:val="22"/>
          <w:szCs w:val="22"/>
        </w:rPr>
        <w:t>IOE</w:t>
      </w:r>
      <w:r w:rsidR="00B50D56" w:rsidRPr="00A55F3A">
        <w:rPr>
          <w:rFonts w:ascii="Garamond" w:hAnsi="Garamond"/>
          <w:sz w:val="22"/>
          <w:szCs w:val="22"/>
        </w:rPr>
        <w:t xml:space="preserve"> </w:t>
      </w:r>
      <w:r w:rsidR="0006750C" w:rsidRPr="00A55F3A">
        <w:rPr>
          <w:rFonts w:ascii="Garamond" w:hAnsi="Garamond"/>
          <w:sz w:val="22"/>
          <w:szCs w:val="22"/>
        </w:rPr>
        <w:t>was in</w:t>
      </w:r>
      <w:r w:rsidR="00B50D56" w:rsidRPr="00A55F3A">
        <w:rPr>
          <w:rFonts w:ascii="Garamond" w:hAnsi="Garamond"/>
          <w:sz w:val="22"/>
          <w:szCs w:val="22"/>
        </w:rPr>
        <w:t xml:space="preserve"> </w:t>
      </w:r>
      <w:r w:rsidR="003711AD" w:rsidRPr="00A55F3A">
        <w:rPr>
          <w:rFonts w:ascii="Garamond" w:hAnsi="Garamond"/>
          <w:i/>
          <w:sz w:val="22"/>
          <w:szCs w:val="22"/>
        </w:rPr>
        <w:t xml:space="preserve">Jones </w:t>
      </w:r>
      <w:r w:rsidR="003711AD" w:rsidRPr="00A55F3A">
        <w:rPr>
          <w:rFonts w:ascii="Garamond" w:hAnsi="Garamond"/>
          <w:sz w:val="22"/>
          <w:szCs w:val="22"/>
        </w:rPr>
        <w:t>v</w:t>
      </w:r>
      <w:r w:rsidR="003711AD" w:rsidRPr="00A55F3A">
        <w:rPr>
          <w:rFonts w:ascii="Garamond" w:hAnsi="Garamond"/>
          <w:i/>
          <w:sz w:val="22"/>
          <w:szCs w:val="22"/>
        </w:rPr>
        <w:t xml:space="preserve"> University of Warwick</w:t>
      </w:r>
      <w:r w:rsidRPr="00A55F3A">
        <w:rPr>
          <w:rFonts w:ascii="Garamond" w:hAnsi="Garamond"/>
          <w:sz w:val="22"/>
          <w:szCs w:val="22"/>
        </w:rPr>
        <w:t>.</w:t>
      </w:r>
      <w:r w:rsidR="00672D94" w:rsidRPr="00A55F3A">
        <w:rPr>
          <w:rStyle w:val="FootnoteReference"/>
          <w:rFonts w:ascii="Garamond" w:hAnsi="Garamond"/>
          <w:sz w:val="22"/>
          <w:szCs w:val="22"/>
        </w:rPr>
        <w:footnoteReference w:id="34"/>
      </w:r>
      <w:r w:rsidR="00B50D56"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The </w:t>
      </w:r>
      <w:r w:rsidR="006746D2" w:rsidRPr="00A55F3A">
        <w:rPr>
          <w:rStyle w:val="Carpredefinitoparagrafo"/>
          <w:rFonts w:ascii="Garamond" w:hAnsi="Garamond" w:cs="Times New Roman"/>
          <w:sz w:val="22"/>
          <w:szCs w:val="22"/>
        </w:rPr>
        <w:t xml:space="preserve">ancillary issue in </w:t>
      </w:r>
      <w:r w:rsidR="003711AD" w:rsidRPr="00A55F3A">
        <w:rPr>
          <w:rFonts w:ascii="Garamond" w:hAnsi="Garamond"/>
          <w:i/>
          <w:sz w:val="22"/>
          <w:szCs w:val="22"/>
        </w:rPr>
        <w:t>Jones</w:t>
      </w:r>
      <w:r w:rsidR="00C10272" w:rsidRPr="00A55F3A">
        <w:rPr>
          <w:rFonts w:ascii="Garamond" w:hAnsi="Garamond"/>
          <w:sz w:val="22"/>
          <w:szCs w:val="22"/>
        </w:rPr>
        <w:t xml:space="preserve"> v </w:t>
      </w:r>
      <w:r w:rsidR="003711AD" w:rsidRPr="00A55F3A">
        <w:rPr>
          <w:rFonts w:ascii="Garamond" w:hAnsi="Garamond"/>
          <w:i/>
          <w:sz w:val="22"/>
          <w:szCs w:val="22"/>
        </w:rPr>
        <w:t>University of Warwick</w:t>
      </w:r>
      <w:r w:rsidR="003567BF" w:rsidRPr="00A55F3A">
        <w:rPr>
          <w:rStyle w:val="Carpredefinitoparagrafo"/>
          <w:rFonts w:ascii="Garamond" w:hAnsi="Garamond" w:cs="Times New Roman"/>
          <w:sz w:val="22"/>
          <w:szCs w:val="22"/>
        </w:rPr>
        <w:t xml:space="preserve"> </w:t>
      </w:r>
      <w:r w:rsidR="00C10D33" w:rsidRPr="00A55F3A">
        <w:rPr>
          <w:rStyle w:val="Carpredefinitoparagrafo"/>
          <w:rFonts w:ascii="Garamond" w:hAnsi="Garamond" w:cs="Times New Roman"/>
          <w:sz w:val="22"/>
          <w:szCs w:val="22"/>
        </w:rPr>
        <w:t xml:space="preserve">hinged </w:t>
      </w:r>
      <w:r w:rsidR="006746D2" w:rsidRPr="00A55F3A">
        <w:rPr>
          <w:rStyle w:val="Carpredefinitoparagrafo"/>
          <w:rFonts w:ascii="Garamond" w:hAnsi="Garamond" w:cs="Times New Roman"/>
          <w:sz w:val="22"/>
          <w:szCs w:val="22"/>
        </w:rPr>
        <w:t>on</w:t>
      </w:r>
      <w:r w:rsidR="003567BF" w:rsidRPr="00A55F3A">
        <w:rPr>
          <w:rStyle w:val="Carpredefinitoparagrafo"/>
          <w:rFonts w:ascii="Garamond" w:hAnsi="Garamond" w:cs="Times New Roman"/>
          <w:sz w:val="22"/>
          <w:szCs w:val="22"/>
        </w:rPr>
        <w:t xml:space="preserve"> </w:t>
      </w:r>
      <w:r w:rsidR="009B4AC9" w:rsidRPr="00A55F3A">
        <w:rPr>
          <w:rStyle w:val="Carpredefinitoparagrafo"/>
          <w:rFonts w:ascii="Garamond" w:hAnsi="Garamond" w:cs="Times New Roman"/>
          <w:sz w:val="22"/>
          <w:szCs w:val="22"/>
        </w:rPr>
        <w:t xml:space="preserve">a video filmed by a private investigator employed by the University of Warwick. The video could </w:t>
      </w:r>
      <w:r w:rsidR="006746D2" w:rsidRPr="00A55F3A">
        <w:rPr>
          <w:rStyle w:val="Carpredefinitoparagrafo"/>
          <w:rFonts w:ascii="Garamond" w:hAnsi="Garamond" w:cs="Times New Roman"/>
          <w:sz w:val="22"/>
          <w:szCs w:val="22"/>
        </w:rPr>
        <w:t xml:space="preserve">help </w:t>
      </w:r>
      <w:r w:rsidR="009B4AC9" w:rsidRPr="00A55F3A">
        <w:rPr>
          <w:rStyle w:val="Carpredefinitoparagrafo"/>
          <w:rFonts w:ascii="Garamond" w:hAnsi="Garamond" w:cs="Times New Roman"/>
          <w:sz w:val="22"/>
          <w:szCs w:val="22"/>
        </w:rPr>
        <w:t>prov</w:t>
      </w:r>
      <w:r w:rsidR="006746D2" w:rsidRPr="00A55F3A">
        <w:rPr>
          <w:rStyle w:val="Carpredefinitoparagrafo"/>
          <w:rFonts w:ascii="Garamond" w:hAnsi="Garamond" w:cs="Times New Roman"/>
          <w:sz w:val="22"/>
          <w:szCs w:val="22"/>
        </w:rPr>
        <w:t>ing</w:t>
      </w:r>
      <w:r w:rsidR="003567BF" w:rsidRPr="00A55F3A">
        <w:rPr>
          <w:rStyle w:val="Carpredefinitoparagrafo"/>
          <w:rFonts w:ascii="Garamond" w:hAnsi="Garamond" w:cs="Times New Roman"/>
          <w:sz w:val="22"/>
          <w:szCs w:val="22"/>
        </w:rPr>
        <w:t xml:space="preserve"> </w:t>
      </w:r>
      <w:r w:rsidR="009B4AC9" w:rsidRPr="00A55F3A">
        <w:rPr>
          <w:rStyle w:val="Carpredefinitoparagrafo"/>
          <w:rFonts w:ascii="Garamond" w:hAnsi="Garamond" w:cs="Times New Roman"/>
          <w:sz w:val="22"/>
          <w:szCs w:val="22"/>
        </w:rPr>
        <w:t>that</w:t>
      </w:r>
      <w:r w:rsidR="003567BF" w:rsidRPr="00A55F3A">
        <w:rPr>
          <w:rStyle w:val="Carpredefinitoparagrafo"/>
          <w:rFonts w:ascii="Garamond" w:hAnsi="Garamond" w:cs="Times New Roman"/>
          <w:sz w:val="22"/>
          <w:szCs w:val="22"/>
        </w:rPr>
        <w:t xml:space="preserve"> </w:t>
      </w:r>
      <w:r w:rsidR="009B4AC9" w:rsidRPr="00A55F3A">
        <w:rPr>
          <w:rStyle w:val="Carpredefinitoparagrafo"/>
          <w:rFonts w:ascii="Garamond" w:hAnsi="Garamond" w:cs="Times New Roman"/>
          <w:sz w:val="22"/>
          <w:szCs w:val="22"/>
        </w:rPr>
        <w:t>Miss Jones exaggerated the exten</w:t>
      </w:r>
      <w:r w:rsidR="000B4BA8" w:rsidRPr="00A55F3A">
        <w:rPr>
          <w:rStyle w:val="Carpredefinitoparagrafo"/>
          <w:rFonts w:ascii="Garamond" w:hAnsi="Garamond" w:cs="Times New Roman"/>
          <w:sz w:val="22"/>
          <w:szCs w:val="22"/>
        </w:rPr>
        <w:t>t</w:t>
      </w:r>
      <w:r w:rsidR="009B4AC9" w:rsidRPr="00A55F3A">
        <w:rPr>
          <w:rStyle w:val="Carpredefinitoparagrafo"/>
          <w:rFonts w:ascii="Garamond" w:hAnsi="Garamond" w:cs="Times New Roman"/>
          <w:sz w:val="22"/>
          <w:szCs w:val="22"/>
        </w:rPr>
        <w:t xml:space="preserve"> of her injuries</w:t>
      </w:r>
      <w:r w:rsidR="003567BF" w:rsidRPr="00A55F3A">
        <w:rPr>
          <w:rStyle w:val="Carpredefinitoparagrafo"/>
          <w:rFonts w:ascii="Garamond" w:hAnsi="Garamond" w:cs="Times New Roman"/>
          <w:sz w:val="22"/>
          <w:szCs w:val="22"/>
        </w:rPr>
        <w:t xml:space="preserve"> </w:t>
      </w:r>
      <w:r w:rsidR="009B4AC9" w:rsidRPr="00A55F3A">
        <w:rPr>
          <w:rStyle w:val="Carpredefinitoparagrafo"/>
          <w:rFonts w:ascii="Garamond" w:hAnsi="Garamond" w:cs="Times New Roman"/>
          <w:sz w:val="22"/>
          <w:szCs w:val="22"/>
        </w:rPr>
        <w:t>in</w:t>
      </w:r>
      <w:r w:rsidR="003567BF" w:rsidRPr="00A55F3A">
        <w:rPr>
          <w:rStyle w:val="Carpredefinitoparagrafo"/>
          <w:rFonts w:ascii="Garamond" w:hAnsi="Garamond" w:cs="Times New Roman"/>
          <w:sz w:val="22"/>
          <w:szCs w:val="22"/>
        </w:rPr>
        <w:t xml:space="preserve"> </w:t>
      </w:r>
      <w:r w:rsidR="009B4AC9" w:rsidRPr="00A55F3A">
        <w:rPr>
          <w:rStyle w:val="Carpredefinitoparagrafo"/>
          <w:rFonts w:ascii="Garamond" w:hAnsi="Garamond" w:cs="Times New Roman"/>
          <w:sz w:val="22"/>
          <w:szCs w:val="22"/>
        </w:rPr>
        <w:t>a tort case again</w:t>
      </w:r>
      <w:r w:rsidR="000B4BA8" w:rsidRPr="00A55F3A">
        <w:rPr>
          <w:rStyle w:val="Carpredefinitoparagrafo"/>
          <w:rFonts w:ascii="Garamond" w:hAnsi="Garamond" w:cs="Times New Roman"/>
          <w:sz w:val="22"/>
          <w:szCs w:val="22"/>
        </w:rPr>
        <w:t xml:space="preserve">st </w:t>
      </w:r>
      <w:r w:rsidR="009B4AC9" w:rsidRPr="00A55F3A">
        <w:rPr>
          <w:rStyle w:val="Carpredefinitoparagrafo"/>
          <w:rFonts w:ascii="Garamond" w:hAnsi="Garamond" w:cs="Times New Roman"/>
          <w:sz w:val="22"/>
          <w:szCs w:val="22"/>
        </w:rPr>
        <w:t>her employer.</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In the first instance, the judge refused to consider the video (ex Rule </w:t>
      </w:r>
      <w:r w:rsidR="00584F92" w:rsidRPr="00A55F3A">
        <w:rPr>
          <w:rStyle w:val="Carpredefinitoparagrafo"/>
          <w:rFonts w:ascii="Garamond" w:hAnsi="Garamond" w:cs="Times New Roman"/>
          <w:sz w:val="22"/>
          <w:szCs w:val="22"/>
        </w:rPr>
        <w:t>32</w:t>
      </w:r>
      <w:r w:rsidR="00406951" w:rsidRPr="00A55F3A">
        <w:rPr>
          <w:rStyle w:val="Carpredefinitoparagrafo"/>
          <w:rFonts w:ascii="Garamond" w:hAnsi="Garamond" w:cs="Times New Roman"/>
          <w:sz w:val="22"/>
          <w:szCs w:val="22"/>
        </w:rPr>
        <w:t>.1</w:t>
      </w:r>
      <w:r w:rsidR="00584F92" w:rsidRPr="00A55F3A">
        <w:rPr>
          <w:rStyle w:val="Carpredefinitoparagrafo"/>
          <w:rFonts w:ascii="Garamond" w:hAnsi="Garamond" w:cs="Times New Roman"/>
          <w:sz w:val="22"/>
          <w:szCs w:val="22"/>
        </w:rPr>
        <w:t xml:space="preserve"> (</w:t>
      </w:r>
      <w:r w:rsidR="0006750C" w:rsidRPr="00A55F3A">
        <w:rPr>
          <w:rStyle w:val="Carpredefinitoparagrafo"/>
          <w:rFonts w:ascii="Garamond" w:hAnsi="Garamond" w:cs="Times New Roman"/>
          <w:sz w:val="22"/>
          <w:szCs w:val="22"/>
        </w:rPr>
        <w:t>2</w:t>
      </w:r>
      <w:r w:rsidR="00584F92"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CPR) because the activities that produce</w:t>
      </w:r>
      <w:r w:rsidR="000B4BA8" w:rsidRPr="00A55F3A">
        <w:rPr>
          <w:rStyle w:val="Carpredefinitoparagrafo"/>
          <w:rFonts w:ascii="Garamond" w:hAnsi="Garamond" w:cs="Times New Roman"/>
          <w:sz w:val="22"/>
          <w:szCs w:val="22"/>
        </w:rPr>
        <w:t>d</w:t>
      </w:r>
      <w:r w:rsidRPr="00A55F3A">
        <w:rPr>
          <w:rStyle w:val="Carpredefinitoparagrafo"/>
          <w:rFonts w:ascii="Garamond" w:hAnsi="Garamond" w:cs="Times New Roman"/>
          <w:sz w:val="22"/>
          <w:szCs w:val="22"/>
        </w:rPr>
        <w:t xml:space="preserve"> the video were in violation of article 8 of the ECHR (as introduced in the UK by s</w:t>
      </w:r>
      <w:r w:rsidR="001B47CD" w:rsidRPr="00A55F3A">
        <w:rPr>
          <w:rStyle w:val="Carpredefinitoparagrafo"/>
          <w:rFonts w:ascii="Garamond" w:hAnsi="Garamond" w:cs="Times New Roman"/>
          <w:sz w:val="22"/>
          <w:szCs w:val="22"/>
        </w:rPr>
        <w:t>ection</w:t>
      </w:r>
      <w:r w:rsidRPr="00A55F3A">
        <w:rPr>
          <w:rStyle w:val="Carpredefinitoparagrafo"/>
          <w:rFonts w:ascii="Garamond" w:hAnsi="Garamond" w:cs="Times New Roman"/>
          <w:sz w:val="22"/>
          <w:szCs w:val="22"/>
        </w:rPr>
        <w:t xml:space="preserve"> 6 of </w:t>
      </w:r>
      <w:r w:rsidR="00AB5488" w:rsidRPr="00A55F3A">
        <w:rPr>
          <w:rStyle w:val="Carpredefinitoparagrafo"/>
          <w:rFonts w:ascii="Garamond" w:hAnsi="Garamond" w:cs="Times New Roman"/>
          <w:sz w:val="22"/>
          <w:szCs w:val="22"/>
        </w:rPr>
        <w:t>HRA)</w:t>
      </w:r>
      <w:r w:rsidRPr="00A55F3A">
        <w:rPr>
          <w:rStyle w:val="Carpredefinitoparagrafo"/>
          <w:rFonts w:ascii="Garamond" w:hAnsi="Garamond" w:cs="Times New Roman"/>
          <w:sz w:val="22"/>
          <w:szCs w:val="22"/>
        </w:rPr>
        <w:t xml:space="preserve">. At </w:t>
      </w:r>
      <w:r w:rsidR="00691E3E">
        <w:rPr>
          <w:rStyle w:val="Carpredefinitoparagrafo"/>
          <w:rFonts w:ascii="Garamond" w:hAnsi="Garamond" w:cs="Times New Roman"/>
          <w:sz w:val="22"/>
          <w:szCs w:val="22"/>
        </w:rPr>
        <w:t xml:space="preserve">the </w:t>
      </w:r>
      <w:r w:rsidRPr="00A55F3A">
        <w:rPr>
          <w:rStyle w:val="Carpredefinitoparagrafo"/>
          <w:rFonts w:ascii="Garamond" w:hAnsi="Garamond" w:cs="Times New Roman"/>
          <w:sz w:val="22"/>
          <w:szCs w:val="22"/>
        </w:rPr>
        <w:t>appel</w:t>
      </w:r>
      <w:r w:rsidR="00691E3E">
        <w:rPr>
          <w:rStyle w:val="Carpredefinitoparagrafo"/>
          <w:rFonts w:ascii="Garamond" w:hAnsi="Garamond" w:cs="Times New Roman"/>
          <w:sz w:val="22"/>
          <w:szCs w:val="22"/>
        </w:rPr>
        <w:t>late</w:t>
      </w:r>
      <w:r w:rsidRPr="00A55F3A">
        <w:rPr>
          <w:rStyle w:val="Carpredefinitoparagrafo"/>
          <w:rFonts w:ascii="Garamond" w:hAnsi="Garamond" w:cs="Times New Roman"/>
          <w:sz w:val="22"/>
          <w:szCs w:val="22"/>
        </w:rPr>
        <w:t xml:space="preserve"> stage, however, the </w:t>
      </w:r>
      <w:r w:rsidR="00291400" w:rsidRPr="00A55F3A">
        <w:rPr>
          <w:rStyle w:val="Carpredefinitoparagrafo"/>
          <w:rFonts w:ascii="Garamond" w:hAnsi="Garamond" w:cs="Times New Roman"/>
          <w:sz w:val="22"/>
          <w:szCs w:val="22"/>
        </w:rPr>
        <w:t>IOE</w:t>
      </w:r>
      <w:r w:rsidRPr="00A55F3A">
        <w:rPr>
          <w:rStyle w:val="Carpredefinitoparagrafo"/>
          <w:rFonts w:ascii="Garamond" w:hAnsi="Garamond" w:cs="Times New Roman"/>
          <w:sz w:val="22"/>
          <w:szCs w:val="22"/>
        </w:rPr>
        <w:t xml:space="preserve"> were allowed back into the </w:t>
      </w:r>
      <w:r w:rsidR="0006750C" w:rsidRPr="00A55F3A">
        <w:rPr>
          <w:rStyle w:val="Carpredefinitoparagrafo"/>
          <w:rFonts w:ascii="Garamond" w:hAnsi="Garamond" w:cs="Times New Roman"/>
          <w:sz w:val="22"/>
          <w:szCs w:val="22"/>
        </w:rPr>
        <w:t>main trial,</w:t>
      </w:r>
      <w:r w:rsidRPr="00A55F3A">
        <w:rPr>
          <w:rStyle w:val="Carpredefinitoparagrafo"/>
          <w:rFonts w:ascii="Garamond" w:hAnsi="Garamond" w:cs="Times New Roman"/>
          <w:sz w:val="22"/>
          <w:szCs w:val="22"/>
        </w:rPr>
        <w:t xml:space="preserve"> and the decision went in </w:t>
      </w:r>
      <w:r w:rsidR="00F60E23" w:rsidRPr="00A55F3A">
        <w:rPr>
          <w:rStyle w:val="Carpredefinitoparagrafo"/>
          <w:rFonts w:ascii="Garamond" w:hAnsi="Garamond" w:cs="Times New Roman"/>
          <w:sz w:val="22"/>
          <w:szCs w:val="22"/>
        </w:rPr>
        <w:t>favor</w:t>
      </w:r>
      <w:r w:rsidRPr="00A55F3A">
        <w:rPr>
          <w:rStyle w:val="Carpredefinitoparagrafo"/>
          <w:rFonts w:ascii="Garamond" w:hAnsi="Garamond" w:cs="Times New Roman"/>
          <w:sz w:val="22"/>
          <w:szCs w:val="22"/>
        </w:rPr>
        <w:t xml:space="preserve"> of the University of Warwick. Jones appealed against the </w:t>
      </w:r>
      <w:r w:rsidR="001B47CD" w:rsidRPr="00A55F3A">
        <w:rPr>
          <w:rStyle w:val="Carpredefinitoparagrafo"/>
          <w:rFonts w:ascii="Garamond" w:hAnsi="Garamond" w:cs="Times New Roman"/>
          <w:sz w:val="22"/>
          <w:szCs w:val="22"/>
        </w:rPr>
        <w:t xml:space="preserve">ancillary </w:t>
      </w:r>
      <w:r w:rsidRPr="00A55F3A">
        <w:rPr>
          <w:rStyle w:val="Carpredefinitoparagrafo"/>
          <w:rFonts w:ascii="Garamond" w:hAnsi="Garamond" w:cs="Times New Roman"/>
          <w:sz w:val="22"/>
          <w:szCs w:val="22"/>
        </w:rPr>
        <w:t>decision to allow</w:t>
      </w:r>
      <w:r w:rsidR="000D5857" w:rsidRPr="00A55F3A">
        <w:rPr>
          <w:rStyle w:val="Carpredefinitoparagrafo"/>
          <w:rFonts w:ascii="Garamond" w:hAnsi="Garamond" w:cs="Times New Roman"/>
          <w:sz w:val="22"/>
          <w:szCs w:val="22"/>
        </w:rPr>
        <w:t xml:space="preserve"> an</w:t>
      </w:r>
      <w:r w:rsidRPr="00A55F3A">
        <w:rPr>
          <w:rStyle w:val="Carpredefinitoparagrafo"/>
          <w:rFonts w:ascii="Garamond" w:hAnsi="Garamond" w:cs="Times New Roman"/>
          <w:sz w:val="22"/>
          <w:szCs w:val="22"/>
        </w:rPr>
        <w:t xml:space="preserve"> </w:t>
      </w:r>
      <w:r w:rsidR="00291400" w:rsidRPr="00A55F3A">
        <w:rPr>
          <w:rStyle w:val="Carpredefinitoparagrafo"/>
          <w:rFonts w:ascii="Garamond" w:hAnsi="Garamond" w:cs="Times New Roman"/>
          <w:sz w:val="22"/>
          <w:szCs w:val="22"/>
        </w:rPr>
        <w:t>IOE</w:t>
      </w:r>
      <w:r w:rsidRPr="00A55F3A">
        <w:rPr>
          <w:rStyle w:val="Carpredefinitoparagrafo"/>
          <w:rFonts w:ascii="Garamond" w:hAnsi="Garamond" w:cs="Times New Roman"/>
          <w:sz w:val="22"/>
          <w:szCs w:val="22"/>
        </w:rPr>
        <w:t xml:space="preserve"> in court, yet her arguments were rejected. </w:t>
      </w:r>
    </w:p>
    <w:p w14:paraId="56F5AA8E" w14:textId="29553529" w:rsidR="0006750C" w:rsidRPr="00A55F3A" w:rsidRDefault="003711AD" w:rsidP="00A55F3A">
      <w:pPr>
        <w:pStyle w:val="Standard"/>
        <w:spacing w:line="480" w:lineRule="auto"/>
        <w:rPr>
          <w:rStyle w:val="Carpredefinitoparagrafo"/>
          <w:rFonts w:ascii="Garamond" w:hAnsi="Garamond" w:cs="Times New Roman"/>
          <w:iCs/>
          <w:sz w:val="22"/>
          <w:szCs w:val="22"/>
        </w:rPr>
      </w:pPr>
      <w:r w:rsidRPr="00A55F3A">
        <w:rPr>
          <w:rStyle w:val="Carpredefinitoparagrafo"/>
          <w:rFonts w:ascii="Garamond" w:hAnsi="Garamond" w:cs="Times New Roman"/>
          <w:i/>
          <w:iCs/>
          <w:sz w:val="22"/>
          <w:szCs w:val="22"/>
        </w:rPr>
        <w:t>Jones</w:t>
      </w:r>
      <w:r w:rsidR="00C10272" w:rsidRPr="00A55F3A">
        <w:rPr>
          <w:rStyle w:val="Carpredefinitoparagrafo"/>
          <w:rFonts w:ascii="Garamond" w:hAnsi="Garamond" w:cs="Times New Roman"/>
          <w:iCs/>
          <w:sz w:val="22"/>
          <w:szCs w:val="22"/>
        </w:rPr>
        <w:t xml:space="preserve"> v </w:t>
      </w:r>
      <w:r w:rsidRPr="00A55F3A">
        <w:rPr>
          <w:rStyle w:val="Carpredefinitoparagrafo"/>
          <w:rFonts w:ascii="Garamond" w:hAnsi="Garamond" w:cs="Times New Roman"/>
          <w:i/>
          <w:iCs/>
          <w:sz w:val="22"/>
          <w:szCs w:val="22"/>
        </w:rPr>
        <w:t>University of Warwick</w:t>
      </w:r>
      <w:r w:rsidR="00593D4F" w:rsidRPr="00A55F3A">
        <w:rPr>
          <w:rStyle w:val="Carpredefinitoparagrafo"/>
          <w:rFonts w:ascii="Garamond" w:hAnsi="Garamond" w:cs="Times New Roman"/>
          <w:sz w:val="22"/>
          <w:szCs w:val="22"/>
        </w:rPr>
        <w:t xml:space="preserve"> </w:t>
      </w:r>
      <w:r w:rsidR="0096353D" w:rsidRPr="00A55F3A">
        <w:rPr>
          <w:rStyle w:val="Carpredefinitoparagrafo"/>
          <w:rFonts w:ascii="Garamond" w:hAnsi="Garamond" w:cs="Times New Roman"/>
          <w:sz w:val="22"/>
          <w:szCs w:val="22"/>
        </w:rPr>
        <w:t>bears</w:t>
      </w:r>
      <w:r w:rsidR="00593D4F" w:rsidRPr="00A55F3A">
        <w:rPr>
          <w:rStyle w:val="Carpredefinitoparagrafo"/>
          <w:rFonts w:ascii="Garamond" w:hAnsi="Garamond" w:cs="Times New Roman"/>
          <w:sz w:val="22"/>
          <w:szCs w:val="22"/>
        </w:rPr>
        <w:t xml:space="preserve"> a particular significance </w:t>
      </w:r>
      <w:r w:rsidR="0096353D" w:rsidRPr="00A55F3A">
        <w:rPr>
          <w:rStyle w:val="Carpredefinitoparagrafo"/>
          <w:rFonts w:ascii="Garamond" w:hAnsi="Garamond" w:cs="Times New Roman"/>
          <w:sz w:val="22"/>
          <w:szCs w:val="22"/>
        </w:rPr>
        <w:t xml:space="preserve">in </w:t>
      </w:r>
      <w:r w:rsidR="006746D2" w:rsidRPr="00A55F3A">
        <w:rPr>
          <w:rStyle w:val="Carpredefinitoparagrafo"/>
          <w:rFonts w:ascii="Garamond" w:hAnsi="Garamond" w:cs="Times New Roman"/>
          <w:sz w:val="22"/>
          <w:szCs w:val="22"/>
        </w:rPr>
        <w:t xml:space="preserve">our </w:t>
      </w:r>
      <w:r w:rsidR="0096353D" w:rsidRPr="00A55F3A">
        <w:rPr>
          <w:rStyle w:val="Carpredefinitoparagrafo"/>
          <w:rFonts w:ascii="Garamond" w:hAnsi="Garamond" w:cs="Times New Roman"/>
          <w:sz w:val="22"/>
          <w:szCs w:val="22"/>
        </w:rPr>
        <w:t xml:space="preserve">analysis </w:t>
      </w:r>
      <w:r w:rsidR="00593D4F" w:rsidRPr="00A55F3A">
        <w:rPr>
          <w:rStyle w:val="Carpredefinitoparagrafo"/>
          <w:rFonts w:ascii="Garamond" w:hAnsi="Garamond" w:cs="Times New Roman"/>
          <w:sz w:val="22"/>
          <w:szCs w:val="22"/>
        </w:rPr>
        <w:t>because Lord Woolf</w:t>
      </w:r>
      <w:r w:rsidR="006746D2" w:rsidRPr="00A55F3A">
        <w:rPr>
          <w:rStyle w:val="Carpredefinitoparagrafo"/>
          <w:rFonts w:ascii="Garamond" w:hAnsi="Garamond" w:cs="Times New Roman"/>
          <w:sz w:val="22"/>
          <w:szCs w:val="22"/>
        </w:rPr>
        <w:t>,</w:t>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iCs/>
          <w:sz w:val="22"/>
          <w:szCs w:val="22"/>
        </w:rPr>
        <w:t xml:space="preserve">the author of the Access to Justice Report 1996 that inspired many of the </w:t>
      </w:r>
      <w:r w:rsidR="001B47CD" w:rsidRPr="00A55F3A">
        <w:rPr>
          <w:rStyle w:val="Carpredefinitoparagrafo"/>
          <w:rFonts w:ascii="Garamond" w:hAnsi="Garamond" w:cs="Times New Roman"/>
          <w:iCs/>
          <w:sz w:val="22"/>
          <w:szCs w:val="22"/>
        </w:rPr>
        <w:t>changes</w:t>
      </w:r>
      <w:r w:rsidR="003567BF" w:rsidRPr="00A55F3A">
        <w:rPr>
          <w:rStyle w:val="Carpredefinitoparagrafo"/>
          <w:rFonts w:ascii="Garamond" w:hAnsi="Garamond" w:cs="Times New Roman"/>
          <w:iCs/>
          <w:sz w:val="22"/>
          <w:szCs w:val="22"/>
        </w:rPr>
        <w:t xml:space="preserve"> </w:t>
      </w:r>
      <w:r w:rsidR="00593D4F" w:rsidRPr="00A55F3A">
        <w:rPr>
          <w:rStyle w:val="Carpredefinitoparagrafo"/>
          <w:rFonts w:ascii="Garamond" w:hAnsi="Garamond" w:cs="Times New Roman"/>
          <w:iCs/>
          <w:sz w:val="22"/>
          <w:szCs w:val="22"/>
        </w:rPr>
        <w:t>introduced by the CPR</w:t>
      </w:r>
      <w:r w:rsidR="006746D2" w:rsidRPr="00A55F3A">
        <w:rPr>
          <w:rStyle w:val="Carpredefinitoparagrafo"/>
          <w:rFonts w:ascii="Garamond" w:hAnsi="Garamond" w:cs="Times New Roman"/>
          <w:iCs/>
          <w:sz w:val="22"/>
          <w:szCs w:val="22"/>
        </w:rPr>
        <w:t>,</w:t>
      </w:r>
      <w:r w:rsidR="003567BF" w:rsidRPr="00A55F3A">
        <w:rPr>
          <w:rStyle w:val="Carpredefinitoparagrafo"/>
          <w:rFonts w:ascii="Garamond" w:hAnsi="Garamond" w:cs="Times New Roman"/>
          <w:iCs/>
          <w:sz w:val="22"/>
          <w:szCs w:val="22"/>
        </w:rPr>
        <w:t xml:space="preserve"> </w:t>
      </w:r>
      <w:r w:rsidR="00593D4F" w:rsidRPr="00A55F3A">
        <w:rPr>
          <w:rStyle w:val="Carpredefinitoparagrafo"/>
          <w:rFonts w:ascii="Garamond" w:hAnsi="Garamond" w:cs="Times New Roman"/>
          <w:sz w:val="22"/>
          <w:szCs w:val="22"/>
        </w:rPr>
        <w:t xml:space="preserve">took on the task of clarifying </w:t>
      </w:r>
      <w:r w:rsidR="0006750C" w:rsidRPr="00A55F3A">
        <w:rPr>
          <w:rStyle w:val="Carpredefinitoparagrafo"/>
          <w:rFonts w:ascii="Garamond" w:hAnsi="Garamond" w:cs="Times New Roman"/>
          <w:sz w:val="22"/>
          <w:szCs w:val="22"/>
        </w:rPr>
        <w:t>what was expected by a judicial evaluation of</w:t>
      </w:r>
      <w:r w:rsidR="000D5857" w:rsidRPr="00A55F3A">
        <w:rPr>
          <w:rStyle w:val="Carpredefinitoparagrafo"/>
          <w:rFonts w:ascii="Garamond" w:hAnsi="Garamond" w:cs="Times New Roman"/>
          <w:sz w:val="22"/>
          <w:szCs w:val="22"/>
        </w:rPr>
        <w:t xml:space="preserve"> an</w:t>
      </w:r>
      <w:r w:rsidR="0006750C" w:rsidRPr="00A55F3A">
        <w:rPr>
          <w:rStyle w:val="Carpredefinitoparagrafo"/>
          <w:rFonts w:ascii="Garamond" w:hAnsi="Garamond" w:cs="Times New Roman"/>
          <w:sz w:val="22"/>
          <w:szCs w:val="22"/>
        </w:rPr>
        <w:t xml:space="preserve"> </w:t>
      </w:r>
      <w:r w:rsidR="00291400" w:rsidRPr="00A55F3A">
        <w:rPr>
          <w:rStyle w:val="Carpredefinitoparagrafo"/>
          <w:rFonts w:ascii="Garamond" w:hAnsi="Garamond" w:cs="Times New Roman"/>
          <w:sz w:val="22"/>
          <w:szCs w:val="22"/>
        </w:rPr>
        <w:t>IOE</w:t>
      </w:r>
      <w:r w:rsidR="00593D4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lastRenderedPageBreak/>
        <w:t xml:space="preserve">In particular, he explicitly </w:t>
      </w:r>
      <w:r w:rsidR="009B4AC9" w:rsidRPr="00A55F3A">
        <w:rPr>
          <w:rStyle w:val="Carpredefinitoparagrafo"/>
          <w:rFonts w:ascii="Garamond" w:hAnsi="Garamond" w:cs="Times New Roman"/>
          <w:sz w:val="22"/>
          <w:szCs w:val="22"/>
        </w:rPr>
        <w:t>referred</w:t>
      </w:r>
      <w:r w:rsidR="00593D4F" w:rsidRPr="00A55F3A">
        <w:rPr>
          <w:rStyle w:val="Carpredefinitoparagrafo"/>
          <w:rFonts w:ascii="Garamond" w:hAnsi="Garamond" w:cs="Times New Roman"/>
          <w:sz w:val="22"/>
          <w:szCs w:val="22"/>
        </w:rPr>
        <w:t xml:space="preserve"> to a judicial discretion on accommodating two diverging public interests such as the necessity</w:t>
      </w:r>
      <w:r w:rsidR="0006750C" w:rsidRPr="00A55F3A">
        <w:rPr>
          <w:rStyle w:val="Carpredefinitoparagrafo"/>
          <w:rFonts w:ascii="Garamond" w:hAnsi="Garamond" w:cs="Times New Roman"/>
          <w:sz w:val="22"/>
          <w:szCs w:val="22"/>
        </w:rPr>
        <w:t xml:space="preserve"> of</w:t>
      </w:r>
      <w:r w:rsidR="00B50D56"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objective</w:t>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(within the limit of reason</w:t>
      </w:r>
      <w:r w:rsidR="001B47CD" w:rsidRPr="00A55F3A">
        <w:rPr>
          <w:rStyle w:val="Carpredefinitoparagrafo"/>
          <w:rFonts w:ascii="Garamond" w:hAnsi="Garamond" w:cs="Times New Roman"/>
          <w:sz w:val="22"/>
          <w:szCs w:val="22"/>
        </w:rPr>
        <w:t>ableness</w:t>
      </w:r>
      <w:r w:rsidR="00593D4F" w:rsidRPr="00A55F3A">
        <w:rPr>
          <w:rStyle w:val="Carpredefinitoparagrafo"/>
          <w:rFonts w:ascii="Garamond" w:hAnsi="Garamond" w:cs="Times New Roman"/>
          <w:sz w:val="22"/>
          <w:szCs w:val="22"/>
        </w:rPr>
        <w:t>) representation of the facts of the case</w:t>
      </w:r>
      <w:r w:rsidR="0006750C"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 xml:space="preserve"> and the protection of the rights of the parties involved in the present and future disputes.</w:t>
      </w:r>
      <w:r w:rsidR="00593D4F" w:rsidRPr="00A55F3A">
        <w:rPr>
          <w:rStyle w:val="FootnoteReference"/>
          <w:rFonts w:ascii="Garamond" w:hAnsi="Garamond"/>
          <w:sz w:val="22"/>
          <w:szCs w:val="22"/>
        </w:rPr>
        <w:footnoteReference w:id="35"/>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‘Fortunately courts can now adopt a less rigid approach to that adopted hitherto which gives recognition to the fact that there are conflicting public interests which have to be reconciled as far as this is possible.’</w:t>
      </w:r>
      <w:r w:rsidR="00593D4F" w:rsidRPr="00A55F3A">
        <w:rPr>
          <w:rStyle w:val="FootnoteReference"/>
          <w:rFonts w:ascii="Garamond" w:hAnsi="Garamond"/>
          <w:sz w:val="22"/>
          <w:szCs w:val="22"/>
        </w:rPr>
        <w:footnoteReference w:id="36"/>
      </w:r>
      <w:r w:rsidR="00593D4F" w:rsidRPr="00A55F3A">
        <w:rPr>
          <w:rStyle w:val="Carpredefinitoparagrafo"/>
          <w:rFonts w:ascii="Garamond" w:hAnsi="Garamond" w:cs="Times New Roman"/>
          <w:sz w:val="22"/>
          <w:szCs w:val="22"/>
        </w:rPr>
        <w:t xml:space="preserve"> In other words</w:t>
      </w:r>
      <w:r w:rsidR="007B7880"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iCs/>
          <w:sz w:val="22"/>
          <w:szCs w:val="22"/>
        </w:rPr>
        <w:t xml:space="preserve">judges in civil cases have an active role </w:t>
      </w:r>
      <w:r w:rsidR="000B4BA8" w:rsidRPr="00A55F3A">
        <w:rPr>
          <w:rStyle w:val="Carpredefinitoparagrafo"/>
          <w:rFonts w:ascii="Garamond" w:hAnsi="Garamond" w:cs="Times New Roman"/>
          <w:iCs/>
          <w:sz w:val="22"/>
          <w:szCs w:val="22"/>
        </w:rPr>
        <w:t>in</w:t>
      </w:r>
      <w:r w:rsidR="00593D4F" w:rsidRPr="00A55F3A">
        <w:rPr>
          <w:rStyle w:val="Carpredefinitoparagrafo"/>
          <w:rFonts w:ascii="Garamond" w:hAnsi="Garamond" w:cs="Times New Roman"/>
          <w:iCs/>
          <w:sz w:val="22"/>
          <w:szCs w:val="22"/>
        </w:rPr>
        <w:t xml:space="preserve"> balancing a violation of right and procedural requirements of a case. </w:t>
      </w:r>
    </w:p>
    <w:p w14:paraId="0B3AA2BD" w14:textId="4952A738" w:rsidR="00605CE2" w:rsidRPr="00A55F3A" w:rsidRDefault="0006750C" w:rsidP="00A55F3A">
      <w:pPr>
        <w:pStyle w:val="Standard"/>
        <w:spacing w:line="480" w:lineRule="auto"/>
        <w:rPr>
          <w:rFonts w:ascii="Garamond" w:hAnsi="Garamond"/>
          <w:sz w:val="22"/>
          <w:szCs w:val="22"/>
        </w:rPr>
      </w:pPr>
      <w:r w:rsidRPr="00A55F3A">
        <w:rPr>
          <w:rStyle w:val="Carpredefinitoparagrafo"/>
          <w:rFonts w:ascii="Garamond" w:hAnsi="Garamond" w:cs="Times New Roman"/>
          <w:iCs/>
          <w:sz w:val="22"/>
          <w:szCs w:val="22"/>
        </w:rPr>
        <w:t>The</w:t>
      </w:r>
      <w:r w:rsidR="00593D4F" w:rsidRPr="00A55F3A">
        <w:rPr>
          <w:rStyle w:val="Carpredefinitoparagrafo"/>
          <w:rFonts w:ascii="Garamond" w:hAnsi="Garamond" w:cs="Times New Roman"/>
          <w:iCs/>
          <w:sz w:val="22"/>
          <w:szCs w:val="22"/>
        </w:rPr>
        <w:t xml:space="preserve"> assessment is not to be confused with an activity that seeks the</w:t>
      </w:r>
      <w:r w:rsidR="0096353D" w:rsidRPr="00A55F3A">
        <w:rPr>
          <w:rStyle w:val="Carpredefinitoparagrafo"/>
          <w:rFonts w:ascii="Garamond" w:hAnsi="Garamond" w:cs="Times New Roman"/>
          <w:iCs/>
          <w:sz w:val="22"/>
          <w:szCs w:val="22"/>
        </w:rPr>
        <w:t xml:space="preserve"> deontological</w:t>
      </w:r>
      <w:r w:rsidR="003567BF" w:rsidRPr="00A55F3A">
        <w:rPr>
          <w:rStyle w:val="Carpredefinitoparagrafo"/>
          <w:rFonts w:ascii="Garamond" w:hAnsi="Garamond" w:cs="Times New Roman"/>
          <w:iCs/>
          <w:sz w:val="22"/>
          <w:szCs w:val="22"/>
        </w:rPr>
        <w:t xml:space="preserve"> </w:t>
      </w:r>
      <w:r w:rsidR="00593D4F" w:rsidRPr="00A55F3A">
        <w:rPr>
          <w:rStyle w:val="Carpredefinitoparagrafo"/>
          <w:rFonts w:ascii="Garamond" w:hAnsi="Garamond" w:cs="Times New Roman"/>
          <w:iCs/>
          <w:sz w:val="22"/>
          <w:szCs w:val="22"/>
        </w:rPr>
        <w:t xml:space="preserve">accommodation of a conflict between fundamental </w:t>
      </w:r>
      <w:r w:rsidR="006746D2" w:rsidRPr="00A55F3A">
        <w:rPr>
          <w:rStyle w:val="Carpredefinitoparagrafo"/>
          <w:rFonts w:ascii="Garamond" w:hAnsi="Garamond" w:cs="Times New Roman"/>
          <w:iCs/>
          <w:sz w:val="22"/>
          <w:szCs w:val="22"/>
        </w:rPr>
        <w:t>human rights</w:t>
      </w:r>
      <w:r w:rsidR="00593D4F" w:rsidRPr="00A55F3A">
        <w:rPr>
          <w:rStyle w:val="Carpredefinitoparagrafo"/>
          <w:rFonts w:ascii="Garamond" w:hAnsi="Garamond" w:cs="Times New Roman"/>
          <w:iCs/>
          <w:sz w:val="22"/>
          <w:szCs w:val="22"/>
        </w:rPr>
        <w:t>.</w:t>
      </w:r>
      <w:r w:rsidR="00DA213A" w:rsidRPr="00A55F3A">
        <w:rPr>
          <w:rStyle w:val="FootnoteReference"/>
          <w:rFonts w:ascii="Garamond" w:hAnsi="Garamond"/>
          <w:iCs/>
          <w:sz w:val="22"/>
          <w:szCs w:val="22"/>
        </w:rPr>
        <w:footnoteReference w:id="37"/>
      </w:r>
      <w:r w:rsidR="00593D4F" w:rsidRPr="00A55F3A">
        <w:rPr>
          <w:rStyle w:val="Carpredefinitoparagrafo"/>
          <w:rFonts w:ascii="Garamond" w:hAnsi="Garamond" w:cs="Times New Roman"/>
          <w:iCs/>
          <w:sz w:val="22"/>
          <w:szCs w:val="22"/>
        </w:rPr>
        <w:t xml:space="preserve"> For instance, it w</w:t>
      </w:r>
      <w:r w:rsidR="000B4BA8" w:rsidRPr="00A55F3A">
        <w:rPr>
          <w:rStyle w:val="Carpredefinitoparagrafo"/>
          <w:rFonts w:ascii="Garamond" w:hAnsi="Garamond" w:cs="Times New Roman"/>
          <w:iCs/>
          <w:sz w:val="22"/>
          <w:szCs w:val="22"/>
        </w:rPr>
        <w:t>ould</w:t>
      </w:r>
      <w:r w:rsidR="00593D4F" w:rsidRPr="00A55F3A">
        <w:rPr>
          <w:rStyle w:val="Carpredefinitoparagrafo"/>
          <w:rFonts w:ascii="Garamond" w:hAnsi="Garamond" w:cs="Times New Roman"/>
          <w:iCs/>
          <w:sz w:val="22"/>
          <w:szCs w:val="22"/>
        </w:rPr>
        <w:t xml:space="preserve"> be erroneous to assume that </w:t>
      </w:r>
      <w:r w:rsidR="003711AD" w:rsidRPr="00A55F3A">
        <w:rPr>
          <w:rStyle w:val="Carpredefinitoparagrafo"/>
          <w:rFonts w:ascii="Garamond" w:hAnsi="Garamond" w:cs="Times New Roman"/>
          <w:i/>
          <w:iCs/>
          <w:sz w:val="22"/>
          <w:szCs w:val="22"/>
        </w:rPr>
        <w:t>Jones</w:t>
      </w:r>
      <w:r w:rsidR="00C10272" w:rsidRPr="00A55F3A">
        <w:rPr>
          <w:rStyle w:val="Carpredefinitoparagrafo"/>
          <w:rFonts w:ascii="Garamond" w:hAnsi="Garamond" w:cs="Times New Roman"/>
          <w:iCs/>
          <w:sz w:val="22"/>
          <w:szCs w:val="22"/>
        </w:rPr>
        <w:t xml:space="preserve"> v </w:t>
      </w:r>
      <w:r w:rsidR="003711AD" w:rsidRPr="00A55F3A">
        <w:rPr>
          <w:rStyle w:val="Carpredefinitoparagrafo"/>
          <w:rFonts w:ascii="Garamond" w:hAnsi="Garamond" w:cs="Times New Roman"/>
          <w:i/>
          <w:iCs/>
          <w:sz w:val="22"/>
          <w:szCs w:val="22"/>
        </w:rPr>
        <w:t>University of Warwick</w:t>
      </w:r>
      <w:r w:rsidR="00593D4F" w:rsidRPr="00A55F3A">
        <w:rPr>
          <w:rStyle w:val="Carpredefinitoparagrafo"/>
          <w:rFonts w:ascii="Garamond" w:hAnsi="Garamond" w:cs="Times New Roman"/>
          <w:sz w:val="22"/>
          <w:szCs w:val="22"/>
        </w:rPr>
        <w:t xml:space="preserve"> is </w:t>
      </w:r>
      <w:r w:rsidR="00593D4F" w:rsidRPr="00A55F3A">
        <w:rPr>
          <w:rStyle w:val="Carpredefinitoparagrafo"/>
          <w:rFonts w:ascii="Garamond" w:hAnsi="Garamond" w:cs="Times New Roman"/>
          <w:iCs/>
          <w:sz w:val="22"/>
          <w:szCs w:val="22"/>
        </w:rPr>
        <w:t xml:space="preserve">creating a line of authority that imposes the duty on courts to accept video </w:t>
      </w:r>
      <w:r w:rsidR="00AE5AD3" w:rsidRPr="00A55F3A">
        <w:rPr>
          <w:rStyle w:val="Carpredefinitoparagrafo"/>
          <w:rFonts w:ascii="Garamond" w:hAnsi="Garamond" w:cs="Times New Roman"/>
          <w:iCs/>
          <w:sz w:val="22"/>
          <w:szCs w:val="22"/>
        </w:rPr>
        <w:t>e</w:t>
      </w:r>
      <w:r w:rsidR="00291400" w:rsidRPr="00A55F3A">
        <w:rPr>
          <w:rStyle w:val="Carpredefinitoparagrafo"/>
          <w:rFonts w:ascii="Garamond" w:hAnsi="Garamond" w:cs="Times New Roman"/>
          <w:iCs/>
          <w:sz w:val="22"/>
          <w:szCs w:val="22"/>
        </w:rPr>
        <w:t>vidence</w:t>
      </w:r>
      <w:r w:rsidR="00593D4F" w:rsidRPr="00A55F3A">
        <w:rPr>
          <w:rStyle w:val="Carpredefinitoparagrafo"/>
          <w:rFonts w:ascii="Garamond" w:hAnsi="Garamond" w:cs="Times New Roman"/>
          <w:iCs/>
          <w:sz w:val="22"/>
          <w:szCs w:val="22"/>
        </w:rPr>
        <w:t xml:space="preserve"> obtained in violation of article 8 of the ECHR in all tort cases. Rather</w:t>
      </w:r>
      <w:r w:rsidR="000B4BA8" w:rsidRPr="00A55F3A">
        <w:rPr>
          <w:rStyle w:val="Carpredefinitoparagrafo"/>
          <w:rFonts w:ascii="Garamond" w:hAnsi="Garamond" w:cs="Times New Roman"/>
          <w:iCs/>
          <w:sz w:val="22"/>
          <w:szCs w:val="22"/>
        </w:rPr>
        <w:t>,</w:t>
      </w:r>
      <w:r w:rsidR="00593D4F" w:rsidRPr="00A55F3A">
        <w:rPr>
          <w:rStyle w:val="Carpredefinitoparagrafo"/>
          <w:rFonts w:ascii="Garamond" w:hAnsi="Garamond" w:cs="Times New Roman"/>
          <w:iCs/>
          <w:sz w:val="22"/>
          <w:szCs w:val="22"/>
        </w:rPr>
        <w:t xml:space="preserve"> Rule </w:t>
      </w:r>
      <w:r w:rsidR="00406951" w:rsidRPr="00A55F3A">
        <w:rPr>
          <w:rStyle w:val="Carpredefinitoparagrafo"/>
          <w:rFonts w:ascii="Garamond" w:hAnsi="Garamond" w:cs="Times New Roman"/>
          <w:iCs/>
          <w:sz w:val="22"/>
          <w:szCs w:val="22"/>
        </w:rPr>
        <w:t>32.</w:t>
      </w:r>
      <w:r w:rsidR="00584F92" w:rsidRPr="00A55F3A">
        <w:rPr>
          <w:rStyle w:val="Carpredefinitoparagrafo"/>
          <w:rFonts w:ascii="Garamond" w:hAnsi="Garamond" w:cs="Times New Roman"/>
          <w:iCs/>
          <w:sz w:val="22"/>
          <w:szCs w:val="22"/>
        </w:rPr>
        <w:t>1</w:t>
      </w:r>
      <w:r w:rsidR="00406951" w:rsidRPr="00A55F3A">
        <w:rPr>
          <w:rStyle w:val="Carpredefinitoparagrafo"/>
          <w:rFonts w:ascii="Garamond" w:hAnsi="Garamond" w:cs="Times New Roman"/>
          <w:iCs/>
          <w:sz w:val="22"/>
          <w:szCs w:val="22"/>
        </w:rPr>
        <w:t xml:space="preserve"> (1</w:t>
      </w:r>
      <w:r w:rsidR="00584F92" w:rsidRPr="00A55F3A">
        <w:rPr>
          <w:rStyle w:val="Carpredefinitoparagrafo"/>
          <w:rFonts w:ascii="Garamond" w:hAnsi="Garamond" w:cs="Times New Roman"/>
          <w:iCs/>
          <w:sz w:val="22"/>
          <w:szCs w:val="22"/>
        </w:rPr>
        <w:t>)</w:t>
      </w:r>
      <w:r w:rsidR="00593D4F" w:rsidRPr="00A55F3A">
        <w:rPr>
          <w:rStyle w:val="Carpredefinitoparagrafo"/>
          <w:rFonts w:ascii="Garamond" w:hAnsi="Garamond" w:cs="Times New Roman"/>
          <w:iCs/>
          <w:sz w:val="22"/>
          <w:szCs w:val="22"/>
        </w:rPr>
        <w:t xml:space="preserve"> charges the court of a duty to carry out a pragmatic evaluation of the implications of excluding (or allowing) </w:t>
      </w:r>
      <w:r w:rsidR="00AE5AD3" w:rsidRPr="00A55F3A">
        <w:rPr>
          <w:rStyle w:val="Carpredefinitoparagrafo"/>
          <w:rFonts w:ascii="Garamond" w:hAnsi="Garamond" w:cs="Times New Roman"/>
          <w:iCs/>
          <w:sz w:val="22"/>
          <w:szCs w:val="22"/>
        </w:rPr>
        <w:t>e</w:t>
      </w:r>
      <w:r w:rsidR="00291400" w:rsidRPr="00A55F3A">
        <w:rPr>
          <w:rStyle w:val="Carpredefinitoparagrafo"/>
          <w:rFonts w:ascii="Garamond" w:hAnsi="Garamond" w:cs="Times New Roman"/>
          <w:iCs/>
          <w:sz w:val="22"/>
          <w:szCs w:val="22"/>
        </w:rPr>
        <w:t>vidence</w:t>
      </w:r>
      <w:r w:rsidR="00593D4F" w:rsidRPr="00A55F3A">
        <w:rPr>
          <w:rStyle w:val="Carpredefinitoparagrafo"/>
          <w:rFonts w:ascii="Garamond" w:hAnsi="Garamond" w:cs="Times New Roman"/>
          <w:iCs/>
          <w:sz w:val="22"/>
          <w:szCs w:val="22"/>
        </w:rPr>
        <w:t xml:space="preserve"> </w:t>
      </w:r>
      <w:r w:rsidR="0096353D" w:rsidRPr="00A55F3A">
        <w:rPr>
          <w:rStyle w:val="Carpredefinitoparagrafo"/>
          <w:rFonts w:ascii="Garamond" w:hAnsi="Garamond" w:cs="Times New Roman"/>
          <w:iCs/>
          <w:sz w:val="22"/>
          <w:szCs w:val="22"/>
        </w:rPr>
        <w:t>from forthcoming</w:t>
      </w:r>
      <w:r w:rsidR="003567BF" w:rsidRPr="00A55F3A">
        <w:rPr>
          <w:rStyle w:val="Carpredefinitoparagrafo"/>
          <w:rFonts w:ascii="Garamond" w:hAnsi="Garamond" w:cs="Times New Roman"/>
          <w:iCs/>
          <w:sz w:val="22"/>
          <w:szCs w:val="22"/>
        </w:rPr>
        <w:t xml:space="preserve"> </w:t>
      </w:r>
      <w:r w:rsidR="0096353D" w:rsidRPr="00A55F3A">
        <w:rPr>
          <w:rStyle w:val="Carpredefinitoparagrafo"/>
          <w:rFonts w:ascii="Garamond" w:hAnsi="Garamond" w:cs="Times New Roman"/>
          <w:iCs/>
          <w:sz w:val="22"/>
          <w:szCs w:val="22"/>
        </w:rPr>
        <w:t>cases</w:t>
      </w:r>
      <w:r w:rsidR="00691E3E">
        <w:rPr>
          <w:rStyle w:val="Carpredefinitoparagrafo"/>
          <w:rFonts w:ascii="Garamond" w:hAnsi="Garamond" w:cs="Times New Roman"/>
          <w:iCs/>
          <w:sz w:val="22"/>
          <w:szCs w:val="22"/>
        </w:rPr>
        <w:t xml:space="preserve"> </w:t>
      </w:r>
      <w:r w:rsidRPr="00A55F3A">
        <w:rPr>
          <w:rStyle w:val="Carpredefinitoparagrafo"/>
          <w:rFonts w:ascii="Garamond" w:hAnsi="Garamond" w:cs="Times New Roman"/>
          <w:iCs/>
          <w:sz w:val="22"/>
          <w:szCs w:val="22"/>
        </w:rPr>
        <w:t>(ex</w:t>
      </w:r>
      <w:r w:rsidR="00B50D56" w:rsidRPr="00A55F3A">
        <w:rPr>
          <w:rStyle w:val="Carpredefinitoparagrafo"/>
          <w:rFonts w:ascii="Garamond" w:hAnsi="Garamond" w:cs="Times New Roman"/>
          <w:iCs/>
          <w:sz w:val="22"/>
          <w:szCs w:val="22"/>
        </w:rPr>
        <w:t xml:space="preserve"> </w:t>
      </w:r>
      <w:r w:rsidRPr="00A55F3A">
        <w:rPr>
          <w:rStyle w:val="Carpredefinitoparagrafo"/>
          <w:rFonts w:ascii="Garamond" w:hAnsi="Garamond" w:cs="Times New Roman"/>
          <w:iCs/>
          <w:sz w:val="22"/>
          <w:szCs w:val="22"/>
        </w:rPr>
        <w:t>Rule 32.1 (2))</w:t>
      </w:r>
      <w:r w:rsidR="00593D4F" w:rsidRPr="00A55F3A">
        <w:rPr>
          <w:rStyle w:val="Carpredefinitoparagrafo"/>
          <w:rFonts w:ascii="Garamond" w:hAnsi="Garamond" w:cs="Times New Roman"/>
          <w:iCs/>
          <w:sz w:val="22"/>
          <w:szCs w:val="22"/>
        </w:rPr>
        <w:t xml:space="preserve">. </w:t>
      </w:r>
      <w:r w:rsidR="00593D4F" w:rsidRPr="00A55F3A">
        <w:rPr>
          <w:rStyle w:val="Carpredefinitoparagrafo"/>
          <w:rFonts w:ascii="Garamond" w:hAnsi="Garamond" w:cs="Times New Roman"/>
          <w:sz w:val="22"/>
          <w:szCs w:val="22"/>
        </w:rPr>
        <w:t>‘A judge's responsibility today in the course of properly managing litigation requires him, when exercising his discretion in accordance with the overriding objective contained in CPR Pt 1, to consider the effect of his decision upon litigation generally.’</w:t>
      </w:r>
      <w:r w:rsidR="00593D4F" w:rsidRPr="00A55F3A">
        <w:rPr>
          <w:rStyle w:val="FootnoteReference"/>
          <w:rFonts w:ascii="Garamond" w:hAnsi="Garamond"/>
          <w:sz w:val="22"/>
          <w:szCs w:val="22"/>
        </w:rPr>
        <w:footnoteReference w:id="38"/>
      </w:r>
      <w:r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The importance of balancing the effects of deciding against accepting</w:t>
      </w:r>
      <w:r w:rsidR="00C10D33" w:rsidRPr="00A55F3A">
        <w:rPr>
          <w:rStyle w:val="Carpredefinitoparagrafo"/>
          <w:rFonts w:ascii="Garamond" w:hAnsi="Garamond" w:cs="Times New Roman"/>
          <w:sz w:val="22"/>
          <w:szCs w:val="22"/>
        </w:rPr>
        <w:t xml:space="preserve"> an</w:t>
      </w:r>
      <w:r w:rsidR="00593D4F" w:rsidRPr="00A55F3A">
        <w:rPr>
          <w:rStyle w:val="Carpredefinitoparagrafo"/>
          <w:rFonts w:ascii="Garamond" w:hAnsi="Garamond" w:cs="Times New Roman"/>
          <w:sz w:val="22"/>
          <w:szCs w:val="22"/>
        </w:rPr>
        <w:t xml:space="preserve"> </w:t>
      </w:r>
      <w:r w:rsidR="00291400" w:rsidRPr="00A55F3A">
        <w:rPr>
          <w:rStyle w:val="Carpredefinitoparagrafo"/>
          <w:rFonts w:ascii="Garamond" w:hAnsi="Garamond" w:cs="Times New Roman"/>
          <w:sz w:val="22"/>
          <w:szCs w:val="22"/>
        </w:rPr>
        <w:t>IOE</w:t>
      </w:r>
      <w:r w:rsidR="00593D4F" w:rsidRPr="00A55F3A">
        <w:rPr>
          <w:rStyle w:val="Carpredefinitoparagrafo"/>
          <w:rFonts w:ascii="Garamond" w:hAnsi="Garamond" w:cs="Times New Roman"/>
          <w:sz w:val="22"/>
          <w:szCs w:val="22"/>
        </w:rPr>
        <w:t xml:space="preserve"> and acknowledging a violation of a human right is reinforced in several passages</w:t>
      </w:r>
      <w:r w:rsidR="00593D4F" w:rsidRPr="00A55F3A">
        <w:rPr>
          <w:rStyle w:val="Carpredefinitoparagrafo"/>
          <w:rFonts w:ascii="Garamond" w:hAnsi="Garamond" w:cs="Times New Roman"/>
          <w:iCs/>
          <w:sz w:val="22"/>
          <w:szCs w:val="22"/>
        </w:rPr>
        <w:t xml:space="preserve">. </w:t>
      </w:r>
      <w:r w:rsidR="00593D4F"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iCs/>
          <w:sz w:val="22"/>
          <w:szCs w:val="22"/>
        </w:rPr>
        <w:t>The weight to be attached to each of the two public interests will vary according to the circumstances. […] Here, the court cannot ignore the reality of the situation. This is not a case where the conduct of the defendant's insurers is so outrageous that the defence should be struck out.’</w:t>
      </w:r>
      <w:r w:rsidR="00672D94" w:rsidRPr="00A55F3A">
        <w:rPr>
          <w:rStyle w:val="FootnoteReference"/>
          <w:rFonts w:ascii="Garamond" w:hAnsi="Garamond"/>
          <w:iCs/>
          <w:sz w:val="22"/>
          <w:szCs w:val="22"/>
        </w:rPr>
        <w:footnoteReference w:id="39"/>
      </w:r>
      <w:r w:rsidR="00593D4F" w:rsidRPr="00A55F3A">
        <w:rPr>
          <w:rStyle w:val="FootnoteReference"/>
          <w:rFonts w:ascii="Garamond" w:hAnsi="Garamond"/>
          <w:iCs/>
          <w:sz w:val="22"/>
          <w:szCs w:val="22"/>
        </w:rPr>
        <w:t xml:space="preserve"> </w:t>
      </w:r>
      <w:r w:rsidR="00593D4F" w:rsidRPr="00A55F3A">
        <w:rPr>
          <w:rStyle w:val="Carpredefinitoparagrafo"/>
          <w:rFonts w:ascii="Garamond" w:hAnsi="Garamond" w:cs="Times New Roman"/>
          <w:iCs/>
          <w:sz w:val="22"/>
          <w:szCs w:val="22"/>
        </w:rPr>
        <w:t xml:space="preserve"> </w:t>
      </w:r>
      <w:r w:rsidR="001B47CD" w:rsidRPr="00A55F3A">
        <w:rPr>
          <w:rStyle w:val="Carpredefinitoparagrafo"/>
          <w:rFonts w:ascii="Garamond" w:hAnsi="Garamond" w:cs="Times New Roman"/>
          <w:sz w:val="22"/>
          <w:szCs w:val="22"/>
        </w:rPr>
        <w:t>The extract show</w:t>
      </w:r>
      <w:r w:rsidR="00B70E13" w:rsidRPr="00A55F3A">
        <w:rPr>
          <w:rStyle w:val="Carpredefinitoparagrafo"/>
          <w:rFonts w:ascii="Garamond" w:hAnsi="Garamond" w:cs="Times New Roman"/>
          <w:sz w:val="22"/>
          <w:szCs w:val="22"/>
        </w:rPr>
        <w:t>s</w:t>
      </w:r>
      <w:r w:rsidR="001B47CD" w:rsidRPr="00A55F3A">
        <w:rPr>
          <w:rStyle w:val="Carpredefinitoparagrafo"/>
          <w:rFonts w:ascii="Garamond" w:hAnsi="Garamond" w:cs="Times New Roman"/>
          <w:sz w:val="22"/>
          <w:szCs w:val="22"/>
        </w:rPr>
        <w:t xml:space="preserve"> </w:t>
      </w:r>
      <w:r w:rsidR="006746D2" w:rsidRPr="00A55F3A">
        <w:rPr>
          <w:rStyle w:val="Carpredefinitoparagrafo"/>
          <w:rFonts w:ascii="Garamond" w:hAnsi="Garamond" w:cs="Times New Roman"/>
          <w:sz w:val="22"/>
          <w:szCs w:val="22"/>
        </w:rPr>
        <w:t>an indication</w:t>
      </w:r>
      <w:r w:rsidR="00B70E13" w:rsidRPr="00A55F3A">
        <w:rPr>
          <w:rStyle w:val="Carpredefinitoparagrafo"/>
          <w:rFonts w:ascii="Garamond" w:hAnsi="Garamond" w:cs="Times New Roman"/>
          <w:sz w:val="22"/>
          <w:szCs w:val="22"/>
        </w:rPr>
        <w:t xml:space="preserve"> and</w:t>
      </w:r>
      <w:r w:rsidR="006746D2" w:rsidRPr="00A55F3A">
        <w:rPr>
          <w:rStyle w:val="Carpredefinitoparagrafo"/>
          <w:rFonts w:ascii="Garamond" w:hAnsi="Garamond" w:cs="Times New Roman"/>
          <w:sz w:val="22"/>
          <w:szCs w:val="22"/>
        </w:rPr>
        <w:t xml:space="preserve"> </w:t>
      </w:r>
      <w:r w:rsidR="001B47CD" w:rsidRPr="00A55F3A">
        <w:rPr>
          <w:rStyle w:val="Carpredefinitoparagrafo"/>
          <w:rFonts w:ascii="Garamond" w:hAnsi="Garamond" w:cs="Times New Roman"/>
          <w:sz w:val="22"/>
          <w:szCs w:val="22"/>
        </w:rPr>
        <w:t>also an attempt to</w:t>
      </w:r>
      <w:r w:rsidR="003567BF" w:rsidRPr="00A55F3A">
        <w:rPr>
          <w:rStyle w:val="Carpredefinitoparagrafo"/>
          <w:rFonts w:ascii="Garamond" w:hAnsi="Garamond" w:cs="Times New Roman"/>
          <w:sz w:val="22"/>
          <w:szCs w:val="22"/>
        </w:rPr>
        <w:t xml:space="preserve"> </w:t>
      </w:r>
      <w:r w:rsidR="001B47CD" w:rsidRPr="00A55F3A">
        <w:rPr>
          <w:rStyle w:val="Carpredefinitoparagrafo"/>
          <w:rFonts w:ascii="Garamond" w:hAnsi="Garamond" w:cs="Times New Roman"/>
          <w:iCs/>
          <w:sz w:val="22"/>
          <w:szCs w:val="22"/>
        </w:rPr>
        <w:t>set</w:t>
      </w:r>
      <w:r w:rsidR="003567BF" w:rsidRPr="00A55F3A">
        <w:rPr>
          <w:rStyle w:val="Carpredefinitoparagrafo"/>
          <w:rFonts w:ascii="Garamond" w:hAnsi="Garamond" w:cs="Times New Roman"/>
          <w:iCs/>
          <w:sz w:val="22"/>
          <w:szCs w:val="22"/>
        </w:rPr>
        <w:t xml:space="preserve"> </w:t>
      </w:r>
      <w:r w:rsidR="001B47CD" w:rsidRPr="00A55F3A">
        <w:rPr>
          <w:rStyle w:val="Carpredefinitoparagrafo"/>
          <w:rFonts w:ascii="Garamond" w:hAnsi="Garamond" w:cs="Times New Roman"/>
          <w:iCs/>
          <w:sz w:val="22"/>
          <w:szCs w:val="22"/>
        </w:rPr>
        <w:t>a floodgate to Rule 32</w:t>
      </w:r>
      <w:r w:rsidR="00406951" w:rsidRPr="00A55F3A">
        <w:rPr>
          <w:rStyle w:val="Carpredefinitoparagrafo"/>
          <w:rFonts w:ascii="Garamond" w:hAnsi="Garamond" w:cs="Times New Roman"/>
          <w:iCs/>
          <w:sz w:val="22"/>
          <w:szCs w:val="22"/>
        </w:rPr>
        <w:t>.1</w:t>
      </w:r>
      <w:r w:rsidR="001B47CD" w:rsidRPr="00A55F3A">
        <w:rPr>
          <w:rStyle w:val="Carpredefinitoparagrafo"/>
          <w:rFonts w:ascii="Garamond" w:hAnsi="Garamond" w:cs="Times New Roman"/>
          <w:iCs/>
          <w:sz w:val="22"/>
          <w:szCs w:val="22"/>
        </w:rPr>
        <w:t xml:space="preserve"> (1) by limiting t</w:t>
      </w:r>
      <w:r w:rsidR="00593D4F" w:rsidRPr="00A55F3A">
        <w:rPr>
          <w:rStyle w:val="Carpredefinitoparagrafo"/>
          <w:rFonts w:ascii="Garamond" w:hAnsi="Garamond" w:cs="Times New Roman"/>
          <w:iCs/>
          <w:sz w:val="22"/>
          <w:szCs w:val="22"/>
        </w:rPr>
        <w:t xml:space="preserve">he prerogative </w:t>
      </w:r>
      <w:r w:rsidR="00593D4F" w:rsidRPr="00A55F3A">
        <w:rPr>
          <w:rStyle w:val="Carpredefinitoparagrafo"/>
          <w:rFonts w:ascii="Garamond" w:hAnsi="Garamond" w:cs="Times New Roman"/>
          <w:iCs/>
          <w:sz w:val="22"/>
          <w:szCs w:val="22"/>
        </w:rPr>
        <w:lastRenderedPageBreak/>
        <w:t xml:space="preserve">allocated </w:t>
      </w:r>
      <w:r w:rsidR="000B4BA8" w:rsidRPr="00A55F3A">
        <w:rPr>
          <w:rStyle w:val="Carpredefinitoparagrafo"/>
          <w:rFonts w:ascii="Garamond" w:hAnsi="Garamond" w:cs="Times New Roman"/>
          <w:iCs/>
          <w:sz w:val="22"/>
          <w:szCs w:val="22"/>
        </w:rPr>
        <w:t>to</w:t>
      </w:r>
      <w:r w:rsidR="00593D4F" w:rsidRPr="00A55F3A">
        <w:rPr>
          <w:rStyle w:val="Carpredefinitoparagrafo"/>
          <w:rFonts w:ascii="Garamond" w:hAnsi="Garamond" w:cs="Times New Roman"/>
          <w:iCs/>
          <w:sz w:val="22"/>
          <w:szCs w:val="22"/>
        </w:rPr>
        <w:t xml:space="preserve"> the judge to evaluate the admissibility </w:t>
      </w:r>
      <w:r w:rsidR="00DE051E" w:rsidRPr="00A55F3A">
        <w:rPr>
          <w:rStyle w:val="Carpredefinitoparagrafo"/>
          <w:rFonts w:ascii="Garamond" w:hAnsi="Garamond" w:cs="Times New Roman"/>
          <w:iCs/>
          <w:sz w:val="22"/>
          <w:szCs w:val="22"/>
        </w:rPr>
        <w:t>of</w:t>
      </w:r>
      <w:r w:rsidR="000D5857" w:rsidRPr="00A55F3A">
        <w:rPr>
          <w:rStyle w:val="Carpredefinitoparagrafo"/>
          <w:rFonts w:ascii="Garamond" w:hAnsi="Garamond" w:cs="Times New Roman"/>
          <w:iCs/>
          <w:sz w:val="22"/>
          <w:szCs w:val="22"/>
        </w:rPr>
        <w:t xml:space="preserve"> </w:t>
      </w:r>
      <w:r w:rsidR="00F60E23" w:rsidRPr="00A55F3A">
        <w:rPr>
          <w:rStyle w:val="Carpredefinitoparagrafo"/>
          <w:rFonts w:ascii="Garamond" w:hAnsi="Garamond" w:cs="Times New Roman"/>
          <w:iCs/>
          <w:sz w:val="22"/>
          <w:szCs w:val="22"/>
        </w:rPr>
        <w:t>evidence</w:t>
      </w:r>
      <w:r w:rsidR="000D5857" w:rsidRPr="00A55F3A">
        <w:rPr>
          <w:rStyle w:val="Carpredefinitoparagrafo"/>
          <w:rFonts w:ascii="Garamond" w:hAnsi="Garamond" w:cs="Times New Roman"/>
          <w:iCs/>
          <w:sz w:val="22"/>
          <w:szCs w:val="22"/>
        </w:rPr>
        <w:t xml:space="preserve"> connected </w:t>
      </w:r>
      <w:r w:rsidR="00593D4F" w:rsidRPr="00A55F3A">
        <w:rPr>
          <w:rStyle w:val="Carpredefinitoparagrafo"/>
          <w:rFonts w:ascii="Garamond" w:hAnsi="Garamond" w:cs="Times New Roman"/>
          <w:iCs/>
          <w:sz w:val="22"/>
          <w:szCs w:val="22"/>
        </w:rPr>
        <w:t xml:space="preserve"> to outrageous violation</w:t>
      </w:r>
      <w:r w:rsidR="007B7880" w:rsidRPr="00A55F3A">
        <w:rPr>
          <w:rStyle w:val="Carpredefinitoparagrafo"/>
          <w:rFonts w:ascii="Garamond" w:hAnsi="Garamond" w:cs="Times New Roman"/>
          <w:iCs/>
          <w:sz w:val="22"/>
          <w:szCs w:val="22"/>
        </w:rPr>
        <w:t>s</w:t>
      </w:r>
      <w:r w:rsidR="00593D4F" w:rsidRPr="00A55F3A">
        <w:rPr>
          <w:rStyle w:val="Carpredefinitoparagrafo"/>
          <w:rFonts w:ascii="Garamond" w:hAnsi="Garamond" w:cs="Times New Roman"/>
          <w:iCs/>
          <w:sz w:val="22"/>
          <w:szCs w:val="22"/>
        </w:rPr>
        <w:t xml:space="preserve"> of rights. </w:t>
      </w:r>
    </w:p>
    <w:p w14:paraId="143BF998" w14:textId="0ED10FCB" w:rsidR="00605CE2" w:rsidRPr="00A55F3A" w:rsidRDefault="00593D4F" w:rsidP="00A55F3A">
      <w:pPr>
        <w:pStyle w:val="Footnote"/>
        <w:spacing w:line="480" w:lineRule="auto"/>
        <w:rPr>
          <w:rFonts w:ascii="Garamond" w:hAnsi="Garamond"/>
          <w:sz w:val="22"/>
          <w:szCs w:val="22"/>
        </w:rPr>
      </w:pPr>
      <w:r w:rsidRPr="00A55F3A">
        <w:rPr>
          <w:rStyle w:val="Carpredefinitoparagrafo"/>
          <w:rFonts w:ascii="Garamond" w:hAnsi="Garamond" w:cs="Times New Roman"/>
          <w:iCs/>
          <w:sz w:val="22"/>
          <w:szCs w:val="22"/>
        </w:rPr>
        <w:t>A civil law practitioner might perceive the adjective ‘outrageous’ as worryingly ambiguous. It could be argued</w:t>
      </w:r>
      <w:r w:rsidR="0006750C" w:rsidRPr="00A55F3A">
        <w:rPr>
          <w:rStyle w:val="Carpredefinitoparagrafo"/>
          <w:rFonts w:ascii="Garamond" w:hAnsi="Garamond" w:cs="Times New Roman"/>
          <w:iCs/>
          <w:sz w:val="22"/>
          <w:szCs w:val="22"/>
        </w:rPr>
        <w:t xml:space="preserve"> </w:t>
      </w:r>
      <w:r w:rsidRPr="00A55F3A">
        <w:rPr>
          <w:rStyle w:val="Carpredefinitoparagrafo"/>
          <w:rFonts w:ascii="Garamond" w:hAnsi="Garamond" w:cs="Times New Roman"/>
          <w:iCs/>
          <w:sz w:val="22"/>
          <w:szCs w:val="22"/>
        </w:rPr>
        <w:t xml:space="preserve">that </w:t>
      </w:r>
      <w:r w:rsidR="0006750C" w:rsidRPr="00A55F3A">
        <w:rPr>
          <w:rStyle w:val="Carpredefinitoparagrafo"/>
          <w:rFonts w:ascii="Garamond" w:hAnsi="Garamond" w:cs="Times New Roman"/>
          <w:iCs/>
          <w:sz w:val="22"/>
          <w:szCs w:val="22"/>
        </w:rPr>
        <w:t xml:space="preserve">allowing </w:t>
      </w:r>
      <w:r w:rsidR="00AE5AD3" w:rsidRPr="00A55F3A">
        <w:rPr>
          <w:rStyle w:val="Carpredefinitoparagrafo"/>
          <w:rFonts w:ascii="Garamond" w:hAnsi="Garamond" w:cs="Times New Roman"/>
          <w:iCs/>
          <w:sz w:val="22"/>
          <w:szCs w:val="22"/>
        </w:rPr>
        <w:t>e</w:t>
      </w:r>
      <w:r w:rsidR="00291400" w:rsidRPr="00A55F3A">
        <w:rPr>
          <w:rStyle w:val="Carpredefinitoparagrafo"/>
          <w:rFonts w:ascii="Garamond" w:hAnsi="Garamond" w:cs="Times New Roman"/>
          <w:iCs/>
          <w:sz w:val="22"/>
          <w:szCs w:val="22"/>
        </w:rPr>
        <w:t>vidence</w:t>
      </w:r>
      <w:r w:rsidR="0006750C" w:rsidRPr="00A55F3A">
        <w:rPr>
          <w:rStyle w:val="Carpredefinitoparagrafo"/>
          <w:rFonts w:ascii="Garamond" w:hAnsi="Garamond" w:cs="Times New Roman"/>
          <w:iCs/>
          <w:sz w:val="22"/>
          <w:szCs w:val="22"/>
        </w:rPr>
        <w:t xml:space="preserve"> that </w:t>
      </w:r>
      <w:r w:rsidR="000D5857" w:rsidRPr="00A55F3A">
        <w:rPr>
          <w:rStyle w:val="Carpredefinitoparagrafo"/>
          <w:rFonts w:ascii="Garamond" w:hAnsi="Garamond" w:cs="Times New Roman"/>
          <w:iCs/>
          <w:sz w:val="22"/>
          <w:szCs w:val="22"/>
        </w:rPr>
        <w:t>is</w:t>
      </w:r>
      <w:r w:rsidR="007B7880" w:rsidRPr="00A55F3A">
        <w:rPr>
          <w:rStyle w:val="Carpredefinitoparagrafo"/>
          <w:rFonts w:ascii="Garamond" w:hAnsi="Garamond" w:cs="Times New Roman"/>
          <w:iCs/>
          <w:sz w:val="22"/>
          <w:szCs w:val="22"/>
        </w:rPr>
        <w:t xml:space="preserve"> </w:t>
      </w:r>
      <w:r w:rsidR="0006750C" w:rsidRPr="00A55F3A">
        <w:rPr>
          <w:rStyle w:val="Carpredefinitoparagrafo"/>
          <w:rFonts w:ascii="Garamond" w:hAnsi="Garamond" w:cs="Times New Roman"/>
          <w:iCs/>
          <w:sz w:val="22"/>
          <w:szCs w:val="22"/>
        </w:rPr>
        <w:t xml:space="preserve">not </w:t>
      </w:r>
      <w:r w:rsidR="00A95D1D" w:rsidRPr="00A55F3A">
        <w:rPr>
          <w:rStyle w:val="Carpredefinitoparagrafo"/>
          <w:rFonts w:ascii="Garamond" w:hAnsi="Garamond" w:cs="Times New Roman"/>
          <w:iCs/>
          <w:sz w:val="22"/>
          <w:szCs w:val="22"/>
        </w:rPr>
        <w:t>linked to</w:t>
      </w:r>
      <w:r w:rsidR="00B50D56" w:rsidRPr="00A55F3A">
        <w:rPr>
          <w:rStyle w:val="Carpredefinitoparagrafo"/>
          <w:rFonts w:ascii="Garamond" w:hAnsi="Garamond" w:cs="Times New Roman"/>
          <w:iCs/>
          <w:sz w:val="22"/>
          <w:szCs w:val="22"/>
        </w:rPr>
        <w:t xml:space="preserve"> </w:t>
      </w:r>
      <w:r w:rsidR="00F60E23" w:rsidRPr="00A55F3A">
        <w:rPr>
          <w:rStyle w:val="Carpredefinitoparagrafo"/>
          <w:rFonts w:ascii="Garamond" w:hAnsi="Garamond" w:cs="Times New Roman"/>
          <w:iCs/>
          <w:sz w:val="22"/>
          <w:szCs w:val="22"/>
        </w:rPr>
        <w:t>an</w:t>
      </w:r>
      <w:r w:rsidR="000D5857" w:rsidRPr="00A55F3A">
        <w:rPr>
          <w:rStyle w:val="Carpredefinitoparagrafo"/>
          <w:rFonts w:ascii="Garamond" w:hAnsi="Garamond" w:cs="Times New Roman"/>
          <w:iCs/>
          <w:sz w:val="22"/>
          <w:szCs w:val="22"/>
        </w:rPr>
        <w:t xml:space="preserve"> </w:t>
      </w:r>
      <w:r w:rsidR="0006750C" w:rsidRPr="00A55F3A">
        <w:rPr>
          <w:rStyle w:val="Carpredefinitoparagrafo"/>
          <w:rFonts w:ascii="Garamond" w:hAnsi="Garamond" w:cs="Times New Roman"/>
          <w:iCs/>
          <w:sz w:val="22"/>
          <w:szCs w:val="22"/>
        </w:rPr>
        <w:t>outrageous violation</w:t>
      </w:r>
      <w:r w:rsidR="00B50D56" w:rsidRPr="00A55F3A">
        <w:rPr>
          <w:rStyle w:val="Carpredefinitoparagrafo"/>
          <w:rFonts w:ascii="Garamond" w:hAnsi="Garamond" w:cs="Times New Roman"/>
          <w:iCs/>
          <w:sz w:val="22"/>
          <w:szCs w:val="22"/>
        </w:rPr>
        <w:t xml:space="preserve"> </w:t>
      </w:r>
      <w:r w:rsidRPr="00A55F3A">
        <w:rPr>
          <w:rStyle w:val="Carpredefinitoparagrafo"/>
          <w:rFonts w:ascii="Garamond" w:hAnsi="Garamond" w:cs="Times New Roman"/>
          <w:iCs/>
          <w:sz w:val="22"/>
          <w:szCs w:val="22"/>
        </w:rPr>
        <w:t xml:space="preserve">might be interpreted in </w:t>
      </w:r>
      <w:r w:rsidR="00DE051E" w:rsidRPr="00A55F3A">
        <w:rPr>
          <w:rStyle w:val="Carpredefinitoparagrafo"/>
          <w:rFonts w:ascii="Garamond" w:hAnsi="Garamond" w:cs="Times New Roman"/>
          <w:iCs/>
          <w:sz w:val="22"/>
          <w:szCs w:val="22"/>
        </w:rPr>
        <w:t xml:space="preserve">a </w:t>
      </w:r>
      <w:r w:rsidRPr="00A55F3A">
        <w:rPr>
          <w:rStyle w:val="Carpredefinitoparagrafo"/>
          <w:rFonts w:ascii="Garamond" w:hAnsi="Garamond" w:cs="Times New Roman"/>
          <w:iCs/>
          <w:sz w:val="22"/>
          <w:szCs w:val="22"/>
        </w:rPr>
        <w:t xml:space="preserve">way that </w:t>
      </w:r>
      <w:r w:rsidR="00A95D1D" w:rsidRPr="00A55F3A">
        <w:rPr>
          <w:rStyle w:val="Carpredefinitoparagrafo"/>
          <w:rFonts w:ascii="Garamond" w:hAnsi="Garamond" w:cs="Times New Roman"/>
          <w:iCs/>
          <w:sz w:val="22"/>
          <w:szCs w:val="22"/>
        </w:rPr>
        <w:t>allow</w:t>
      </w:r>
      <w:r w:rsidR="00A95AD6" w:rsidRPr="00A55F3A">
        <w:rPr>
          <w:rStyle w:val="Carpredefinitoparagrafo"/>
          <w:rFonts w:ascii="Garamond" w:hAnsi="Garamond" w:cs="Times New Roman"/>
          <w:iCs/>
          <w:sz w:val="22"/>
          <w:szCs w:val="22"/>
        </w:rPr>
        <w:t>s</w:t>
      </w:r>
      <w:r w:rsidR="00A95D1D" w:rsidRPr="00A55F3A">
        <w:rPr>
          <w:rStyle w:val="Carpredefinitoparagrafo"/>
          <w:rFonts w:ascii="Garamond" w:hAnsi="Garamond" w:cs="Times New Roman"/>
          <w:iCs/>
          <w:sz w:val="22"/>
          <w:szCs w:val="22"/>
        </w:rPr>
        <w:t xml:space="preserve"> </w:t>
      </w:r>
      <w:r w:rsidR="000D5857" w:rsidRPr="00A55F3A">
        <w:rPr>
          <w:rStyle w:val="Carpredefinitoparagrafo"/>
          <w:rFonts w:ascii="Garamond" w:hAnsi="Garamond" w:cs="Times New Roman"/>
          <w:iCs/>
          <w:sz w:val="22"/>
          <w:szCs w:val="22"/>
        </w:rPr>
        <w:t xml:space="preserve">any  </w:t>
      </w:r>
      <w:r w:rsidR="00291400" w:rsidRPr="00A55F3A">
        <w:rPr>
          <w:rStyle w:val="Carpredefinitoparagrafo"/>
          <w:rFonts w:ascii="Garamond" w:hAnsi="Garamond" w:cs="Times New Roman"/>
          <w:iCs/>
          <w:sz w:val="22"/>
          <w:szCs w:val="22"/>
        </w:rPr>
        <w:t>IOE</w:t>
      </w:r>
      <w:r w:rsidR="00A95D1D" w:rsidRPr="00A55F3A">
        <w:rPr>
          <w:rStyle w:val="Carpredefinitoparagrafo"/>
          <w:rFonts w:ascii="Garamond" w:hAnsi="Garamond" w:cs="Times New Roman"/>
          <w:iCs/>
          <w:sz w:val="22"/>
          <w:szCs w:val="22"/>
        </w:rPr>
        <w:t xml:space="preserve"> short of </w:t>
      </w:r>
      <w:r w:rsidR="000D5857" w:rsidRPr="00A55F3A">
        <w:rPr>
          <w:rStyle w:val="Carpredefinitoparagrafo"/>
          <w:rFonts w:ascii="Garamond" w:hAnsi="Garamond" w:cs="Times New Roman"/>
          <w:iCs/>
          <w:sz w:val="22"/>
          <w:szCs w:val="22"/>
        </w:rPr>
        <w:t xml:space="preserve">that </w:t>
      </w:r>
      <w:r w:rsidR="00B50D56" w:rsidRPr="00A55F3A">
        <w:rPr>
          <w:rStyle w:val="Carpredefinitoparagrafo"/>
          <w:rFonts w:ascii="Garamond" w:hAnsi="Garamond" w:cs="Times New Roman"/>
          <w:iCs/>
          <w:sz w:val="22"/>
          <w:szCs w:val="22"/>
        </w:rPr>
        <w:t xml:space="preserve"> </w:t>
      </w:r>
      <w:r w:rsidR="00A95AD6" w:rsidRPr="00A55F3A">
        <w:rPr>
          <w:rStyle w:val="Carpredefinitoparagrafo"/>
          <w:rFonts w:ascii="Garamond" w:hAnsi="Garamond" w:cs="Times New Roman"/>
          <w:iCs/>
          <w:sz w:val="22"/>
          <w:szCs w:val="22"/>
        </w:rPr>
        <w:t>involving</w:t>
      </w:r>
      <w:r w:rsidR="0006750C" w:rsidRPr="00A55F3A">
        <w:rPr>
          <w:rStyle w:val="Carpredefinitoparagrafo"/>
          <w:rFonts w:ascii="Garamond" w:hAnsi="Garamond" w:cs="Times New Roman"/>
          <w:iCs/>
          <w:sz w:val="22"/>
          <w:szCs w:val="22"/>
        </w:rPr>
        <w:t xml:space="preserve">, for </w:t>
      </w:r>
      <w:r w:rsidR="00A95D1D" w:rsidRPr="00A55F3A">
        <w:rPr>
          <w:rStyle w:val="Carpredefinitoparagrafo"/>
          <w:rFonts w:ascii="Garamond" w:hAnsi="Garamond" w:cs="Times New Roman"/>
          <w:iCs/>
          <w:sz w:val="22"/>
          <w:szCs w:val="22"/>
        </w:rPr>
        <w:t>instance</w:t>
      </w:r>
      <w:r w:rsidR="0006750C" w:rsidRPr="00A55F3A">
        <w:rPr>
          <w:rStyle w:val="Carpredefinitoparagrafo"/>
          <w:rFonts w:ascii="Garamond" w:hAnsi="Garamond" w:cs="Times New Roman"/>
          <w:iCs/>
          <w:sz w:val="22"/>
          <w:szCs w:val="22"/>
        </w:rPr>
        <w:t>,</w:t>
      </w:r>
      <w:r w:rsidR="00B50D56" w:rsidRPr="00A55F3A">
        <w:rPr>
          <w:rStyle w:val="Carpredefinitoparagrafo"/>
          <w:rFonts w:ascii="Garamond" w:hAnsi="Garamond" w:cs="Times New Roman"/>
          <w:iCs/>
          <w:sz w:val="22"/>
          <w:szCs w:val="22"/>
        </w:rPr>
        <w:t xml:space="preserve"> </w:t>
      </w:r>
      <w:r w:rsidRPr="00A55F3A">
        <w:rPr>
          <w:rStyle w:val="Carpredefinitoparagrafo"/>
          <w:rFonts w:ascii="Garamond" w:hAnsi="Garamond" w:cs="Times New Roman"/>
          <w:iCs/>
          <w:sz w:val="22"/>
          <w:szCs w:val="22"/>
        </w:rPr>
        <w:t xml:space="preserve">violence and torture. This interpretation is unfounded. Even before the </w:t>
      </w:r>
      <w:r w:rsidR="00AB5488" w:rsidRPr="00A55F3A">
        <w:rPr>
          <w:rStyle w:val="Carpredefinitoparagrafo"/>
          <w:rFonts w:ascii="Garamond" w:hAnsi="Garamond" w:cs="Times New Roman"/>
          <w:iCs/>
          <w:sz w:val="22"/>
          <w:szCs w:val="22"/>
        </w:rPr>
        <w:t>HRA,</w:t>
      </w:r>
      <w:r w:rsidRPr="00A55F3A">
        <w:rPr>
          <w:rStyle w:val="Carpredefinitoparagrafo"/>
          <w:rFonts w:ascii="Garamond" w:hAnsi="Garamond" w:cs="Times New Roman"/>
          <w:iCs/>
          <w:sz w:val="22"/>
          <w:szCs w:val="22"/>
        </w:rPr>
        <w:t xml:space="preserve"> judges could evaluate the impact of excluding </w:t>
      </w:r>
      <w:r w:rsidR="00F60E23" w:rsidRPr="00A55F3A">
        <w:rPr>
          <w:rStyle w:val="Carpredefinitoparagrafo"/>
          <w:rFonts w:ascii="Garamond" w:hAnsi="Garamond" w:cs="Times New Roman"/>
          <w:iCs/>
          <w:sz w:val="22"/>
          <w:szCs w:val="22"/>
        </w:rPr>
        <w:t>evidence</w:t>
      </w:r>
      <w:r w:rsidRPr="00A55F3A">
        <w:rPr>
          <w:rStyle w:val="Carpredefinitoparagrafo"/>
          <w:rFonts w:ascii="Garamond" w:hAnsi="Garamond" w:cs="Times New Roman"/>
          <w:iCs/>
          <w:sz w:val="22"/>
          <w:szCs w:val="22"/>
        </w:rPr>
        <w:t xml:space="preserve"> against the illegitimacy of the conducts that retrieved </w:t>
      </w:r>
      <w:r w:rsidR="000D5857" w:rsidRPr="00A55F3A">
        <w:rPr>
          <w:rStyle w:val="Carpredefinitoparagrafo"/>
          <w:rFonts w:ascii="Garamond" w:hAnsi="Garamond" w:cs="Times New Roman"/>
          <w:iCs/>
          <w:sz w:val="22"/>
          <w:szCs w:val="22"/>
        </w:rPr>
        <w:t>it</w:t>
      </w:r>
      <w:r w:rsidRPr="00A55F3A">
        <w:rPr>
          <w:rStyle w:val="Carpredefinitoparagrafo"/>
          <w:rFonts w:ascii="Garamond" w:hAnsi="Garamond" w:cs="Times New Roman"/>
          <w:iCs/>
          <w:sz w:val="22"/>
          <w:szCs w:val="22"/>
        </w:rPr>
        <w:t xml:space="preserve">. For instance, in </w:t>
      </w:r>
      <w:r w:rsidRPr="00A55F3A">
        <w:rPr>
          <w:rStyle w:val="Carpredefinitoparagrafo"/>
          <w:rFonts w:ascii="Garamond" w:hAnsi="Garamond" w:cs="Times New Roman"/>
          <w:i/>
          <w:iCs/>
          <w:sz w:val="22"/>
          <w:szCs w:val="22"/>
        </w:rPr>
        <w:t>Marcel</w:t>
      </w:r>
      <w:r w:rsidRPr="00A55F3A">
        <w:rPr>
          <w:rStyle w:val="Carpredefinitoparagrafo"/>
          <w:rFonts w:ascii="Garamond" w:hAnsi="Garamond" w:cs="Times New Roman"/>
          <w:iCs/>
          <w:sz w:val="22"/>
          <w:szCs w:val="22"/>
        </w:rPr>
        <w:t xml:space="preserve"> v </w:t>
      </w:r>
      <w:r w:rsidRPr="00A55F3A">
        <w:rPr>
          <w:rStyle w:val="Carpredefinitoparagrafo"/>
          <w:rFonts w:ascii="Garamond" w:hAnsi="Garamond" w:cs="Times New Roman"/>
          <w:i/>
          <w:iCs/>
          <w:sz w:val="22"/>
          <w:szCs w:val="22"/>
        </w:rPr>
        <w:t>Commissioner of Police for the Metropolis</w:t>
      </w:r>
      <w:r w:rsidR="00EF587E" w:rsidRPr="00A55F3A">
        <w:rPr>
          <w:rStyle w:val="Carpredefinitoparagrafo"/>
          <w:rFonts w:ascii="Garamond" w:hAnsi="Garamond" w:cs="Times New Roman"/>
          <w:iCs/>
          <w:sz w:val="22"/>
          <w:szCs w:val="22"/>
        </w:rPr>
        <w:t>,</w:t>
      </w:r>
      <w:r w:rsidRPr="00A55F3A">
        <w:rPr>
          <w:rStyle w:val="Carpredefinitoparagrafo"/>
          <w:rFonts w:ascii="Garamond" w:hAnsi="Garamond" w:cs="Times New Roman"/>
          <w:iCs/>
          <w:sz w:val="22"/>
          <w:szCs w:val="22"/>
        </w:rPr>
        <w:t xml:space="preserve"> Sir Christopher Slade explained</w:t>
      </w:r>
      <w:r w:rsidR="00EF587E" w:rsidRPr="00A55F3A">
        <w:rPr>
          <w:rStyle w:val="Carpredefinitoparagrafo"/>
          <w:rFonts w:ascii="Garamond" w:hAnsi="Garamond" w:cs="Times New Roman"/>
          <w:iCs/>
          <w:sz w:val="22"/>
          <w:szCs w:val="22"/>
        </w:rPr>
        <w:t xml:space="preserve"> </w:t>
      </w:r>
      <w:r w:rsidRPr="00A55F3A">
        <w:rPr>
          <w:rStyle w:val="Carpredefinitoparagrafo"/>
          <w:rFonts w:ascii="Garamond" w:hAnsi="Garamond" w:cs="Times New Roman"/>
          <w:iCs/>
          <w:sz w:val="22"/>
          <w:szCs w:val="22"/>
        </w:rPr>
        <w:t xml:space="preserve">that judges do have the power to exclude </w:t>
      </w:r>
      <w:r w:rsidR="00AE5AD3" w:rsidRPr="00A55F3A">
        <w:rPr>
          <w:rStyle w:val="Carpredefinitoparagrafo"/>
          <w:rFonts w:ascii="Garamond" w:hAnsi="Garamond" w:cs="Times New Roman"/>
          <w:iCs/>
          <w:sz w:val="22"/>
          <w:szCs w:val="22"/>
        </w:rPr>
        <w:t>e</w:t>
      </w:r>
      <w:r w:rsidR="00291400" w:rsidRPr="00A55F3A">
        <w:rPr>
          <w:rStyle w:val="Carpredefinitoparagrafo"/>
          <w:rFonts w:ascii="Garamond" w:hAnsi="Garamond" w:cs="Times New Roman"/>
          <w:iCs/>
          <w:sz w:val="22"/>
          <w:szCs w:val="22"/>
        </w:rPr>
        <w:t>vidence</w:t>
      </w:r>
      <w:r w:rsidRPr="00A55F3A">
        <w:rPr>
          <w:rStyle w:val="Carpredefinitoparagrafo"/>
          <w:rFonts w:ascii="Garamond" w:hAnsi="Garamond" w:cs="Times New Roman"/>
          <w:iCs/>
          <w:sz w:val="22"/>
          <w:szCs w:val="22"/>
        </w:rPr>
        <w:t xml:space="preserve"> from civil cases obtained without consideration of justice and public interest.</w:t>
      </w:r>
      <w:r w:rsidRPr="00A55F3A">
        <w:rPr>
          <w:rStyle w:val="FootnoteReference"/>
          <w:rFonts w:ascii="Garamond" w:hAnsi="Garamond"/>
          <w:iCs/>
          <w:sz w:val="22"/>
          <w:szCs w:val="22"/>
        </w:rPr>
        <w:footnoteReference w:id="40"/>
      </w:r>
      <w:r w:rsidRPr="00A55F3A">
        <w:rPr>
          <w:rStyle w:val="Carpredefinitoparagrafo"/>
          <w:rFonts w:ascii="Garamond" w:hAnsi="Garamond" w:cs="Times New Roman"/>
          <w:iCs/>
          <w:sz w:val="22"/>
          <w:szCs w:val="22"/>
        </w:rPr>
        <w:t xml:space="preserve"> </w:t>
      </w:r>
    </w:p>
    <w:p w14:paraId="034128C4" w14:textId="0B54E28F" w:rsidR="00605CE2" w:rsidRPr="00A55F3A" w:rsidRDefault="00593D4F" w:rsidP="00A55F3A">
      <w:pPr>
        <w:pStyle w:val="Footnote"/>
        <w:spacing w:line="480" w:lineRule="auto"/>
        <w:rPr>
          <w:rFonts w:ascii="Garamond" w:hAnsi="Garamond"/>
          <w:sz w:val="22"/>
          <w:szCs w:val="22"/>
        </w:rPr>
      </w:pPr>
      <w:r w:rsidRPr="00A55F3A">
        <w:rPr>
          <w:rStyle w:val="Carpredefinitoparagrafo"/>
          <w:rFonts w:ascii="Garamond" w:hAnsi="Garamond" w:cs="Times New Roman"/>
          <w:iCs/>
          <w:sz w:val="22"/>
          <w:szCs w:val="22"/>
        </w:rPr>
        <w:t xml:space="preserve"> </w:t>
      </w:r>
      <w:r w:rsidR="0096353D" w:rsidRPr="00A55F3A">
        <w:rPr>
          <w:rStyle w:val="Carpredefinitoparagrafo"/>
          <w:rFonts w:ascii="Garamond" w:hAnsi="Garamond" w:cs="Times New Roman"/>
          <w:iCs/>
          <w:sz w:val="22"/>
          <w:szCs w:val="22"/>
        </w:rPr>
        <w:t xml:space="preserve">A more appropriate </w:t>
      </w:r>
      <w:r w:rsidR="00EF587E" w:rsidRPr="00A55F3A">
        <w:rPr>
          <w:rStyle w:val="Carpredefinitoparagrafo"/>
          <w:rFonts w:ascii="Garamond" w:hAnsi="Garamond" w:cs="Times New Roman"/>
          <w:iCs/>
          <w:sz w:val="22"/>
          <w:szCs w:val="22"/>
        </w:rPr>
        <w:t>reading of the ‘outrageous</w:t>
      </w:r>
      <w:r w:rsidR="003567BF" w:rsidRPr="00A55F3A">
        <w:rPr>
          <w:rStyle w:val="Carpredefinitoparagrafo"/>
          <w:rFonts w:ascii="Garamond" w:hAnsi="Garamond" w:cs="Times New Roman"/>
          <w:iCs/>
          <w:sz w:val="22"/>
          <w:szCs w:val="22"/>
        </w:rPr>
        <w:t xml:space="preserve"> </w:t>
      </w:r>
      <w:r w:rsidR="00EF587E" w:rsidRPr="00A55F3A">
        <w:rPr>
          <w:rStyle w:val="Carpredefinitoparagrafo"/>
          <w:rFonts w:ascii="Garamond" w:hAnsi="Garamond" w:cs="Times New Roman"/>
          <w:iCs/>
          <w:sz w:val="22"/>
          <w:szCs w:val="22"/>
        </w:rPr>
        <w:t>violation criterion’</w:t>
      </w:r>
      <w:r w:rsidR="003567BF" w:rsidRPr="00A55F3A">
        <w:rPr>
          <w:rStyle w:val="Carpredefinitoparagrafo"/>
          <w:rFonts w:ascii="Garamond" w:hAnsi="Garamond" w:cs="Times New Roman"/>
          <w:iCs/>
          <w:sz w:val="22"/>
          <w:szCs w:val="22"/>
        </w:rPr>
        <w:t xml:space="preserve"> </w:t>
      </w:r>
      <w:r w:rsidR="00F453DB" w:rsidRPr="00A55F3A">
        <w:rPr>
          <w:rStyle w:val="Carpredefinitoparagrafo"/>
          <w:rFonts w:ascii="Garamond" w:hAnsi="Garamond" w:cs="Times New Roman"/>
          <w:iCs/>
          <w:sz w:val="22"/>
          <w:szCs w:val="22"/>
        </w:rPr>
        <w:t xml:space="preserve"> </w:t>
      </w:r>
      <w:r w:rsidR="00F60E23" w:rsidRPr="00A55F3A">
        <w:rPr>
          <w:rStyle w:val="Carpredefinitoparagrafo"/>
          <w:rFonts w:ascii="Garamond" w:hAnsi="Garamond" w:cs="Times New Roman"/>
          <w:iCs/>
          <w:sz w:val="22"/>
          <w:szCs w:val="22"/>
        </w:rPr>
        <w:t>interprets</w:t>
      </w:r>
      <w:r w:rsidR="00F453DB" w:rsidRPr="00A55F3A">
        <w:rPr>
          <w:rStyle w:val="Carpredefinitoparagrafo"/>
          <w:rFonts w:ascii="Garamond" w:hAnsi="Garamond" w:cs="Times New Roman"/>
          <w:iCs/>
          <w:sz w:val="22"/>
          <w:szCs w:val="22"/>
        </w:rPr>
        <w:t xml:space="preserve"> it as: the judicial task of </w:t>
      </w:r>
      <w:r w:rsidR="003567BF" w:rsidRPr="00A55F3A">
        <w:rPr>
          <w:rStyle w:val="Carpredefinitoparagrafo"/>
          <w:rFonts w:ascii="Garamond" w:hAnsi="Garamond" w:cs="Times New Roman"/>
          <w:iCs/>
          <w:sz w:val="22"/>
          <w:szCs w:val="22"/>
        </w:rPr>
        <w:t xml:space="preserve"> </w:t>
      </w:r>
      <w:r w:rsidRPr="00A55F3A">
        <w:rPr>
          <w:rStyle w:val="Carpredefinitoparagrafo"/>
          <w:rFonts w:ascii="Garamond" w:hAnsi="Garamond" w:cs="Times New Roman"/>
          <w:iCs/>
          <w:sz w:val="22"/>
          <w:szCs w:val="22"/>
        </w:rPr>
        <w:t xml:space="preserve">balancing the need of </w:t>
      </w:r>
      <w:r w:rsidR="00AB5488" w:rsidRPr="00A55F3A">
        <w:rPr>
          <w:rStyle w:val="Carpredefinitoparagrafo"/>
          <w:rFonts w:ascii="Garamond" w:hAnsi="Garamond" w:cs="Times New Roman"/>
          <w:iCs/>
          <w:sz w:val="22"/>
          <w:szCs w:val="22"/>
        </w:rPr>
        <w:t>an</w:t>
      </w:r>
      <w:r w:rsidRPr="00A55F3A">
        <w:rPr>
          <w:rStyle w:val="Carpredefinitoparagrafo"/>
          <w:rFonts w:ascii="Garamond" w:hAnsi="Garamond" w:cs="Times New Roman"/>
          <w:iCs/>
          <w:sz w:val="22"/>
          <w:szCs w:val="22"/>
        </w:rPr>
        <w:t xml:space="preserve"> objective reconstruction of the facts and the protection of justice. For instance</w:t>
      </w:r>
      <w:r w:rsidR="00AB27CF" w:rsidRPr="00A55F3A">
        <w:rPr>
          <w:rStyle w:val="Carpredefinitoparagrafo"/>
          <w:rFonts w:ascii="Garamond" w:hAnsi="Garamond" w:cs="Times New Roman"/>
          <w:iCs/>
          <w:sz w:val="22"/>
          <w:szCs w:val="22"/>
        </w:rPr>
        <w:t>,</w:t>
      </w:r>
      <w:r w:rsidRPr="00A55F3A">
        <w:rPr>
          <w:rStyle w:val="Carpredefinitoparagrafo"/>
          <w:rFonts w:ascii="Garamond" w:hAnsi="Garamond" w:cs="Times New Roman"/>
          <w:iCs/>
          <w:sz w:val="22"/>
          <w:szCs w:val="22"/>
        </w:rPr>
        <w:t xml:space="preserve"> the judge</w:t>
      </w:r>
      <w:r w:rsidR="00DE051E" w:rsidRPr="00A55F3A">
        <w:rPr>
          <w:rStyle w:val="Carpredefinitoparagrafo"/>
          <w:rFonts w:ascii="Garamond" w:hAnsi="Garamond" w:cs="Times New Roman"/>
          <w:iCs/>
          <w:sz w:val="22"/>
          <w:szCs w:val="22"/>
        </w:rPr>
        <w:t>,</w:t>
      </w:r>
      <w:r w:rsidRPr="00A55F3A">
        <w:rPr>
          <w:rStyle w:val="Carpredefinitoparagrafo"/>
          <w:rFonts w:ascii="Garamond" w:hAnsi="Garamond" w:cs="Times New Roman"/>
          <w:iCs/>
          <w:sz w:val="22"/>
          <w:szCs w:val="22"/>
        </w:rPr>
        <w:t xml:space="preserve"> in unloading the tasks set in Rule </w:t>
      </w:r>
      <w:r w:rsidR="00584F92" w:rsidRPr="00A55F3A">
        <w:rPr>
          <w:rStyle w:val="Carpredefinitoparagrafo"/>
          <w:rFonts w:ascii="Garamond" w:hAnsi="Garamond" w:cs="Times New Roman"/>
          <w:iCs/>
          <w:sz w:val="22"/>
          <w:szCs w:val="22"/>
        </w:rPr>
        <w:t>32</w:t>
      </w:r>
      <w:r w:rsidR="00406951" w:rsidRPr="00A55F3A">
        <w:rPr>
          <w:rStyle w:val="Carpredefinitoparagrafo"/>
          <w:rFonts w:ascii="Garamond" w:hAnsi="Garamond" w:cs="Times New Roman"/>
          <w:iCs/>
          <w:sz w:val="22"/>
          <w:szCs w:val="22"/>
        </w:rPr>
        <w:t>.1</w:t>
      </w:r>
      <w:r w:rsidR="00584F92" w:rsidRPr="00A55F3A">
        <w:rPr>
          <w:rStyle w:val="Carpredefinitoparagrafo"/>
          <w:rFonts w:ascii="Garamond" w:hAnsi="Garamond" w:cs="Times New Roman"/>
          <w:iCs/>
          <w:sz w:val="22"/>
          <w:szCs w:val="22"/>
        </w:rPr>
        <w:t xml:space="preserve"> (1)</w:t>
      </w:r>
      <w:r w:rsidR="006746D2" w:rsidRPr="00A55F3A">
        <w:rPr>
          <w:rStyle w:val="Carpredefinitoparagrafo"/>
          <w:rFonts w:ascii="Garamond" w:hAnsi="Garamond" w:cs="Times New Roman"/>
          <w:iCs/>
          <w:sz w:val="22"/>
          <w:szCs w:val="22"/>
        </w:rPr>
        <w:t>,</w:t>
      </w:r>
      <w:r w:rsidRPr="00A55F3A">
        <w:rPr>
          <w:rStyle w:val="Carpredefinitoparagrafo"/>
          <w:rFonts w:ascii="Garamond" w:hAnsi="Garamond" w:cs="Times New Roman"/>
          <w:iCs/>
          <w:sz w:val="22"/>
          <w:szCs w:val="22"/>
        </w:rPr>
        <w:t xml:space="preserve"> should consider, firstly, whether the activities that yield the contested </w:t>
      </w:r>
      <w:r w:rsidR="000D5857" w:rsidRPr="00A55F3A">
        <w:rPr>
          <w:rStyle w:val="Carpredefinitoparagrafo"/>
          <w:rFonts w:ascii="Garamond" w:hAnsi="Garamond" w:cs="Times New Roman"/>
          <w:iCs/>
          <w:sz w:val="22"/>
          <w:szCs w:val="22"/>
        </w:rPr>
        <w:t>e</w:t>
      </w:r>
      <w:r w:rsidR="00291400" w:rsidRPr="00A55F3A">
        <w:rPr>
          <w:rStyle w:val="Carpredefinitoparagrafo"/>
          <w:rFonts w:ascii="Garamond" w:hAnsi="Garamond" w:cs="Times New Roman"/>
          <w:iCs/>
          <w:sz w:val="22"/>
          <w:szCs w:val="22"/>
        </w:rPr>
        <w:t>vidence</w:t>
      </w:r>
      <w:r w:rsidRPr="00A55F3A">
        <w:rPr>
          <w:rStyle w:val="Carpredefinitoparagrafo"/>
          <w:rFonts w:ascii="Garamond" w:hAnsi="Garamond" w:cs="Times New Roman"/>
          <w:iCs/>
          <w:sz w:val="22"/>
          <w:szCs w:val="22"/>
        </w:rPr>
        <w:t xml:space="preserve"> ha</w:t>
      </w:r>
      <w:r w:rsidR="00DE051E" w:rsidRPr="00A55F3A">
        <w:rPr>
          <w:rStyle w:val="Carpredefinitoparagrafo"/>
          <w:rFonts w:ascii="Garamond" w:hAnsi="Garamond" w:cs="Times New Roman"/>
          <w:iCs/>
          <w:sz w:val="22"/>
          <w:szCs w:val="22"/>
        </w:rPr>
        <w:t>d</w:t>
      </w:r>
      <w:r w:rsidRPr="00A55F3A">
        <w:rPr>
          <w:rStyle w:val="Carpredefinitoparagrafo"/>
          <w:rFonts w:ascii="Garamond" w:hAnsi="Garamond" w:cs="Times New Roman"/>
          <w:iCs/>
          <w:color w:val="FF0000"/>
          <w:sz w:val="22"/>
          <w:szCs w:val="22"/>
        </w:rPr>
        <w:t xml:space="preserve"> </w:t>
      </w:r>
      <w:r w:rsidRPr="00A55F3A">
        <w:rPr>
          <w:rStyle w:val="Carpredefinitoparagrafo"/>
          <w:rFonts w:ascii="Garamond" w:hAnsi="Garamond" w:cs="Times New Roman"/>
          <w:iCs/>
          <w:sz w:val="22"/>
          <w:szCs w:val="22"/>
        </w:rPr>
        <w:t xml:space="preserve">engaged some specific articles of the ECHR (and the jurisprudence of the ECtHR). </w:t>
      </w:r>
      <w:r w:rsidR="00AB5488" w:rsidRPr="00A55F3A">
        <w:rPr>
          <w:rStyle w:val="Carpredefinitoparagrafo"/>
          <w:rFonts w:ascii="Garamond" w:hAnsi="Garamond" w:cs="Times New Roman"/>
          <w:iCs/>
          <w:sz w:val="22"/>
          <w:szCs w:val="22"/>
        </w:rPr>
        <w:t>Secondly, if the result of the first activity result</w:t>
      </w:r>
      <w:r w:rsidR="00A95D1D" w:rsidRPr="00A55F3A">
        <w:rPr>
          <w:rStyle w:val="Carpredefinitoparagrafo"/>
          <w:rFonts w:ascii="Garamond" w:hAnsi="Garamond" w:cs="Times New Roman"/>
          <w:iCs/>
          <w:sz w:val="22"/>
          <w:szCs w:val="22"/>
        </w:rPr>
        <w:t>ed</w:t>
      </w:r>
      <w:r w:rsidR="00AB5488" w:rsidRPr="00A55F3A">
        <w:rPr>
          <w:rStyle w:val="Carpredefinitoparagrafo"/>
          <w:rFonts w:ascii="Garamond" w:hAnsi="Garamond" w:cs="Times New Roman"/>
          <w:iCs/>
          <w:sz w:val="22"/>
          <w:szCs w:val="22"/>
        </w:rPr>
        <w:t xml:space="preserve"> in a </w:t>
      </w:r>
      <w:r w:rsidR="0096353D" w:rsidRPr="00A55F3A">
        <w:rPr>
          <w:rStyle w:val="Carpredefinitoparagrafo"/>
          <w:rFonts w:ascii="Garamond" w:hAnsi="Garamond" w:cs="Times New Roman"/>
          <w:iCs/>
          <w:sz w:val="22"/>
          <w:szCs w:val="22"/>
        </w:rPr>
        <w:t>negative</w:t>
      </w:r>
      <w:r w:rsidR="00AB5488" w:rsidRPr="00A55F3A">
        <w:rPr>
          <w:rStyle w:val="Carpredefinitoparagrafo"/>
          <w:rFonts w:ascii="Garamond" w:hAnsi="Garamond" w:cs="Times New Roman"/>
          <w:iCs/>
          <w:sz w:val="22"/>
          <w:szCs w:val="22"/>
        </w:rPr>
        <w:t xml:space="preserve"> response, the court should</w:t>
      </w:r>
      <w:r w:rsidR="00DE051E" w:rsidRPr="00A55F3A">
        <w:rPr>
          <w:rStyle w:val="Carpredefinitoparagrafo"/>
          <w:rFonts w:ascii="Garamond" w:hAnsi="Garamond" w:cs="Times New Roman"/>
          <w:iCs/>
          <w:sz w:val="22"/>
          <w:szCs w:val="22"/>
        </w:rPr>
        <w:t xml:space="preserve"> </w:t>
      </w:r>
      <w:r w:rsidR="00AB5488" w:rsidRPr="00A55F3A">
        <w:rPr>
          <w:rStyle w:val="Carpredefinitoparagrafo"/>
          <w:rFonts w:ascii="Garamond" w:hAnsi="Garamond" w:cs="Times New Roman"/>
          <w:iCs/>
          <w:sz w:val="22"/>
          <w:szCs w:val="22"/>
        </w:rPr>
        <w:t>balance</w:t>
      </w:r>
      <w:r w:rsidR="003567BF" w:rsidRPr="00A55F3A">
        <w:rPr>
          <w:rStyle w:val="Carpredefinitoparagrafo"/>
          <w:rFonts w:ascii="Garamond" w:hAnsi="Garamond" w:cs="Times New Roman"/>
          <w:iCs/>
          <w:sz w:val="22"/>
          <w:szCs w:val="22"/>
        </w:rPr>
        <w:t xml:space="preserve"> </w:t>
      </w:r>
      <w:r w:rsidR="00AB5488" w:rsidRPr="00A55F3A">
        <w:rPr>
          <w:rStyle w:val="Carpredefinitoparagrafo"/>
          <w:rFonts w:ascii="Garamond" w:hAnsi="Garamond" w:cs="Times New Roman"/>
          <w:iCs/>
          <w:sz w:val="22"/>
          <w:szCs w:val="22"/>
        </w:rPr>
        <w:t>the violation of a protected right</w:t>
      </w:r>
      <w:r w:rsidR="006746D2" w:rsidRPr="00A55F3A">
        <w:rPr>
          <w:rStyle w:val="Carpredefinitoparagrafo"/>
          <w:rFonts w:ascii="Garamond" w:hAnsi="Garamond" w:cs="Times New Roman"/>
          <w:iCs/>
          <w:sz w:val="22"/>
          <w:szCs w:val="22"/>
        </w:rPr>
        <w:t>(s)</w:t>
      </w:r>
      <w:r w:rsidR="00AB5488" w:rsidRPr="00A55F3A">
        <w:rPr>
          <w:rStyle w:val="Carpredefinitoparagrafo"/>
          <w:rFonts w:ascii="Garamond" w:hAnsi="Garamond" w:cs="Times New Roman"/>
          <w:iCs/>
          <w:sz w:val="22"/>
          <w:szCs w:val="22"/>
        </w:rPr>
        <w:t xml:space="preserve">, with the effects of excluding the </w:t>
      </w:r>
      <w:r w:rsidR="00AE5AD3" w:rsidRPr="00A55F3A">
        <w:rPr>
          <w:rStyle w:val="Carpredefinitoparagrafo"/>
          <w:rFonts w:ascii="Garamond" w:hAnsi="Garamond" w:cs="Times New Roman"/>
          <w:iCs/>
          <w:sz w:val="22"/>
          <w:szCs w:val="22"/>
        </w:rPr>
        <w:t>e</w:t>
      </w:r>
      <w:r w:rsidR="00291400" w:rsidRPr="00A55F3A">
        <w:rPr>
          <w:rStyle w:val="Carpredefinitoparagrafo"/>
          <w:rFonts w:ascii="Garamond" w:hAnsi="Garamond" w:cs="Times New Roman"/>
          <w:iCs/>
          <w:sz w:val="22"/>
          <w:szCs w:val="22"/>
        </w:rPr>
        <w:t>vidence</w:t>
      </w:r>
      <w:r w:rsidR="00AB5488" w:rsidRPr="00A55F3A">
        <w:rPr>
          <w:rStyle w:val="Carpredefinitoparagrafo"/>
          <w:rFonts w:ascii="Garamond" w:hAnsi="Garamond" w:cs="Times New Roman"/>
          <w:iCs/>
          <w:sz w:val="22"/>
          <w:szCs w:val="22"/>
        </w:rPr>
        <w:t xml:space="preserve"> </w:t>
      </w:r>
      <w:r w:rsidR="006746D2" w:rsidRPr="00A55F3A">
        <w:rPr>
          <w:rStyle w:val="Carpredefinitoparagrafo"/>
          <w:rFonts w:ascii="Garamond" w:hAnsi="Garamond" w:cs="Times New Roman"/>
          <w:iCs/>
          <w:sz w:val="22"/>
          <w:szCs w:val="22"/>
        </w:rPr>
        <w:t>(</w:t>
      </w:r>
      <w:r w:rsidR="00AB5488" w:rsidRPr="00A55F3A">
        <w:rPr>
          <w:rStyle w:val="Carpredefinitoparagrafo"/>
          <w:rFonts w:ascii="Garamond" w:hAnsi="Garamond" w:cs="Times New Roman"/>
          <w:iCs/>
          <w:sz w:val="22"/>
          <w:szCs w:val="22"/>
        </w:rPr>
        <w:t>which were connected with the improper conduct</w:t>
      </w:r>
      <w:r w:rsidR="006746D2" w:rsidRPr="00A55F3A">
        <w:rPr>
          <w:rStyle w:val="Carpredefinitoparagrafo"/>
          <w:rFonts w:ascii="Garamond" w:hAnsi="Garamond" w:cs="Times New Roman"/>
          <w:iCs/>
          <w:sz w:val="22"/>
          <w:szCs w:val="22"/>
        </w:rPr>
        <w:t>)</w:t>
      </w:r>
      <w:r w:rsidR="00AB5488" w:rsidRPr="00A55F3A">
        <w:rPr>
          <w:rStyle w:val="Carpredefinitoparagrafo"/>
          <w:rFonts w:ascii="Garamond" w:hAnsi="Garamond" w:cs="Times New Roman"/>
          <w:iCs/>
          <w:sz w:val="22"/>
          <w:szCs w:val="22"/>
        </w:rPr>
        <w:t xml:space="preserve">. </w:t>
      </w:r>
    </w:p>
    <w:p w14:paraId="7454DA28" w14:textId="33F74CA5" w:rsidR="00605CE2" w:rsidRPr="00A55F3A" w:rsidRDefault="00593D4F" w:rsidP="00A55F3A">
      <w:pPr>
        <w:pStyle w:val="Footnote"/>
        <w:spacing w:line="480" w:lineRule="auto"/>
        <w:rPr>
          <w:rFonts w:ascii="Garamond" w:hAnsi="Garamond"/>
          <w:sz w:val="22"/>
          <w:szCs w:val="22"/>
        </w:rPr>
      </w:pPr>
      <w:r w:rsidRPr="00A55F3A">
        <w:rPr>
          <w:rFonts w:ascii="Garamond" w:hAnsi="Garamond"/>
          <w:sz w:val="22"/>
          <w:szCs w:val="22"/>
        </w:rPr>
        <w:t xml:space="preserve"> The case </w:t>
      </w:r>
      <w:r w:rsidR="003711AD" w:rsidRPr="00A55F3A">
        <w:rPr>
          <w:rFonts w:ascii="Garamond" w:hAnsi="Garamond"/>
          <w:i/>
          <w:sz w:val="22"/>
          <w:szCs w:val="22"/>
        </w:rPr>
        <w:t>Lifely</w:t>
      </w:r>
      <w:r w:rsidR="00C10272" w:rsidRPr="00A55F3A">
        <w:rPr>
          <w:rFonts w:ascii="Garamond" w:hAnsi="Garamond"/>
          <w:sz w:val="22"/>
          <w:szCs w:val="22"/>
        </w:rPr>
        <w:t xml:space="preserve"> v </w:t>
      </w:r>
      <w:r w:rsidR="003711AD" w:rsidRPr="00A55F3A">
        <w:rPr>
          <w:rFonts w:ascii="Garamond" w:hAnsi="Garamond"/>
          <w:i/>
          <w:sz w:val="22"/>
          <w:szCs w:val="22"/>
        </w:rPr>
        <w:t>Lifely</w:t>
      </w:r>
      <w:r w:rsidRPr="00A55F3A">
        <w:rPr>
          <w:rFonts w:ascii="Garamond" w:hAnsi="Garamond"/>
          <w:sz w:val="22"/>
          <w:szCs w:val="22"/>
        </w:rPr>
        <w:t xml:space="preserve"> </w:t>
      </w:r>
      <w:r w:rsidR="00DE051E" w:rsidRPr="00A55F3A">
        <w:rPr>
          <w:rFonts w:ascii="Garamond" w:hAnsi="Garamond"/>
          <w:sz w:val="22"/>
          <w:szCs w:val="22"/>
        </w:rPr>
        <w:t>confirmed the</w:t>
      </w:r>
      <w:r w:rsidRPr="00A55F3A">
        <w:rPr>
          <w:rFonts w:ascii="Garamond" w:hAnsi="Garamond"/>
          <w:sz w:val="22"/>
          <w:szCs w:val="22"/>
        </w:rPr>
        <w:t xml:space="preserve"> </w:t>
      </w:r>
      <w:r w:rsidR="001B5744" w:rsidRPr="00A55F3A">
        <w:rPr>
          <w:rFonts w:ascii="Garamond" w:hAnsi="Garamond"/>
          <w:sz w:val="22"/>
          <w:szCs w:val="22"/>
        </w:rPr>
        <w:t xml:space="preserve">requirement of </w:t>
      </w:r>
      <w:r w:rsidR="00DE051E" w:rsidRPr="00A55F3A">
        <w:rPr>
          <w:rFonts w:ascii="Garamond" w:hAnsi="Garamond"/>
          <w:sz w:val="22"/>
          <w:szCs w:val="22"/>
        </w:rPr>
        <w:t>the</w:t>
      </w:r>
      <w:r w:rsidRPr="00A55F3A">
        <w:rPr>
          <w:rFonts w:ascii="Garamond" w:hAnsi="Garamond"/>
          <w:sz w:val="22"/>
          <w:szCs w:val="22"/>
        </w:rPr>
        <w:t xml:space="preserve"> two stages procedure</w:t>
      </w:r>
      <w:r w:rsidR="001B5744" w:rsidRPr="00A55F3A">
        <w:rPr>
          <w:rFonts w:ascii="Garamond" w:hAnsi="Garamond"/>
          <w:sz w:val="22"/>
          <w:szCs w:val="22"/>
        </w:rPr>
        <w:t xml:space="preserve"> set in </w:t>
      </w:r>
      <w:r w:rsidR="003711AD" w:rsidRPr="00A55F3A">
        <w:rPr>
          <w:rFonts w:ascii="Garamond" w:hAnsi="Garamond"/>
          <w:i/>
          <w:sz w:val="22"/>
          <w:szCs w:val="22"/>
        </w:rPr>
        <w:t>Jones</w:t>
      </w:r>
      <w:r w:rsidR="00C10272" w:rsidRPr="00A55F3A">
        <w:rPr>
          <w:rFonts w:ascii="Garamond" w:hAnsi="Garamond"/>
          <w:sz w:val="22"/>
          <w:szCs w:val="22"/>
        </w:rPr>
        <w:t xml:space="preserve"> v </w:t>
      </w:r>
      <w:r w:rsidR="003711AD" w:rsidRPr="00A55F3A">
        <w:rPr>
          <w:rFonts w:ascii="Garamond" w:hAnsi="Garamond"/>
          <w:i/>
          <w:sz w:val="22"/>
          <w:szCs w:val="22"/>
        </w:rPr>
        <w:t>University of Warwick</w:t>
      </w:r>
      <w:r w:rsidRPr="00A55F3A">
        <w:rPr>
          <w:rFonts w:ascii="Garamond" w:hAnsi="Garamond"/>
          <w:sz w:val="22"/>
          <w:szCs w:val="22"/>
        </w:rPr>
        <w:t>.</w:t>
      </w:r>
      <w:r w:rsidRPr="00A55F3A">
        <w:rPr>
          <w:rStyle w:val="FootnoteReference"/>
          <w:rFonts w:ascii="Garamond" w:hAnsi="Garamond"/>
          <w:sz w:val="22"/>
          <w:szCs w:val="22"/>
        </w:rPr>
        <w:footnoteReference w:id="41"/>
      </w:r>
      <w:r w:rsidRPr="00A55F3A">
        <w:rPr>
          <w:rFonts w:ascii="Garamond" w:hAnsi="Garamond"/>
          <w:sz w:val="22"/>
          <w:szCs w:val="22"/>
        </w:rPr>
        <w:t xml:space="preserve"> The ancillary issue </w:t>
      </w:r>
      <w:r w:rsidRPr="00A55F3A">
        <w:rPr>
          <w:rStyle w:val="Carpredefinitoparagrafo"/>
          <w:rFonts w:ascii="Garamond" w:hAnsi="Garamond" w:cs="Times New Roman"/>
          <w:iCs/>
          <w:sz w:val="22"/>
          <w:szCs w:val="22"/>
        </w:rPr>
        <w:t xml:space="preserve">in </w:t>
      </w:r>
      <w:r w:rsidR="003711AD" w:rsidRPr="00A55F3A">
        <w:rPr>
          <w:rFonts w:ascii="Garamond" w:hAnsi="Garamond"/>
          <w:i/>
          <w:sz w:val="22"/>
          <w:szCs w:val="22"/>
        </w:rPr>
        <w:t>Lifely</w:t>
      </w:r>
      <w:r w:rsidR="00C10272" w:rsidRPr="00A55F3A">
        <w:rPr>
          <w:rFonts w:ascii="Garamond" w:hAnsi="Garamond"/>
          <w:sz w:val="22"/>
          <w:szCs w:val="22"/>
        </w:rPr>
        <w:t xml:space="preserve"> v </w:t>
      </w:r>
      <w:r w:rsidR="003711AD" w:rsidRPr="00A55F3A">
        <w:rPr>
          <w:rFonts w:ascii="Garamond" w:hAnsi="Garamond"/>
          <w:i/>
          <w:sz w:val="22"/>
          <w:szCs w:val="22"/>
        </w:rPr>
        <w:t>Lifely</w:t>
      </w:r>
      <w:r w:rsidRPr="00A55F3A">
        <w:rPr>
          <w:rFonts w:ascii="Garamond" w:hAnsi="Garamond"/>
          <w:sz w:val="22"/>
          <w:szCs w:val="22"/>
        </w:rPr>
        <w:t xml:space="preserve"> hinged on the admissibility of a series of ent</w:t>
      </w:r>
      <w:r w:rsidR="00EF587E" w:rsidRPr="00A55F3A">
        <w:rPr>
          <w:rFonts w:ascii="Garamond" w:hAnsi="Garamond"/>
          <w:sz w:val="22"/>
          <w:szCs w:val="22"/>
        </w:rPr>
        <w:t>ries in a personal diary that</w:t>
      </w:r>
      <w:r w:rsidR="003567BF" w:rsidRPr="00A55F3A">
        <w:rPr>
          <w:rFonts w:ascii="Garamond" w:hAnsi="Garamond"/>
          <w:sz w:val="22"/>
          <w:szCs w:val="22"/>
        </w:rPr>
        <w:t xml:space="preserve"> </w:t>
      </w:r>
      <w:r w:rsidRPr="00A55F3A">
        <w:rPr>
          <w:rFonts w:ascii="Garamond" w:hAnsi="Garamond"/>
          <w:sz w:val="22"/>
          <w:szCs w:val="22"/>
        </w:rPr>
        <w:t xml:space="preserve">would have changed the criteria of allocation of a family inheritance. In reporting to the court, Lord Ward conceived that the diary was retrieved in a way that might have engaged article 8 of the </w:t>
      </w:r>
      <w:r w:rsidR="00EF587E" w:rsidRPr="00A55F3A">
        <w:rPr>
          <w:rFonts w:ascii="Garamond" w:hAnsi="Garamond"/>
          <w:sz w:val="22"/>
          <w:szCs w:val="22"/>
        </w:rPr>
        <w:t>E</w:t>
      </w:r>
      <w:r w:rsidRPr="00A55F3A">
        <w:rPr>
          <w:rFonts w:ascii="Garamond" w:hAnsi="Garamond"/>
          <w:sz w:val="22"/>
          <w:szCs w:val="22"/>
        </w:rPr>
        <w:t>CHR.</w:t>
      </w:r>
      <w:r w:rsidRPr="00A55F3A">
        <w:rPr>
          <w:rStyle w:val="FootnoteReference"/>
          <w:rFonts w:ascii="Garamond" w:hAnsi="Garamond"/>
          <w:sz w:val="22"/>
          <w:szCs w:val="22"/>
        </w:rPr>
        <w:footnoteReference w:id="42"/>
      </w:r>
      <w:r w:rsidRPr="00A55F3A">
        <w:rPr>
          <w:rFonts w:ascii="Garamond" w:hAnsi="Garamond"/>
          <w:sz w:val="22"/>
          <w:szCs w:val="22"/>
        </w:rPr>
        <w:t xml:space="preserve"> However, </w:t>
      </w:r>
      <w:r w:rsidR="006746D2" w:rsidRPr="00A55F3A">
        <w:rPr>
          <w:rFonts w:ascii="Garamond" w:hAnsi="Garamond"/>
          <w:sz w:val="22"/>
          <w:szCs w:val="22"/>
        </w:rPr>
        <w:t>the decision</w:t>
      </w:r>
      <w:r w:rsidR="003567BF" w:rsidRPr="00A55F3A">
        <w:rPr>
          <w:rFonts w:ascii="Garamond" w:hAnsi="Garamond"/>
          <w:sz w:val="22"/>
          <w:szCs w:val="22"/>
        </w:rPr>
        <w:t xml:space="preserve"> </w:t>
      </w:r>
      <w:r w:rsidRPr="00A55F3A">
        <w:rPr>
          <w:rFonts w:ascii="Garamond" w:hAnsi="Garamond"/>
          <w:sz w:val="22"/>
          <w:szCs w:val="22"/>
        </w:rPr>
        <w:t xml:space="preserve">balanced the potential effects of excluding the </w:t>
      </w:r>
      <w:r w:rsidR="00EF587E" w:rsidRPr="00A55F3A">
        <w:rPr>
          <w:rFonts w:ascii="Garamond" w:hAnsi="Garamond"/>
          <w:sz w:val="22"/>
          <w:szCs w:val="22"/>
        </w:rPr>
        <w:t>IOE</w:t>
      </w:r>
      <w:r w:rsidRPr="00A55F3A">
        <w:rPr>
          <w:rFonts w:ascii="Garamond" w:hAnsi="Garamond"/>
          <w:sz w:val="22"/>
          <w:szCs w:val="22"/>
        </w:rPr>
        <w:t xml:space="preserve">. ‘The result of undertaking this balancing exercise is plain. Here </w:t>
      </w:r>
      <w:r w:rsidRPr="00A55F3A">
        <w:rPr>
          <w:rFonts w:ascii="Garamond" w:hAnsi="Garamond"/>
          <w:sz w:val="22"/>
          <w:szCs w:val="22"/>
        </w:rPr>
        <w:lastRenderedPageBreak/>
        <w:t>there was no trespass or burglary […] It would be wholly disproportionate to exclude this evidence and I have no hesitation whatsoever in rejecting this submission.’</w:t>
      </w:r>
      <w:r w:rsidRPr="00A55F3A">
        <w:rPr>
          <w:rStyle w:val="FootnoteReference"/>
          <w:rFonts w:ascii="Garamond" w:hAnsi="Garamond"/>
          <w:sz w:val="22"/>
          <w:szCs w:val="22"/>
        </w:rPr>
        <w:footnoteReference w:id="43"/>
      </w:r>
      <w:r w:rsidRPr="00A55F3A">
        <w:rPr>
          <w:rFonts w:ascii="Garamond" w:hAnsi="Garamond"/>
          <w:sz w:val="22"/>
          <w:szCs w:val="22"/>
        </w:rPr>
        <w:t xml:space="preserve"> The decision is in </w:t>
      </w:r>
      <w:r w:rsidR="00F60E23" w:rsidRPr="00A55F3A">
        <w:rPr>
          <w:rFonts w:ascii="Garamond" w:hAnsi="Garamond"/>
          <w:sz w:val="22"/>
          <w:szCs w:val="22"/>
        </w:rPr>
        <w:t>favor</w:t>
      </w:r>
      <w:r w:rsidRPr="00A55F3A">
        <w:rPr>
          <w:rFonts w:ascii="Garamond" w:hAnsi="Garamond"/>
          <w:sz w:val="22"/>
          <w:szCs w:val="22"/>
        </w:rPr>
        <w:t xml:space="preserve"> of admitting the diary</w:t>
      </w:r>
      <w:r w:rsidR="00AB27CF" w:rsidRPr="00A55F3A">
        <w:rPr>
          <w:rFonts w:ascii="Garamond" w:hAnsi="Garamond"/>
          <w:sz w:val="22"/>
          <w:szCs w:val="22"/>
        </w:rPr>
        <w:t>,</w:t>
      </w:r>
      <w:r w:rsidRPr="00A55F3A">
        <w:rPr>
          <w:rFonts w:ascii="Garamond" w:hAnsi="Garamond"/>
          <w:sz w:val="22"/>
          <w:szCs w:val="22"/>
        </w:rPr>
        <w:t xml:space="preserve"> but Lord Ward, in the same passage, is quick to reduce the general implications of his decision. ‘What forensic use, if any, should be permitted of an opponent's private information when it has been obtained criminally, or unlawfully, or opportunistically, or even adventitiously gives rise to current problems […] My judgement will not be and should not be the last word on this expanding jurisprudence as it is deliberately fact centred and fact sensitive.’</w:t>
      </w:r>
      <w:r w:rsidRPr="00A55F3A">
        <w:rPr>
          <w:rStyle w:val="FootnoteReference"/>
          <w:rFonts w:ascii="Garamond" w:hAnsi="Garamond"/>
          <w:sz w:val="22"/>
          <w:szCs w:val="22"/>
        </w:rPr>
        <w:footnoteReference w:id="44"/>
      </w:r>
      <w:r w:rsidRPr="00A55F3A">
        <w:rPr>
          <w:rFonts w:ascii="Garamond" w:hAnsi="Garamond"/>
          <w:sz w:val="22"/>
          <w:szCs w:val="22"/>
        </w:rPr>
        <w:t xml:space="preserve"> </w:t>
      </w:r>
      <w:r w:rsidR="00E452C7" w:rsidRPr="00A55F3A">
        <w:rPr>
          <w:rFonts w:ascii="Garamond" w:hAnsi="Garamond"/>
          <w:sz w:val="22"/>
          <w:szCs w:val="22"/>
        </w:rPr>
        <w:t>In other words</w:t>
      </w:r>
      <w:r w:rsidR="001B5744" w:rsidRPr="00A55F3A">
        <w:rPr>
          <w:rFonts w:ascii="Garamond" w:hAnsi="Garamond"/>
          <w:sz w:val="22"/>
          <w:szCs w:val="22"/>
        </w:rPr>
        <w:t xml:space="preserve">, </w:t>
      </w:r>
      <w:r w:rsidRPr="00A55F3A">
        <w:rPr>
          <w:rFonts w:ascii="Garamond" w:hAnsi="Garamond"/>
          <w:i/>
          <w:sz w:val="22"/>
          <w:szCs w:val="22"/>
        </w:rPr>
        <w:t>L</w:t>
      </w:r>
      <w:r w:rsidR="00E452C7" w:rsidRPr="00A55F3A">
        <w:rPr>
          <w:rFonts w:ascii="Garamond" w:hAnsi="Garamond"/>
          <w:i/>
          <w:sz w:val="22"/>
          <w:szCs w:val="22"/>
        </w:rPr>
        <w:t>ively</w:t>
      </w:r>
      <w:r w:rsidR="00E452C7" w:rsidRPr="00A55F3A">
        <w:rPr>
          <w:rFonts w:ascii="Garamond" w:hAnsi="Garamond"/>
          <w:sz w:val="22"/>
          <w:szCs w:val="22"/>
        </w:rPr>
        <w:t xml:space="preserve"> v </w:t>
      </w:r>
      <w:r w:rsidR="00E452C7" w:rsidRPr="00A55F3A">
        <w:rPr>
          <w:rFonts w:ascii="Garamond" w:hAnsi="Garamond"/>
          <w:i/>
          <w:sz w:val="22"/>
          <w:szCs w:val="22"/>
        </w:rPr>
        <w:t>Lively</w:t>
      </w:r>
      <w:r w:rsidR="00E452C7" w:rsidRPr="00A55F3A">
        <w:rPr>
          <w:rFonts w:ascii="Garamond" w:hAnsi="Garamond"/>
          <w:sz w:val="22"/>
          <w:szCs w:val="22"/>
        </w:rPr>
        <w:t xml:space="preserve"> cannot be, Lord W</w:t>
      </w:r>
      <w:r w:rsidRPr="00A55F3A">
        <w:rPr>
          <w:rFonts w:ascii="Garamond" w:hAnsi="Garamond"/>
          <w:sz w:val="22"/>
          <w:szCs w:val="22"/>
        </w:rPr>
        <w:t xml:space="preserve">ard argues, the starting point of a line of authority that allows in court </w:t>
      </w:r>
      <w:r w:rsidR="00C10D33" w:rsidRPr="00A55F3A">
        <w:rPr>
          <w:rFonts w:ascii="Garamond" w:hAnsi="Garamond"/>
          <w:sz w:val="22"/>
          <w:szCs w:val="22"/>
        </w:rPr>
        <w:t xml:space="preserve">any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obtained </w:t>
      </w:r>
      <w:r w:rsidR="00E452C7" w:rsidRPr="00A55F3A">
        <w:rPr>
          <w:rFonts w:ascii="Garamond" w:hAnsi="Garamond"/>
          <w:sz w:val="22"/>
          <w:szCs w:val="22"/>
        </w:rPr>
        <w:t>short of an</w:t>
      </w:r>
      <w:r w:rsidRPr="00A55F3A">
        <w:rPr>
          <w:rFonts w:ascii="Garamond" w:hAnsi="Garamond"/>
          <w:sz w:val="22"/>
          <w:szCs w:val="22"/>
        </w:rPr>
        <w:t xml:space="preserve"> </w:t>
      </w:r>
      <w:r w:rsidRPr="00A55F3A">
        <w:rPr>
          <w:rStyle w:val="Carpredefinitoparagrafo"/>
          <w:rFonts w:ascii="Garamond" w:hAnsi="Garamond" w:cs="Times New Roman"/>
          <w:sz w:val="22"/>
          <w:szCs w:val="22"/>
        </w:rPr>
        <w:t>outrageous</w:t>
      </w:r>
      <w:r w:rsidRPr="00A55F3A">
        <w:rPr>
          <w:rFonts w:ascii="Garamond" w:hAnsi="Garamond"/>
          <w:sz w:val="22"/>
          <w:szCs w:val="22"/>
        </w:rPr>
        <w:t xml:space="preserve"> violation of article 8. </w:t>
      </w:r>
    </w:p>
    <w:p w14:paraId="4DE6783F" w14:textId="683A6492" w:rsidR="00605CE2" w:rsidRPr="00A55F3A" w:rsidRDefault="00EA695D" w:rsidP="00A55F3A">
      <w:pPr>
        <w:pStyle w:val="Footnote"/>
        <w:spacing w:line="480" w:lineRule="auto"/>
        <w:rPr>
          <w:rFonts w:ascii="Garamond" w:hAnsi="Garamond"/>
          <w:sz w:val="22"/>
          <w:szCs w:val="22"/>
        </w:rPr>
      </w:pPr>
      <w:r w:rsidRPr="00A55F3A">
        <w:rPr>
          <w:rStyle w:val="Carpredefinitoparagrafo"/>
          <w:rFonts w:ascii="Garamond" w:hAnsi="Garamond" w:cs="Times New Roman"/>
          <w:sz w:val="22"/>
          <w:szCs w:val="22"/>
        </w:rPr>
        <w:t>One of</w:t>
      </w:r>
      <w:r w:rsidR="003567BF" w:rsidRPr="00A55F3A">
        <w:rPr>
          <w:rStyle w:val="Carpredefinitoparagrafo"/>
          <w:rFonts w:ascii="Garamond" w:hAnsi="Garamond" w:cs="Times New Roman"/>
          <w:sz w:val="22"/>
          <w:szCs w:val="22"/>
        </w:rPr>
        <w:t xml:space="preserve"> </w:t>
      </w:r>
      <w:r w:rsidR="00A95AD6" w:rsidRPr="00A55F3A">
        <w:rPr>
          <w:rStyle w:val="Carpredefinitoparagrafo"/>
          <w:rFonts w:ascii="Garamond" w:hAnsi="Garamond" w:cs="Times New Roman"/>
          <w:sz w:val="22"/>
          <w:szCs w:val="22"/>
        </w:rPr>
        <w:t xml:space="preserve">the </w:t>
      </w:r>
      <w:r w:rsidR="00E452C7" w:rsidRPr="00A55F3A">
        <w:rPr>
          <w:rStyle w:val="Carpredefinitoparagrafo"/>
          <w:rFonts w:ascii="Garamond" w:hAnsi="Garamond" w:cs="Times New Roman"/>
          <w:sz w:val="22"/>
          <w:szCs w:val="22"/>
        </w:rPr>
        <w:t>key aspect</w:t>
      </w:r>
      <w:r w:rsidRPr="00A55F3A">
        <w:rPr>
          <w:rStyle w:val="Carpredefinitoparagrafo"/>
          <w:rFonts w:ascii="Garamond" w:hAnsi="Garamond" w:cs="Times New Roman"/>
          <w:sz w:val="22"/>
          <w:szCs w:val="22"/>
        </w:rPr>
        <w:t>s</w:t>
      </w:r>
      <w:r w:rsidR="00E452C7" w:rsidRPr="00A55F3A">
        <w:rPr>
          <w:rStyle w:val="Carpredefinitoparagrafo"/>
          <w:rFonts w:ascii="Garamond" w:hAnsi="Garamond" w:cs="Times New Roman"/>
          <w:sz w:val="22"/>
          <w:szCs w:val="22"/>
        </w:rPr>
        <w:t xml:space="preserve"> of </w:t>
      </w:r>
      <w:r w:rsidR="00DE051E" w:rsidRPr="00A55F3A">
        <w:rPr>
          <w:rStyle w:val="Carpredefinitoparagrafo"/>
          <w:rFonts w:ascii="Garamond" w:hAnsi="Garamond" w:cs="Times New Roman"/>
          <w:sz w:val="22"/>
          <w:szCs w:val="22"/>
        </w:rPr>
        <w:t xml:space="preserve">a </w:t>
      </w:r>
      <w:r w:rsidR="00E452C7" w:rsidRPr="00A55F3A">
        <w:rPr>
          <w:rStyle w:val="Carpredefinitoparagrafo"/>
          <w:rFonts w:ascii="Garamond" w:hAnsi="Garamond" w:cs="Times New Roman"/>
          <w:sz w:val="22"/>
          <w:szCs w:val="22"/>
        </w:rPr>
        <w:t>combined</w:t>
      </w:r>
      <w:r w:rsidR="003567BF" w:rsidRPr="00A55F3A">
        <w:rPr>
          <w:rStyle w:val="Carpredefinitoparagrafo"/>
          <w:rFonts w:ascii="Garamond" w:hAnsi="Garamond" w:cs="Times New Roman"/>
          <w:sz w:val="22"/>
          <w:szCs w:val="22"/>
        </w:rPr>
        <w:t xml:space="preserve"> </w:t>
      </w:r>
      <w:r w:rsidR="00E452C7" w:rsidRPr="00A55F3A">
        <w:rPr>
          <w:rStyle w:val="Carpredefinitoparagrafo"/>
          <w:rFonts w:ascii="Garamond" w:hAnsi="Garamond" w:cs="Times New Roman"/>
          <w:sz w:val="22"/>
          <w:szCs w:val="22"/>
        </w:rPr>
        <w:t xml:space="preserve">reading of </w:t>
      </w:r>
      <w:r w:rsidR="00E452C7" w:rsidRPr="00A55F3A">
        <w:rPr>
          <w:rStyle w:val="Carpredefinitoparagrafo"/>
          <w:rFonts w:ascii="Garamond" w:hAnsi="Garamond" w:cs="Times New Roman"/>
          <w:i/>
          <w:sz w:val="22"/>
          <w:szCs w:val="22"/>
        </w:rPr>
        <w:t>Lively</w:t>
      </w:r>
      <w:r w:rsidR="00C10272" w:rsidRPr="00A55F3A">
        <w:rPr>
          <w:rStyle w:val="Carpredefinitoparagrafo"/>
          <w:rFonts w:ascii="Garamond" w:hAnsi="Garamond" w:cs="Times New Roman"/>
          <w:sz w:val="22"/>
          <w:szCs w:val="22"/>
        </w:rPr>
        <w:t xml:space="preserve"> v </w:t>
      </w:r>
      <w:r w:rsidR="00E452C7" w:rsidRPr="00A55F3A">
        <w:rPr>
          <w:rStyle w:val="Carpredefinitoparagrafo"/>
          <w:rFonts w:ascii="Garamond" w:hAnsi="Garamond" w:cs="Times New Roman"/>
          <w:i/>
          <w:sz w:val="22"/>
          <w:szCs w:val="22"/>
        </w:rPr>
        <w:t>Lively</w:t>
      </w:r>
      <w:r w:rsidR="00E452C7"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 xml:space="preserve">and </w:t>
      </w:r>
      <w:r w:rsidR="003711AD" w:rsidRPr="00A55F3A">
        <w:rPr>
          <w:rStyle w:val="Carpredefinitoparagrafo"/>
          <w:rFonts w:ascii="Garamond" w:hAnsi="Garamond" w:cs="Times New Roman"/>
          <w:i/>
          <w:sz w:val="22"/>
          <w:szCs w:val="22"/>
        </w:rPr>
        <w:t>Jones</w:t>
      </w:r>
      <w:r w:rsidR="00C10272" w:rsidRPr="00A55F3A">
        <w:rPr>
          <w:rStyle w:val="Carpredefinitoparagrafo"/>
          <w:rFonts w:ascii="Garamond" w:hAnsi="Garamond" w:cs="Times New Roman"/>
          <w:sz w:val="22"/>
          <w:szCs w:val="22"/>
        </w:rPr>
        <w:t xml:space="preserve"> v </w:t>
      </w:r>
      <w:r w:rsidR="003711AD" w:rsidRPr="00A55F3A">
        <w:rPr>
          <w:rStyle w:val="Carpredefinitoparagrafo"/>
          <w:rFonts w:ascii="Garamond" w:hAnsi="Garamond" w:cs="Times New Roman"/>
          <w:i/>
          <w:sz w:val="22"/>
          <w:szCs w:val="22"/>
        </w:rPr>
        <w:t>University of Warwick</w:t>
      </w:r>
      <w:r w:rsidR="00E452C7" w:rsidRPr="00A55F3A">
        <w:rPr>
          <w:rStyle w:val="Carpredefinitoparagrafo"/>
          <w:rFonts w:ascii="Garamond" w:hAnsi="Garamond" w:cs="Times New Roman"/>
          <w:sz w:val="22"/>
          <w:szCs w:val="22"/>
        </w:rPr>
        <w:t xml:space="preserve"> is</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the development</w:t>
      </w:r>
      <w:r w:rsidR="003567BF" w:rsidRPr="00A55F3A">
        <w:rPr>
          <w:rStyle w:val="Carpredefinitoparagrafo"/>
          <w:rFonts w:ascii="Garamond" w:hAnsi="Garamond" w:cs="Times New Roman"/>
          <w:sz w:val="22"/>
          <w:szCs w:val="22"/>
        </w:rPr>
        <w:t xml:space="preserve"> </w:t>
      </w:r>
      <w:r w:rsidR="00EF587E" w:rsidRPr="00A55F3A">
        <w:rPr>
          <w:rStyle w:val="Carpredefinitoparagrafo"/>
          <w:rFonts w:ascii="Garamond" w:hAnsi="Garamond" w:cs="Times New Roman"/>
          <w:sz w:val="22"/>
          <w:szCs w:val="22"/>
        </w:rPr>
        <w:t>line of authority</w:t>
      </w:r>
      <w:r w:rsidR="003567BF" w:rsidRPr="00A55F3A">
        <w:rPr>
          <w:rStyle w:val="Carpredefinitoparagrafo"/>
          <w:rFonts w:ascii="Garamond" w:hAnsi="Garamond" w:cs="Times New Roman"/>
          <w:sz w:val="22"/>
          <w:szCs w:val="22"/>
        </w:rPr>
        <w:t xml:space="preserve"> </w:t>
      </w:r>
      <w:r w:rsidR="00EF587E" w:rsidRPr="00A55F3A">
        <w:rPr>
          <w:rStyle w:val="Carpredefinitoparagrafo"/>
          <w:rFonts w:ascii="Garamond" w:hAnsi="Garamond" w:cs="Times New Roman"/>
          <w:sz w:val="22"/>
          <w:szCs w:val="22"/>
        </w:rPr>
        <w:t>that entrench</w:t>
      </w:r>
      <w:r w:rsidRPr="00A55F3A">
        <w:rPr>
          <w:rStyle w:val="Carpredefinitoparagrafo"/>
          <w:rFonts w:ascii="Garamond" w:hAnsi="Garamond" w:cs="Times New Roman"/>
          <w:sz w:val="22"/>
          <w:szCs w:val="22"/>
        </w:rPr>
        <w:t>es</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a limit</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on</w:t>
      </w:r>
      <w:r w:rsidR="003567BF" w:rsidRPr="00A55F3A">
        <w:rPr>
          <w:rStyle w:val="Carpredefinitoparagrafo"/>
          <w:rFonts w:ascii="Garamond" w:hAnsi="Garamond" w:cs="Times New Roman"/>
          <w:sz w:val="22"/>
          <w:szCs w:val="22"/>
        </w:rPr>
        <w:t xml:space="preserve"> </w:t>
      </w:r>
      <w:r w:rsidR="00E452C7" w:rsidRPr="00A55F3A">
        <w:rPr>
          <w:rStyle w:val="Carpredefinitoparagrafo"/>
          <w:rFonts w:ascii="Garamond" w:hAnsi="Garamond" w:cs="Times New Roman"/>
          <w:sz w:val="22"/>
          <w:szCs w:val="22"/>
        </w:rPr>
        <w:t xml:space="preserve">admissibility of </w:t>
      </w:r>
      <w:r w:rsidR="00291400" w:rsidRPr="00A55F3A">
        <w:rPr>
          <w:rStyle w:val="Carpredefinitoparagrafo"/>
          <w:rFonts w:ascii="Garamond" w:hAnsi="Garamond" w:cs="Times New Roman"/>
          <w:sz w:val="22"/>
          <w:szCs w:val="22"/>
        </w:rPr>
        <w:t>IOE</w:t>
      </w:r>
      <w:r w:rsidR="00EF587E" w:rsidRPr="00A55F3A">
        <w:rPr>
          <w:rStyle w:val="Carpredefinitoparagrafo"/>
          <w:rFonts w:ascii="Garamond" w:hAnsi="Garamond" w:cs="Times New Roman"/>
          <w:sz w:val="22"/>
          <w:szCs w:val="22"/>
        </w:rPr>
        <w:t xml:space="preserve"> (set in</w:t>
      </w:r>
      <w:r w:rsidR="00471F45" w:rsidRPr="00A55F3A">
        <w:rPr>
          <w:rStyle w:val="Carpredefinitoparagrafo"/>
          <w:rFonts w:ascii="Garamond" w:hAnsi="Garamond" w:cs="Times New Roman"/>
          <w:sz w:val="22"/>
          <w:szCs w:val="22"/>
        </w:rPr>
        <w:t xml:space="preserve"> </w:t>
      </w:r>
      <w:r w:rsidR="003711AD" w:rsidRPr="00A55F3A">
        <w:rPr>
          <w:rStyle w:val="Carpredefinitoparagrafo"/>
          <w:rFonts w:ascii="Garamond" w:hAnsi="Garamond" w:cs="Times New Roman"/>
          <w:i/>
          <w:sz w:val="22"/>
          <w:szCs w:val="22"/>
        </w:rPr>
        <w:t>Helliwell</w:t>
      </w:r>
      <w:r w:rsidR="00C10272" w:rsidRPr="00A55F3A">
        <w:rPr>
          <w:rStyle w:val="Carpredefinitoparagrafo"/>
          <w:rFonts w:ascii="Garamond" w:hAnsi="Garamond" w:cs="Times New Roman"/>
          <w:sz w:val="22"/>
          <w:szCs w:val="22"/>
        </w:rPr>
        <w:t xml:space="preserve"> v </w:t>
      </w:r>
      <w:r w:rsidR="003711AD" w:rsidRPr="00A55F3A">
        <w:rPr>
          <w:rStyle w:val="Carpredefinitoparagrafo"/>
          <w:rFonts w:ascii="Garamond" w:hAnsi="Garamond" w:cs="Times New Roman"/>
          <w:i/>
          <w:sz w:val="22"/>
          <w:szCs w:val="22"/>
        </w:rPr>
        <w:t>Piggott-Sims</w:t>
      </w:r>
      <w:r w:rsidR="00471F45" w:rsidRPr="00A55F3A">
        <w:rPr>
          <w:rStyle w:val="Carpredefinitoparagrafo"/>
          <w:rFonts w:ascii="Garamond" w:hAnsi="Garamond" w:cs="Times New Roman"/>
          <w:sz w:val="22"/>
          <w:szCs w:val="22"/>
        </w:rPr>
        <w:t>)</w:t>
      </w:r>
      <w:r w:rsidR="00E452C7"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However, it remains unclear how</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the new line of authority will develop. Recall that</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drivers of </w:t>
      </w:r>
      <w:r w:rsidR="00A95AD6" w:rsidRPr="00A55F3A">
        <w:rPr>
          <w:rStyle w:val="Carpredefinitoparagrafo"/>
          <w:rFonts w:ascii="Garamond" w:hAnsi="Garamond" w:cs="Times New Roman"/>
          <w:sz w:val="22"/>
          <w:szCs w:val="22"/>
        </w:rPr>
        <w:t xml:space="preserve">the </w:t>
      </w:r>
      <w:r w:rsidRPr="00A55F3A">
        <w:rPr>
          <w:rStyle w:val="Carpredefinitoparagrafo"/>
          <w:rFonts w:ascii="Garamond" w:hAnsi="Garamond" w:cs="Times New Roman"/>
          <w:sz w:val="22"/>
          <w:szCs w:val="22"/>
        </w:rPr>
        <w:t>change that motivate</w:t>
      </w:r>
      <w:r w:rsidR="00A95AD6" w:rsidRPr="00A55F3A">
        <w:rPr>
          <w:rStyle w:val="Carpredefinitoparagrafo"/>
          <w:rFonts w:ascii="Garamond" w:hAnsi="Garamond" w:cs="Times New Roman"/>
          <w:sz w:val="22"/>
          <w:szCs w:val="22"/>
        </w:rPr>
        <w:t>d</w:t>
      </w:r>
      <w:r w:rsidRPr="00A55F3A">
        <w:rPr>
          <w:rStyle w:val="Carpredefinitoparagrafo"/>
          <w:rFonts w:ascii="Garamond" w:hAnsi="Garamond" w:cs="Times New Roman"/>
          <w:sz w:val="22"/>
          <w:szCs w:val="22"/>
        </w:rPr>
        <w:t xml:space="preserve"> the reforms (</w:t>
      </w:r>
      <w:r w:rsidR="00691E3E">
        <w:rPr>
          <w:rStyle w:val="Carpredefinitoparagrafo"/>
          <w:rFonts w:ascii="Garamond" w:hAnsi="Garamond" w:cs="Times New Roman"/>
          <w:sz w:val="22"/>
          <w:szCs w:val="22"/>
        </w:rPr>
        <w:t xml:space="preserve">ie </w:t>
      </w:r>
      <w:r w:rsidRPr="00A55F3A">
        <w:rPr>
          <w:rStyle w:val="Carpredefinitoparagrafo"/>
          <w:rFonts w:ascii="Garamond" w:hAnsi="Garamond" w:cs="Times New Roman"/>
          <w:sz w:val="22"/>
          <w:szCs w:val="22"/>
        </w:rPr>
        <w:t>the demand of efficien</w:t>
      </w:r>
      <w:r w:rsidR="00D32802" w:rsidRPr="00A55F3A">
        <w:rPr>
          <w:rStyle w:val="Carpredefinitoparagrafo"/>
          <w:rFonts w:ascii="Garamond" w:hAnsi="Garamond" w:cs="Times New Roman"/>
          <w:sz w:val="22"/>
          <w:szCs w:val="22"/>
        </w:rPr>
        <w:t>cy</w:t>
      </w:r>
      <w:r w:rsidRPr="00A55F3A">
        <w:rPr>
          <w:rStyle w:val="Carpredefinitoparagrafo"/>
          <w:rFonts w:ascii="Garamond" w:hAnsi="Garamond" w:cs="Times New Roman"/>
          <w:sz w:val="22"/>
          <w:szCs w:val="22"/>
        </w:rPr>
        <w:t xml:space="preserve"> and the expansion of rights)</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are likely to increase the pressure on judges to consider the deontological and pragmatic implication</w:t>
      </w:r>
      <w:r w:rsidR="00D32802" w:rsidRPr="00A55F3A">
        <w:rPr>
          <w:rStyle w:val="Carpredefinitoparagrafo"/>
          <w:rFonts w:ascii="Garamond" w:hAnsi="Garamond" w:cs="Times New Roman"/>
          <w:sz w:val="22"/>
          <w:szCs w:val="22"/>
        </w:rPr>
        <w:t>s</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of rights violations.</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From this perceptive</w:t>
      </w:r>
      <w:r w:rsidR="00D32802"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the</w:t>
      </w:r>
      <w:r w:rsidR="003567BF" w:rsidRPr="00A55F3A">
        <w:rPr>
          <w:rStyle w:val="Carpredefinitoparagrafo"/>
          <w:rFonts w:ascii="Garamond" w:hAnsi="Garamond" w:cs="Times New Roman"/>
          <w:sz w:val="22"/>
          <w:szCs w:val="22"/>
        </w:rPr>
        <w:t xml:space="preserve"> </w:t>
      </w:r>
      <w:r w:rsidR="00471F45" w:rsidRPr="00A55F3A">
        <w:rPr>
          <w:rStyle w:val="Carpredefinitoparagrafo"/>
          <w:rFonts w:ascii="Garamond" w:hAnsi="Garamond" w:cs="Times New Roman"/>
          <w:sz w:val="22"/>
          <w:szCs w:val="22"/>
        </w:rPr>
        <w:t xml:space="preserve">‘not outrageous violation criterion’ </w:t>
      </w:r>
      <w:r w:rsidRPr="00A55F3A">
        <w:rPr>
          <w:rStyle w:val="Carpredefinitoparagrafo"/>
          <w:rFonts w:ascii="Garamond" w:hAnsi="Garamond" w:cs="Times New Roman"/>
          <w:sz w:val="22"/>
          <w:szCs w:val="22"/>
        </w:rPr>
        <w:t xml:space="preserve">might appear a weak apotropaic response for a legal system committed to equanimity and justice. </w:t>
      </w:r>
      <w:r w:rsidR="005B3CF6" w:rsidRPr="00A55F3A">
        <w:rPr>
          <w:rStyle w:val="Carpredefinitoparagrafo"/>
          <w:rFonts w:ascii="Garamond" w:hAnsi="Garamond" w:cs="Times New Roman"/>
          <w:sz w:val="22"/>
          <w:szCs w:val="22"/>
        </w:rPr>
        <w:t xml:space="preserve">It is in this </w:t>
      </w:r>
      <w:r w:rsidR="00471F45" w:rsidRPr="00A55F3A">
        <w:rPr>
          <w:rStyle w:val="Carpredefinitoparagrafo"/>
          <w:rFonts w:ascii="Garamond" w:hAnsi="Garamond" w:cs="Times New Roman"/>
          <w:sz w:val="22"/>
          <w:szCs w:val="22"/>
        </w:rPr>
        <w:t>task</w:t>
      </w:r>
      <w:r w:rsidR="005B3CF6"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of balancing right</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that the</w:t>
      </w:r>
      <w:r w:rsidR="003567BF" w:rsidRPr="00A55F3A">
        <w:rPr>
          <w:rStyle w:val="Carpredefinitoparagrafo"/>
          <w:rFonts w:ascii="Garamond" w:hAnsi="Garamond" w:cs="Times New Roman"/>
          <w:sz w:val="22"/>
          <w:szCs w:val="22"/>
        </w:rPr>
        <w:t xml:space="preserve"> </w:t>
      </w:r>
      <w:r w:rsidR="00584F92" w:rsidRPr="00A55F3A">
        <w:rPr>
          <w:rStyle w:val="Carpredefinitoparagrafo"/>
          <w:rFonts w:ascii="Garamond" w:hAnsi="Garamond" w:cs="Times New Roman"/>
          <w:sz w:val="22"/>
          <w:szCs w:val="22"/>
        </w:rPr>
        <w:t>Eng</w:t>
      </w:r>
      <w:r w:rsidR="00DE051E" w:rsidRPr="00A55F3A">
        <w:rPr>
          <w:rStyle w:val="Carpredefinitoparagrafo"/>
          <w:rFonts w:ascii="Garamond" w:hAnsi="Garamond" w:cs="Times New Roman"/>
          <w:sz w:val="22"/>
          <w:szCs w:val="22"/>
        </w:rPr>
        <w:t>l</w:t>
      </w:r>
      <w:r w:rsidR="00584F92" w:rsidRPr="00A55F3A">
        <w:rPr>
          <w:rStyle w:val="Carpredefinitoparagrafo"/>
          <w:rFonts w:ascii="Garamond" w:hAnsi="Garamond" w:cs="Times New Roman"/>
          <w:sz w:val="22"/>
          <w:szCs w:val="22"/>
        </w:rPr>
        <w:t xml:space="preserve">ish </w:t>
      </w:r>
      <w:r w:rsidR="00D13877">
        <w:rPr>
          <w:rStyle w:val="Carpredefinitoparagrafo"/>
          <w:rFonts w:ascii="Garamond" w:hAnsi="Garamond" w:cs="Times New Roman"/>
          <w:sz w:val="22"/>
          <w:szCs w:val="22"/>
        </w:rPr>
        <w:t xml:space="preserve"> </w:t>
      </w:r>
      <w:r w:rsidR="005B3CF6" w:rsidRPr="00A55F3A">
        <w:rPr>
          <w:rStyle w:val="Carpredefinitoparagrafo"/>
          <w:rFonts w:ascii="Garamond" w:hAnsi="Garamond" w:cs="Times New Roman"/>
          <w:sz w:val="22"/>
          <w:szCs w:val="22"/>
        </w:rPr>
        <w:t xml:space="preserve">jurisprudence might be enriched by Italian </w:t>
      </w:r>
      <w:r w:rsidR="00471F45" w:rsidRPr="00A55F3A">
        <w:rPr>
          <w:rStyle w:val="Carpredefinitoparagrafo"/>
          <w:rFonts w:ascii="Garamond" w:hAnsi="Garamond" w:cs="Times New Roman"/>
          <w:sz w:val="22"/>
          <w:szCs w:val="22"/>
        </w:rPr>
        <w:t xml:space="preserve">judicial </w:t>
      </w:r>
      <w:r w:rsidR="005B3CF6" w:rsidRPr="00A55F3A">
        <w:rPr>
          <w:rStyle w:val="Carpredefinitoparagrafo"/>
          <w:rFonts w:ascii="Garamond" w:hAnsi="Garamond" w:cs="Times New Roman"/>
          <w:sz w:val="22"/>
          <w:szCs w:val="22"/>
        </w:rPr>
        <w:t>practices.</w:t>
      </w:r>
      <w:r w:rsidR="003567BF" w:rsidRPr="00A55F3A">
        <w:rPr>
          <w:rStyle w:val="Carpredefinitoparagrafo"/>
          <w:rFonts w:ascii="Garamond" w:hAnsi="Garamond" w:cs="Times New Roman"/>
          <w:sz w:val="22"/>
          <w:szCs w:val="22"/>
        </w:rPr>
        <w:t xml:space="preserve"> </w:t>
      </w:r>
    </w:p>
    <w:p w14:paraId="46619787" w14:textId="5F300493" w:rsidR="0011283D" w:rsidRPr="00A55F3A" w:rsidRDefault="007853C8" w:rsidP="00A55F3A">
      <w:pPr>
        <w:pStyle w:val="Heading2"/>
        <w:spacing w:line="480" w:lineRule="auto"/>
        <w:jc w:val="center"/>
        <w:rPr>
          <w:rFonts w:ascii="Garamond" w:eastAsia="BookAntiqua" w:hAnsi="Garamond"/>
        </w:rPr>
      </w:pPr>
      <w:r w:rsidRPr="00A55F3A">
        <w:rPr>
          <w:rFonts w:ascii="Garamond" w:eastAsia="BookAntiqua" w:hAnsi="Garamond"/>
          <w:i/>
        </w:rPr>
        <w:t>Fiat</w:t>
      </w:r>
      <w:r w:rsidRPr="00A55F3A">
        <w:rPr>
          <w:rFonts w:ascii="Garamond" w:eastAsia="BookAntiqua" w:hAnsi="Garamond"/>
        </w:rPr>
        <w:t xml:space="preserve"> </w:t>
      </w:r>
      <w:r w:rsidR="00D32802" w:rsidRPr="00A55F3A">
        <w:rPr>
          <w:rFonts w:ascii="Garamond" w:eastAsia="BookAntiqua" w:hAnsi="Garamond"/>
        </w:rPr>
        <w:t>I</w:t>
      </w:r>
      <w:r w:rsidRPr="00A55F3A">
        <w:rPr>
          <w:rFonts w:ascii="Garamond" w:eastAsia="BookAntiqua" w:hAnsi="Garamond"/>
        </w:rPr>
        <w:t>ndeed: the Italian R</w:t>
      </w:r>
      <w:r w:rsidR="0011283D" w:rsidRPr="00A55F3A">
        <w:rPr>
          <w:rFonts w:ascii="Garamond" w:eastAsia="BookAntiqua" w:hAnsi="Garamond"/>
        </w:rPr>
        <w:t xml:space="preserve">egime of </w:t>
      </w:r>
      <w:r w:rsidR="00291400" w:rsidRPr="00A55F3A">
        <w:rPr>
          <w:rFonts w:ascii="Garamond" w:eastAsia="BookAntiqua" w:hAnsi="Garamond"/>
        </w:rPr>
        <w:t>IOE</w:t>
      </w:r>
    </w:p>
    <w:p w14:paraId="64383DF9" w14:textId="2B3620EC" w:rsidR="00E973F4"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In the previous section</w:t>
      </w:r>
      <w:r w:rsidR="00A95D1D" w:rsidRPr="00A55F3A">
        <w:rPr>
          <w:rFonts w:ascii="Garamond" w:hAnsi="Garamond"/>
          <w:sz w:val="22"/>
          <w:szCs w:val="22"/>
        </w:rPr>
        <w:t>,</w:t>
      </w:r>
      <w:r w:rsidRPr="00A55F3A">
        <w:rPr>
          <w:rFonts w:ascii="Garamond" w:hAnsi="Garamond"/>
          <w:sz w:val="22"/>
          <w:szCs w:val="22"/>
        </w:rPr>
        <w:t xml:space="preserve"> </w:t>
      </w:r>
      <w:r w:rsidR="00A95D1D" w:rsidRPr="00A55F3A">
        <w:rPr>
          <w:rFonts w:ascii="Garamond" w:hAnsi="Garamond"/>
          <w:sz w:val="22"/>
          <w:szCs w:val="22"/>
        </w:rPr>
        <w:t>the essay</w:t>
      </w:r>
      <w:r w:rsidR="00B50D56" w:rsidRPr="00A55F3A">
        <w:rPr>
          <w:rFonts w:ascii="Garamond" w:hAnsi="Garamond"/>
          <w:sz w:val="22"/>
          <w:szCs w:val="22"/>
        </w:rPr>
        <w:t xml:space="preserve"> </w:t>
      </w:r>
      <w:r w:rsidRPr="00A55F3A">
        <w:rPr>
          <w:rFonts w:ascii="Garamond" w:hAnsi="Garamond"/>
          <w:sz w:val="22"/>
          <w:szCs w:val="22"/>
        </w:rPr>
        <w:t xml:space="preserve">reported on the effects of the HRA and the CPR. This section will discuss, instead, the Italian regime of </w:t>
      </w:r>
      <w:r w:rsidR="00291400" w:rsidRPr="00A55F3A">
        <w:rPr>
          <w:rFonts w:ascii="Garamond" w:hAnsi="Garamond"/>
          <w:sz w:val="22"/>
          <w:szCs w:val="22"/>
        </w:rPr>
        <w:t>IOE</w:t>
      </w:r>
      <w:r w:rsidR="00AA60BA">
        <w:rPr>
          <w:rFonts w:ascii="Garamond" w:hAnsi="Garamond"/>
          <w:sz w:val="22"/>
          <w:szCs w:val="22"/>
        </w:rPr>
        <w:t>. T</w:t>
      </w:r>
      <w:r w:rsidRPr="00A55F3A">
        <w:rPr>
          <w:rFonts w:ascii="Garamond" w:hAnsi="Garamond"/>
          <w:sz w:val="22"/>
          <w:szCs w:val="22"/>
        </w:rPr>
        <w:t xml:space="preserve">he Italian civil procedures </w:t>
      </w:r>
      <w:r w:rsidR="006A0B80">
        <w:rPr>
          <w:rFonts w:ascii="Garamond" w:hAnsi="Garamond"/>
          <w:sz w:val="22"/>
          <w:szCs w:val="22"/>
        </w:rPr>
        <w:t xml:space="preserve">is </w:t>
      </w:r>
      <w:r w:rsidRPr="00A55F3A">
        <w:rPr>
          <w:rFonts w:ascii="Garamond" w:hAnsi="Garamond"/>
          <w:sz w:val="22"/>
          <w:szCs w:val="22"/>
        </w:rPr>
        <w:t xml:space="preserve"> </w:t>
      </w:r>
      <w:r w:rsidR="00F60E23" w:rsidRPr="00A55F3A">
        <w:rPr>
          <w:rFonts w:ascii="Garamond" w:hAnsi="Garamond"/>
          <w:sz w:val="22"/>
          <w:szCs w:val="22"/>
        </w:rPr>
        <w:t>organized</w:t>
      </w:r>
      <w:r w:rsidRPr="00A55F3A">
        <w:rPr>
          <w:rFonts w:ascii="Garamond" w:hAnsi="Garamond"/>
          <w:sz w:val="22"/>
          <w:szCs w:val="22"/>
        </w:rPr>
        <w:t xml:space="preserve"> in a code.</w:t>
      </w:r>
      <w:r w:rsidRPr="00A55F3A">
        <w:rPr>
          <w:rStyle w:val="FootnoteReference"/>
          <w:rFonts w:ascii="Garamond" w:eastAsia="BookAntiqua" w:hAnsi="Garamond"/>
          <w:sz w:val="22"/>
          <w:szCs w:val="22"/>
        </w:rPr>
        <w:footnoteReference w:id="45"/>
      </w:r>
      <w:r w:rsidRPr="00A55F3A">
        <w:rPr>
          <w:rFonts w:ascii="Garamond" w:hAnsi="Garamond"/>
          <w:sz w:val="22"/>
          <w:szCs w:val="22"/>
        </w:rPr>
        <w:t xml:space="preserve"> Recently the code has been reform</w:t>
      </w:r>
      <w:r w:rsidR="00E973F4" w:rsidRPr="00A55F3A">
        <w:rPr>
          <w:rFonts w:ascii="Garamond" w:hAnsi="Garamond"/>
          <w:sz w:val="22"/>
          <w:szCs w:val="22"/>
        </w:rPr>
        <w:t>ed</w:t>
      </w:r>
      <w:r w:rsidR="003567BF" w:rsidRPr="00A55F3A">
        <w:rPr>
          <w:rFonts w:ascii="Garamond" w:hAnsi="Garamond"/>
          <w:sz w:val="22"/>
          <w:szCs w:val="22"/>
        </w:rPr>
        <w:t xml:space="preserve"> </w:t>
      </w:r>
      <w:r w:rsidR="00E973F4" w:rsidRPr="00A55F3A">
        <w:rPr>
          <w:rFonts w:ascii="Garamond" w:hAnsi="Garamond"/>
          <w:sz w:val="22"/>
          <w:szCs w:val="22"/>
        </w:rPr>
        <w:t>to</w:t>
      </w:r>
      <w:r w:rsidR="003567BF" w:rsidRPr="00A55F3A">
        <w:rPr>
          <w:rFonts w:ascii="Garamond" w:hAnsi="Garamond"/>
          <w:sz w:val="22"/>
          <w:szCs w:val="22"/>
        </w:rPr>
        <w:t xml:space="preserve"> </w:t>
      </w:r>
      <w:r w:rsidRPr="00A55F3A">
        <w:rPr>
          <w:rFonts w:ascii="Garamond" w:hAnsi="Garamond"/>
          <w:sz w:val="22"/>
          <w:szCs w:val="22"/>
        </w:rPr>
        <w:t>increas</w:t>
      </w:r>
      <w:r w:rsidR="00E973F4" w:rsidRPr="00A55F3A">
        <w:rPr>
          <w:rFonts w:ascii="Garamond" w:hAnsi="Garamond"/>
          <w:sz w:val="22"/>
          <w:szCs w:val="22"/>
        </w:rPr>
        <w:t>e</w:t>
      </w:r>
      <w:r w:rsidR="00DE051E" w:rsidRPr="00A55F3A">
        <w:rPr>
          <w:rFonts w:ascii="Garamond" w:hAnsi="Garamond"/>
          <w:sz w:val="22"/>
          <w:szCs w:val="22"/>
        </w:rPr>
        <w:t xml:space="preserve"> the</w:t>
      </w:r>
      <w:r w:rsidRPr="00A55F3A">
        <w:rPr>
          <w:rFonts w:ascii="Garamond" w:hAnsi="Garamond"/>
          <w:sz w:val="22"/>
          <w:szCs w:val="22"/>
        </w:rPr>
        <w:t xml:space="preserve"> efficiency </w:t>
      </w:r>
      <w:r w:rsidR="00E973F4" w:rsidRPr="00A55F3A">
        <w:rPr>
          <w:rFonts w:ascii="Garamond" w:hAnsi="Garamond"/>
          <w:sz w:val="22"/>
          <w:szCs w:val="22"/>
        </w:rPr>
        <w:t>and accuracy</w:t>
      </w:r>
      <w:r w:rsidR="00DE051E" w:rsidRPr="00A55F3A">
        <w:rPr>
          <w:rFonts w:ascii="Garamond" w:hAnsi="Garamond"/>
          <w:sz w:val="22"/>
          <w:szCs w:val="22"/>
        </w:rPr>
        <w:t xml:space="preserve"> of</w:t>
      </w:r>
      <w:r w:rsidR="003567BF" w:rsidRPr="00A55F3A">
        <w:rPr>
          <w:rFonts w:ascii="Garamond" w:hAnsi="Garamond"/>
          <w:sz w:val="22"/>
          <w:szCs w:val="22"/>
        </w:rPr>
        <w:t xml:space="preserve"> </w:t>
      </w:r>
      <w:r w:rsidRPr="00A55F3A">
        <w:rPr>
          <w:rFonts w:ascii="Garamond" w:hAnsi="Garamond"/>
          <w:sz w:val="22"/>
          <w:szCs w:val="22"/>
        </w:rPr>
        <w:t xml:space="preserve">the </w:t>
      </w:r>
      <w:r w:rsidRPr="00A55F3A">
        <w:rPr>
          <w:rFonts w:ascii="Garamond" w:hAnsi="Garamond"/>
          <w:sz w:val="22"/>
          <w:szCs w:val="22"/>
        </w:rPr>
        <w:lastRenderedPageBreak/>
        <w:t>civil justice</w:t>
      </w:r>
      <w:r w:rsidR="00E973F4" w:rsidRPr="00A55F3A">
        <w:rPr>
          <w:rFonts w:ascii="Garamond" w:hAnsi="Garamond"/>
          <w:sz w:val="22"/>
          <w:szCs w:val="22"/>
        </w:rPr>
        <w:t xml:space="preserve"> system</w:t>
      </w:r>
      <w:r w:rsidRPr="00A55F3A">
        <w:rPr>
          <w:rFonts w:ascii="Garamond" w:hAnsi="Garamond"/>
          <w:sz w:val="22"/>
          <w:szCs w:val="22"/>
        </w:rPr>
        <w:t xml:space="preserve">. For instance, Legislative Decree n.83 has recently introduced changes </w:t>
      </w:r>
      <w:r w:rsidR="00691E3E">
        <w:rPr>
          <w:rFonts w:ascii="Garamond" w:hAnsi="Garamond"/>
          <w:sz w:val="22"/>
          <w:szCs w:val="22"/>
        </w:rPr>
        <w:t>to</w:t>
      </w:r>
      <w:r w:rsidRPr="00A55F3A">
        <w:rPr>
          <w:rFonts w:ascii="Garamond" w:hAnsi="Garamond"/>
          <w:sz w:val="22"/>
          <w:szCs w:val="22"/>
        </w:rPr>
        <w:t xml:space="preserve"> the appeal system</w:t>
      </w:r>
      <w:r w:rsidR="00E973F4" w:rsidRPr="00A55F3A">
        <w:rPr>
          <w:rFonts w:ascii="Garamond" w:hAnsi="Garamond"/>
          <w:sz w:val="22"/>
          <w:szCs w:val="22"/>
        </w:rPr>
        <w:t xml:space="preserve"> that should expedite the final decision of</w:t>
      </w:r>
      <w:r w:rsidR="003567BF" w:rsidRPr="00A55F3A">
        <w:rPr>
          <w:rFonts w:ascii="Garamond" w:hAnsi="Garamond"/>
          <w:sz w:val="22"/>
          <w:szCs w:val="22"/>
        </w:rPr>
        <w:t xml:space="preserve"> </w:t>
      </w:r>
      <w:r w:rsidR="00E973F4" w:rsidRPr="00A55F3A">
        <w:rPr>
          <w:rFonts w:ascii="Garamond" w:hAnsi="Garamond"/>
          <w:sz w:val="22"/>
          <w:szCs w:val="22"/>
        </w:rPr>
        <w:t>civil cases.</w:t>
      </w:r>
      <w:r w:rsidRPr="00A55F3A">
        <w:rPr>
          <w:rStyle w:val="FootnoteReference"/>
          <w:rFonts w:ascii="Garamond" w:eastAsia="BookAntiqua" w:hAnsi="Garamond"/>
          <w:sz w:val="22"/>
          <w:szCs w:val="22"/>
        </w:rPr>
        <w:footnoteReference w:id="46"/>
      </w:r>
      <w:r w:rsidRPr="00A55F3A">
        <w:rPr>
          <w:rFonts w:ascii="Garamond" w:hAnsi="Garamond"/>
          <w:sz w:val="22"/>
          <w:szCs w:val="22"/>
        </w:rPr>
        <w:t xml:space="preserve"> However, the regime of </w:t>
      </w:r>
      <w:r w:rsidR="00291400" w:rsidRPr="00A55F3A">
        <w:rPr>
          <w:rFonts w:ascii="Garamond" w:hAnsi="Garamond"/>
          <w:sz w:val="22"/>
          <w:szCs w:val="22"/>
        </w:rPr>
        <w:t>IOE</w:t>
      </w:r>
      <w:r w:rsidRPr="00A55F3A">
        <w:rPr>
          <w:rFonts w:ascii="Garamond" w:hAnsi="Garamond"/>
          <w:sz w:val="22"/>
          <w:szCs w:val="22"/>
        </w:rPr>
        <w:t xml:space="preserve"> </w:t>
      </w:r>
      <w:r w:rsidR="00E973F4" w:rsidRPr="00A55F3A">
        <w:rPr>
          <w:rFonts w:ascii="Garamond" w:hAnsi="Garamond"/>
          <w:sz w:val="22"/>
          <w:szCs w:val="22"/>
        </w:rPr>
        <w:t xml:space="preserve">is largely based </w:t>
      </w:r>
      <w:r w:rsidR="00DE051E" w:rsidRPr="00A55F3A">
        <w:rPr>
          <w:rFonts w:ascii="Garamond" w:hAnsi="Garamond"/>
          <w:sz w:val="22"/>
          <w:szCs w:val="22"/>
        </w:rPr>
        <w:t xml:space="preserve">on </w:t>
      </w:r>
      <w:r w:rsidR="00E973F4" w:rsidRPr="00A55F3A">
        <w:rPr>
          <w:rFonts w:ascii="Garamond" w:hAnsi="Garamond"/>
          <w:sz w:val="22"/>
          <w:szCs w:val="22"/>
        </w:rPr>
        <w:t>case law.</w:t>
      </w:r>
      <w:r w:rsidR="006D62CC" w:rsidRPr="00A55F3A">
        <w:rPr>
          <w:rStyle w:val="FootnoteReference"/>
          <w:rFonts w:ascii="Garamond" w:eastAsia="BookAntiqua" w:hAnsi="Garamond"/>
          <w:sz w:val="22"/>
          <w:szCs w:val="22"/>
        </w:rPr>
        <w:footnoteReference w:id="47"/>
      </w:r>
    </w:p>
    <w:p w14:paraId="4EBB7F4C" w14:textId="0432B461" w:rsidR="00EA6183" w:rsidRPr="00A55F3A" w:rsidRDefault="00593D4F" w:rsidP="00A55F3A">
      <w:pPr>
        <w:pStyle w:val="Standard"/>
        <w:spacing w:line="480" w:lineRule="auto"/>
        <w:rPr>
          <w:rFonts w:ascii="Garamond" w:eastAsia="BookAntiqua-Italic" w:hAnsi="Garamond"/>
          <w:sz w:val="22"/>
          <w:szCs w:val="22"/>
        </w:rPr>
      </w:pPr>
      <w:r w:rsidRPr="00A55F3A">
        <w:rPr>
          <w:rFonts w:ascii="Garamond" w:hAnsi="Garamond"/>
          <w:sz w:val="22"/>
          <w:szCs w:val="22"/>
        </w:rPr>
        <w:t xml:space="preserve">The most probable starting point of the present </w:t>
      </w:r>
      <w:r w:rsidR="00471F45" w:rsidRPr="00A55F3A">
        <w:rPr>
          <w:rFonts w:ascii="Garamond" w:hAnsi="Garamond"/>
          <w:sz w:val="22"/>
          <w:szCs w:val="22"/>
        </w:rPr>
        <w:t>line of authority</w:t>
      </w:r>
      <w:r w:rsidR="003567BF" w:rsidRPr="00A55F3A">
        <w:rPr>
          <w:rFonts w:ascii="Garamond" w:hAnsi="Garamond"/>
          <w:sz w:val="22"/>
          <w:szCs w:val="22"/>
        </w:rPr>
        <w:t xml:space="preserve"> </w:t>
      </w:r>
      <w:r w:rsidRPr="00A55F3A">
        <w:rPr>
          <w:rFonts w:ascii="Garamond" w:hAnsi="Garamond"/>
          <w:sz w:val="22"/>
          <w:szCs w:val="22"/>
        </w:rPr>
        <w:t xml:space="preserve">is an 1884 decision by the Corte di Cassazione - the </w:t>
      </w:r>
      <w:r w:rsidR="00691E3E">
        <w:rPr>
          <w:rFonts w:ascii="Garamond" w:hAnsi="Garamond"/>
          <w:sz w:val="22"/>
          <w:szCs w:val="22"/>
        </w:rPr>
        <w:t>highest court in civil cases for final cassation appeals</w:t>
      </w:r>
      <w:r w:rsidRPr="00A55F3A">
        <w:rPr>
          <w:rFonts w:ascii="Garamond" w:hAnsi="Garamond"/>
          <w:sz w:val="22"/>
          <w:szCs w:val="22"/>
        </w:rPr>
        <w:t xml:space="preserve">. </w:t>
      </w:r>
      <w:r w:rsidR="00E973F4" w:rsidRPr="00A55F3A">
        <w:rPr>
          <w:rFonts w:ascii="Garamond" w:hAnsi="Garamond"/>
          <w:sz w:val="22"/>
          <w:szCs w:val="22"/>
        </w:rPr>
        <w:t xml:space="preserve">The ancillary issue concerned </w:t>
      </w:r>
      <w:r w:rsidRPr="00A55F3A">
        <w:rPr>
          <w:rFonts w:ascii="Garamond" w:hAnsi="Garamond"/>
          <w:sz w:val="22"/>
          <w:szCs w:val="22"/>
        </w:rPr>
        <w:t xml:space="preserve">a stolen letter that, </w:t>
      </w:r>
      <w:r w:rsidR="00471F45" w:rsidRPr="00A55F3A">
        <w:rPr>
          <w:rFonts w:ascii="Garamond" w:hAnsi="Garamond"/>
          <w:sz w:val="22"/>
          <w:szCs w:val="22"/>
        </w:rPr>
        <w:t>if accepted by the court</w:t>
      </w:r>
      <w:r w:rsidRPr="00A55F3A">
        <w:rPr>
          <w:rFonts w:ascii="Garamond" w:hAnsi="Garamond"/>
          <w:sz w:val="22"/>
          <w:szCs w:val="22"/>
        </w:rPr>
        <w:t>, might have proved the existence of a contested payment. The Cassazione refused to allow the letter as evidence</w:t>
      </w:r>
      <w:r w:rsidR="00AD081C" w:rsidRPr="00A55F3A">
        <w:rPr>
          <w:rFonts w:ascii="Garamond" w:hAnsi="Garamond"/>
          <w:sz w:val="22"/>
          <w:szCs w:val="22"/>
        </w:rPr>
        <w:t>,</w:t>
      </w:r>
      <w:r w:rsidRPr="00A55F3A">
        <w:rPr>
          <w:rFonts w:ascii="Garamond" w:hAnsi="Garamond"/>
          <w:sz w:val="22"/>
          <w:szCs w:val="22"/>
        </w:rPr>
        <w:t xml:space="preserve"> setting a </w:t>
      </w:r>
      <w:r w:rsidR="00E973F4" w:rsidRPr="00A55F3A">
        <w:rPr>
          <w:rFonts w:ascii="Garamond" w:hAnsi="Garamond"/>
          <w:sz w:val="22"/>
          <w:szCs w:val="22"/>
        </w:rPr>
        <w:t>practice</w:t>
      </w:r>
      <w:r w:rsidR="003567BF" w:rsidRPr="00A55F3A">
        <w:rPr>
          <w:rFonts w:ascii="Garamond" w:hAnsi="Garamond"/>
          <w:sz w:val="22"/>
          <w:szCs w:val="22"/>
        </w:rPr>
        <w:t xml:space="preserve"> </w:t>
      </w:r>
      <w:r w:rsidRPr="00A55F3A">
        <w:rPr>
          <w:rFonts w:ascii="Garamond" w:hAnsi="Garamond"/>
          <w:sz w:val="22"/>
          <w:szCs w:val="22"/>
        </w:rPr>
        <w:t>that bound</w:t>
      </w:r>
      <w:r w:rsidR="001B5744" w:rsidRPr="00A55F3A">
        <w:rPr>
          <w:rFonts w:ascii="Garamond" w:hAnsi="Garamond"/>
          <w:sz w:val="22"/>
          <w:szCs w:val="22"/>
        </w:rPr>
        <w:t>ed</w:t>
      </w:r>
      <w:r w:rsidRPr="00A55F3A">
        <w:rPr>
          <w:rFonts w:ascii="Garamond" w:hAnsi="Garamond"/>
          <w:sz w:val="22"/>
          <w:szCs w:val="22"/>
        </w:rPr>
        <w:t xml:space="preserve"> all </w:t>
      </w:r>
      <w:r w:rsidR="001B5744" w:rsidRPr="00A55F3A">
        <w:rPr>
          <w:rFonts w:ascii="Garamond" w:hAnsi="Garamond"/>
          <w:sz w:val="22"/>
          <w:szCs w:val="22"/>
        </w:rPr>
        <w:t xml:space="preserve">the </w:t>
      </w:r>
      <w:r w:rsidR="00E973F4" w:rsidRPr="00A55F3A">
        <w:rPr>
          <w:rFonts w:ascii="Garamond" w:hAnsi="Garamond"/>
          <w:sz w:val="22"/>
          <w:szCs w:val="22"/>
        </w:rPr>
        <w:t>courts of the Italian Kingdom</w:t>
      </w:r>
      <w:r w:rsidRPr="00A55F3A">
        <w:rPr>
          <w:rFonts w:ascii="Garamond" w:hAnsi="Garamond"/>
          <w:sz w:val="22"/>
          <w:szCs w:val="22"/>
        </w:rPr>
        <w:t xml:space="preserve">. The important aspect of the decision is, at least for our debate, the </w:t>
      </w:r>
      <w:r w:rsidRPr="00A55F3A">
        <w:rPr>
          <w:rFonts w:ascii="Garamond" w:hAnsi="Garamond"/>
          <w:i/>
          <w:sz w:val="22"/>
          <w:szCs w:val="22"/>
        </w:rPr>
        <w:t>ratio</w:t>
      </w:r>
      <w:r w:rsidRPr="00A55F3A">
        <w:rPr>
          <w:rFonts w:ascii="Garamond" w:hAnsi="Garamond"/>
          <w:sz w:val="22"/>
          <w:szCs w:val="22"/>
        </w:rPr>
        <w:t xml:space="preserve"> given to </w:t>
      </w:r>
      <w:r w:rsidR="006D62CC" w:rsidRPr="00A55F3A">
        <w:rPr>
          <w:rFonts w:ascii="Garamond" w:hAnsi="Garamond"/>
          <w:sz w:val="22"/>
          <w:szCs w:val="22"/>
        </w:rPr>
        <w:t xml:space="preserve">support </w:t>
      </w:r>
      <w:r w:rsidR="00A95AD6" w:rsidRPr="00A55F3A">
        <w:rPr>
          <w:rFonts w:ascii="Garamond" w:hAnsi="Garamond"/>
          <w:sz w:val="22"/>
          <w:szCs w:val="22"/>
        </w:rPr>
        <w:t>it</w:t>
      </w:r>
      <w:r w:rsidRPr="00A55F3A">
        <w:rPr>
          <w:rFonts w:ascii="Garamond" w:hAnsi="Garamond"/>
          <w:sz w:val="22"/>
          <w:szCs w:val="22"/>
        </w:rPr>
        <w:t>. In the explanation</w:t>
      </w:r>
      <w:r w:rsidR="00AD081C" w:rsidRPr="00A55F3A">
        <w:rPr>
          <w:rFonts w:ascii="Garamond" w:hAnsi="Garamond"/>
          <w:sz w:val="22"/>
          <w:szCs w:val="22"/>
        </w:rPr>
        <w:t>,</w:t>
      </w:r>
      <w:r w:rsidRPr="00A55F3A">
        <w:rPr>
          <w:rFonts w:ascii="Garamond" w:hAnsi="Garamond"/>
          <w:sz w:val="22"/>
          <w:szCs w:val="22"/>
        </w:rPr>
        <w:t xml:space="preserve"> the Cassazione engaged</w:t>
      </w:r>
      <w:r w:rsidR="00E973F4" w:rsidRPr="00A55F3A">
        <w:rPr>
          <w:rFonts w:ascii="Garamond" w:hAnsi="Garamond"/>
          <w:sz w:val="22"/>
          <w:szCs w:val="22"/>
        </w:rPr>
        <w:t xml:space="preserve"> </w:t>
      </w:r>
      <w:r w:rsidRPr="00A55F3A">
        <w:rPr>
          <w:rFonts w:ascii="Garamond" w:hAnsi="Garamond"/>
          <w:sz w:val="22"/>
          <w:szCs w:val="22"/>
        </w:rPr>
        <w:t>the</w:t>
      </w:r>
      <w:r w:rsidR="00E973F4" w:rsidRPr="00A55F3A">
        <w:rPr>
          <w:rFonts w:ascii="Garamond" w:hAnsi="Garamond"/>
          <w:sz w:val="22"/>
          <w:szCs w:val="22"/>
        </w:rPr>
        <w:t xml:space="preserve"> deontological</w:t>
      </w:r>
      <w:r w:rsidR="003567BF" w:rsidRPr="00A55F3A">
        <w:rPr>
          <w:rFonts w:ascii="Garamond" w:hAnsi="Garamond"/>
          <w:sz w:val="22"/>
          <w:szCs w:val="22"/>
        </w:rPr>
        <w:t xml:space="preserve"> </w:t>
      </w:r>
      <w:r w:rsidRPr="00A55F3A">
        <w:rPr>
          <w:rFonts w:ascii="Garamond" w:hAnsi="Garamond"/>
          <w:sz w:val="22"/>
          <w:szCs w:val="22"/>
        </w:rPr>
        <w:t>implication</w:t>
      </w:r>
      <w:r w:rsidR="00471F45" w:rsidRPr="00A55F3A">
        <w:rPr>
          <w:rFonts w:ascii="Garamond" w:hAnsi="Garamond"/>
          <w:sz w:val="22"/>
          <w:szCs w:val="22"/>
        </w:rPr>
        <w:t>s</w:t>
      </w:r>
      <w:r w:rsidRPr="00A55F3A">
        <w:rPr>
          <w:rFonts w:ascii="Garamond" w:hAnsi="Garamond"/>
          <w:sz w:val="22"/>
          <w:szCs w:val="22"/>
        </w:rPr>
        <w:t xml:space="preserve"> of allowing a violation of right (in this case of ownership of a letter) with the </w:t>
      </w:r>
      <w:r w:rsidR="00E973F4" w:rsidRPr="00A55F3A">
        <w:rPr>
          <w:rFonts w:ascii="Garamond" w:hAnsi="Garamond"/>
          <w:sz w:val="22"/>
          <w:szCs w:val="22"/>
        </w:rPr>
        <w:t xml:space="preserve">prerogative </w:t>
      </w:r>
      <w:r w:rsidRPr="00A55F3A">
        <w:rPr>
          <w:rFonts w:ascii="Garamond" w:hAnsi="Garamond"/>
          <w:sz w:val="22"/>
          <w:szCs w:val="22"/>
        </w:rPr>
        <w:t xml:space="preserve">to present </w:t>
      </w:r>
      <w:r w:rsidR="00C10D33" w:rsidRPr="00A55F3A">
        <w:rPr>
          <w:rFonts w:ascii="Garamond" w:hAnsi="Garamond"/>
          <w:sz w:val="22"/>
          <w:szCs w:val="22"/>
        </w:rPr>
        <w:t xml:space="preserve">an </w:t>
      </w:r>
      <w:r w:rsidR="00691E3E">
        <w:rPr>
          <w:rFonts w:ascii="Garamond" w:hAnsi="Garamond"/>
          <w:sz w:val="22"/>
          <w:szCs w:val="22"/>
        </w:rPr>
        <w:t xml:space="preserve">item of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(of another right)</w:t>
      </w:r>
      <w:r w:rsidR="00E973F4" w:rsidRPr="00A55F3A">
        <w:rPr>
          <w:rFonts w:ascii="Garamond" w:hAnsi="Garamond"/>
          <w:sz w:val="22"/>
          <w:szCs w:val="22"/>
        </w:rPr>
        <w:t xml:space="preserve"> and decided that rights could not be trumped</w:t>
      </w:r>
      <w:r w:rsidRPr="00A55F3A">
        <w:rPr>
          <w:rFonts w:ascii="Garamond" w:hAnsi="Garamond"/>
          <w:sz w:val="22"/>
          <w:szCs w:val="22"/>
        </w:rPr>
        <w:t xml:space="preserve"> </w:t>
      </w:r>
      <w:r w:rsidR="00E973F4" w:rsidRPr="00A55F3A">
        <w:rPr>
          <w:rFonts w:ascii="Garamond" w:hAnsi="Garamond"/>
          <w:sz w:val="22"/>
          <w:szCs w:val="22"/>
        </w:rPr>
        <w:t>by a procedural prerogative.</w:t>
      </w:r>
      <w:r w:rsidRPr="00A55F3A">
        <w:rPr>
          <w:rStyle w:val="FootnoteReference"/>
          <w:rFonts w:ascii="Garamond" w:eastAsia="BookAntiqua" w:hAnsi="Garamond"/>
          <w:sz w:val="22"/>
          <w:szCs w:val="22"/>
        </w:rPr>
        <w:footnoteReference w:id="48"/>
      </w:r>
      <w:r w:rsidRPr="00A55F3A">
        <w:rPr>
          <w:rFonts w:ascii="Garamond" w:hAnsi="Garamond"/>
          <w:sz w:val="22"/>
          <w:szCs w:val="22"/>
        </w:rPr>
        <w:t xml:space="preserve"> </w:t>
      </w:r>
      <w:r w:rsidR="00EA6183" w:rsidRPr="00A55F3A">
        <w:rPr>
          <w:rFonts w:ascii="Garamond" w:eastAsia="BookAntiqua-Italic" w:hAnsi="Garamond"/>
          <w:sz w:val="22"/>
          <w:szCs w:val="22"/>
        </w:rPr>
        <w:t>A</w:t>
      </w:r>
      <w:r w:rsidRPr="00A55F3A">
        <w:rPr>
          <w:rFonts w:ascii="Garamond" w:eastAsia="BookAntiqua-Italic" w:hAnsi="Garamond"/>
          <w:sz w:val="22"/>
          <w:szCs w:val="22"/>
        </w:rPr>
        <w:t xml:space="preserve">n analogous evaluation </w:t>
      </w:r>
      <w:r w:rsidR="00EA6183" w:rsidRPr="00A55F3A">
        <w:rPr>
          <w:rFonts w:ascii="Garamond" w:eastAsia="BookAntiqua-Italic" w:hAnsi="Garamond"/>
          <w:sz w:val="22"/>
          <w:szCs w:val="22"/>
        </w:rPr>
        <w:t>(</w:t>
      </w:r>
      <w:r w:rsidRPr="00A55F3A">
        <w:rPr>
          <w:rFonts w:ascii="Garamond" w:eastAsia="BookAntiqua-Italic" w:hAnsi="Garamond"/>
          <w:sz w:val="22"/>
          <w:szCs w:val="22"/>
        </w:rPr>
        <w:t xml:space="preserve">based on balancing rights </w:t>
      </w:r>
      <w:r w:rsidR="00E973F4" w:rsidRPr="00A55F3A">
        <w:rPr>
          <w:rFonts w:ascii="Garamond" w:eastAsia="BookAntiqua-Italic" w:hAnsi="Garamond"/>
          <w:sz w:val="22"/>
          <w:szCs w:val="22"/>
        </w:rPr>
        <w:t>against procedural prerogative</w:t>
      </w:r>
      <w:r w:rsidR="00EA6183" w:rsidRPr="00A55F3A">
        <w:rPr>
          <w:rFonts w:ascii="Garamond" w:eastAsia="BookAntiqua-Italic" w:hAnsi="Garamond"/>
          <w:sz w:val="22"/>
          <w:szCs w:val="22"/>
        </w:rPr>
        <w:t xml:space="preserve">) </w:t>
      </w:r>
      <w:r w:rsidR="00E973F4" w:rsidRPr="00A55F3A">
        <w:rPr>
          <w:rFonts w:ascii="Garamond" w:eastAsia="BookAntiqua-Italic" w:hAnsi="Garamond"/>
          <w:sz w:val="22"/>
          <w:szCs w:val="22"/>
        </w:rPr>
        <w:t xml:space="preserve"> </w:t>
      </w:r>
      <w:r w:rsidR="00EA6183" w:rsidRPr="00A55F3A">
        <w:rPr>
          <w:rFonts w:ascii="Garamond" w:eastAsia="BookAntiqua-Italic" w:hAnsi="Garamond"/>
          <w:sz w:val="22"/>
          <w:szCs w:val="22"/>
        </w:rPr>
        <w:t xml:space="preserve">is </w:t>
      </w:r>
      <w:r w:rsidR="00B5258C" w:rsidRPr="00A55F3A">
        <w:rPr>
          <w:rFonts w:ascii="Garamond" w:eastAsia="BookAntiqua-Italic" w:hAnsi="Garamond"/>
          <w:sz w:val="22"/>
          <w:szCs w:val="22"/>
        </w:rPr>
        <w:t xml:space="preserve"> </w:t>
      </w:r>
      <w:r w:rsidR="00F60E23" w:rsidRPr="00A55F3A">
        <w:rPr>
          <w:rFonts w:ascii="Garamond" w:eastAsia="BookAntiqua-Italic" w:hAnsi="Garamond"/>
          <w:sz w:val="22"/>
          <w:szCs w:val="22"/>
        </w:rPr>
        <w:t>a</w:t>
      </w:r>
      <w:r w:rsidR="00EA6183" w:rsidRPr="00A55F3A">
        <w:rPr>
          <w:rFonts w:ascii="Garamond" w:eastAsia="BookAntiqua-Italic" w:hAnsi="Garamond"/>
          <w:sz w:val="22"/>
          <w:szCs w:val="22"/>
        </w:rPr>
        <w:t xml:space="preserve">  </w:t>
      </w:r>
      <w:r w:rsidRPr="00A55F3A">
        <w:rPr>
          <w:rFonts w:ascii="Garamond" w:eastAsia="BookAntiqua-Italic" w:hAnsi="Garamond"/>
          <w:sz w:val="22"/>
          <w:szCs w:val="22"/>
        </w:rPr>
        <w:t>1934 Court of Appeal</w:t>
      </w:r>
      <w:r w:rsidR="00EA6183" w:rsidRPr="00A55F3A">
        <w:rPr>
          <w:rFonts w:ascii="Garamond" w:eastAsia="BookAntiqua-Italic" w:hAnsi="Garamond"/>
          <w:sz w:val="22"/>
          <w:szCs w:val="22"/>
        </w:rPr>
        <w:t xml:space="preserve"> decision</w:t>
      </w:r>
      <w:r w:rsidRPr="00A55F3A">
        <w:rPr>
          <w:rFonts w:ascii="Garamond" w:eastAsia="BookAntiqua-Italic" w:hAnsi="Garamond"/>
          <w:sz w:val="22"/>
          <w:szCs w:val="22"/>
        </w:rPr>
        <w:t>.</w:t>
      </w:r>
      <w:r w:rsidRPr="00A55F3A">
        <w:rPr>
          <w:rStyle w:val="FootnoteReference"/>
          <w:rFonts w:ascii="Garamond" w:eastAsia="BookAntiqua-Italic" w:hAnsi="Garamond"/>
          <w:sz w:val="22"/>
          <w:szCs w:val="22"/>
        </w:rPr>
        <w:footnoteReference w:id="49"/>
      </w:r>
      <w:r w:rsidRPr="00A55F3A">
        <w:rPr>
          <w:rFonts w:ascii="Garamond" w:eastAsia="BookAntiqua-Italic" w:hAnsi="Garamond"/>
          <w:sz w:val="22"/>
          <w:szCs w:val="22"/>
        </w:rPr>
        <w:t xml:space="preserve"> </w:t>
      </w:r>
    </w:p>
    <w:p w14:paraId="199C2ACE" w14:textId="7A7A4F43" w:rsidR="00A95D1D" w:rsidRPr="00A55F3A" w:rsidRDefault="00593D4F" w:rsidP="00A55F3A">
      <w:pPr>
        <w:pStyle w:val="Standard"/>
        <w:spacing w:line="480" w:lineRule="auto"/>
        <w:rPr>
          <w:rFonts w:ascii="Garamond" w:eastAsia="BookAntiqua" w:hAnsi="Garamond"/>
          <w:sz w:val="22"/>
          <w:szCs w:val="22"/>
        </w:rPr>
      </w:pPr>
      <w:r w:rsidRPr="00A55F3A">
        <w:rPr>
          <w:rFonts w:ascii="Garamond" w:hAnsi="Garamond"/>
          <w:sz w:val="22"/>
          <w:szCs w:val="22"/>
        </w:rPr>
        <w:t xml:space="preserve">In 1935, the Corte di Cassazione was asked to go back again to the issue of </w:t>
      </w:r>
      <w:r w:rsidR="000E4C71" w:rsidRPr="00A55F3A">
        <w:rPr>
          <w:rFonts w:ascii="Garamond" w:hAnsi="Garamond"/>
          <w:sz w:val="22"/>
          <w:szCs w:val="22"/>
        </w:rPr>
        <w:t xml:space="preserve">the </w:t>
      </w:r>
      <w:r w:rsidRPr="00A55F3A">
        <w:rPr>
          <w:rFonts w:ascii="Garamond" w:hAnsi="Garamond"/>
          <w:sz w:val="22"/>
          <w:szCs w:val="22"/>
        </w:rPr>
        <w:t xml:space="preserve">stolen letter as evidence of a </w:t>
      </w:r>
      <w:r w:rsidR="00691E3E">
        <w:rPr>
          <w:rFonts w:ascii="Garamond" w:hAnsi="Garamond"/>
          <w:sz w:val="22"/>
          <w:szCs w:val="22"/>
        </w:rPr>
        <w:t>debt</w:t>
      </w:r>
      <w:r w:rsidR="001B5744" w:rsidRPr="00A55F3A">
        <w:rPr>
          <w:rFonts w:ascii="Garamond" w:hAnsi="Garamond"/>
          <w:sz w:val="22"/>
          <w:szCs w:val="22"/>
        </w:rPr>
        <w:t xml:space="preserve"> and confirmed its previous decision.</w:t>
      </w:r>
      <w:r w:rsidR="003567BF" w:rsidRPr="00A55F3A">
        <w:rPr>
          <w:rFonts w:ascii="Garamond" w:hAnsi="Garamond"/>
          <w:sz w:val="22"/>
          <w:szCs w:val="22"/>
        </w:rPr>
        <w:t xml:space="preserve"> </w:t>
      </w:r>
      <w:r w:rsidRPr="00A55F3A">
        <w:rPr>
          <w:rFonts w:ascii="Garamond" w:hAnsi="Garamond"/>
          <w:sz w:val="22"/>
          <w:szCs w:val="22"/>
        </w:rPr>
        <w:t>The 1935 case is significant</w:t>
      </w:r>
      <w:r w:rsidR="00A95D1D" w:rsidRPr="00A55F3A">
        <w:rPr>
          <w:rFonts w:ascii="Garamond" w:hAnsi="Garamond"/>
          <w:sz w:val="22"/>
          <w:szCs w:val="22"/>
        </w:rPr>
        <w:t xml:space="preserve"> for our debate</w:t>
      </w:r>
      <w:r w:rsidRPr="00A55F3A">
        <w:rPr>
          <w:rFonts w:ascii="Garamond" w:hAnsi="Garamond"/>
          <w:sz w:val="22"/>
          <w:szCs w:val="22"/>
        </w:rPr>
        <w:t xml:space="preserve"> because the Cassazione had the opportunity to introduce an element of flexibility </w:t>
      </w:r>
      <w:r w:rsidR="002E560F">
        <w:rPr>
          <w:rFonts w:ascii="Garamond" w:hAnsi="Garamond"/>
          <w:sz w:val="22"/>
          <w:szCs w:val="22"/>
        </w:rPr>
        <w:t>to</w:t>
      </w:r>
      <w:r w:rsidRPr="00A55F3A">
        <w:rPr>
          <w:rFonts w:ascii="Garamond" w:hAnsi="Garamond"/>
          <w:sz w:val="22"/>
          <w:szCs w:val="22"/>
        </w:rPr>
        <w:t xml:space="preserve"> the regime of </w:t>
      </w:r>
      <w:r w:rsidR="00291400" w:rsidRPr="00A55F3A">
        <w:rPr>
          <w:rFonts w:ascii="Garamond" w:hAnsi="Garamond"/>
          <w:sz w:val="22"/>
          <w:szCs w:val="22"/>
        </w:rPr>
        <w:t>IOE</w:t>
      </w:r>
      <w:r w:rsidRPr="00A55F3A">
        <w:rPr>
          <w:rFonts w:ascii="Garamond" w:hAnsi="Garamond"/>
          <w:sz w:val="22"/>
          <w:szCs w:val="22"/>
        </w:rPr>
        <w:t>. The ancillary legal issue was whether the stolen letter could be considered as an indication of</w:t>
      </w:r>
      <w:r w:rsidR="00C10D33" w:rsidRPr="00A55F3A">
        <w:rPr>
          <w:rFonts w:ascii="Garamond" w:hAnsi="Garamond"/>
          <w:sz w:val="22"/>
          <w:szCs w:val="22"/>
        </w:rPr>
        <w:t xml:space="preserve"> </w:t>
      </w:r>
      <w:r w:rsidR="00F60E23" w:rsidRPr="00A55F3A">
        <w:rPr>
          <w:rFonts w:ascii="Garamond" w:hAnsi="Garamond"/>
          <w:sz w:val="22"/>
          <w:szCs w:val="22"/>
        </w:rPr>
        <w:t>further</w:t>
      </w:r>
      <w:r w:rsidRPr="00A55F3A">
        <w:rPr>
          <w:rFonts w:ascii="Garamond" w:hAnsi="Garamond"/>
          <w:sz w:val="22"/>
          <w:szCs w:val="22"/>
        </w:rPr>
        <w:t xml:space="preserve">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w:t>
      </w:r>
      <w:r w:rsidR="00F60E23" w:rsidRPr="00A55F3A">
        <w:rPr>
          <w:rFonts w:ascii="Garamond" w:hAnsi="Garamond"/>
          <w:sz w:val="22"/>
          <w:szCs w:val="22"/>
        </w:rPr>
        <w:t xml:space="preserve">If the Cassazione were to answer positively, lower courts might, for instance, rely on an IOE to subpoena further documents or, perhaps, to subsume the existence of additional evidence. </w:t>
      </w:r>
      <w:r w:rsidRPr="00A55F3A">
        <w:rPr>
          <w:rFonts w:ascii="Garamond" w:hAnsi="Garamond"/>
          <w:sz w:val="22"/>
          <w:szCs w:val="22"/>
        </w:rPr>
        <w:t>However, the response of the Cassa</w:t>
      </w:r>
      <w:r w:rsidR="001B5744" w:rsidRPr="00A55F3A">
        <w:rPr>
          <w:rFonts w:ascii="Garamond" w:hAnsi="Garamond"/>
          <w:sz w:val="22"/>
          <w:szCs w:val="22"/>
        </w:rPr>
        <w:t>zione was again on the negative</w:t>
      </w:r>
      <w:r w:rsidR="005D080C" w:rsidRPr="00A55F3A">
        <w:rPr>
          <w:rFonts w:ascii="Garamond" w:hAnsi="Garamond"/>
          <w:sz w:val="22"/>
          <w:szCs w:val="22"/>
        </w:rPr>
        <w:t>,</w:t>
      </w:r>
      <w:r w:rsidR="001B5744" w:rsidRPr="00A55F3A">
        <w:rPr>
          <w:rFonts w:ascii="Garamond" w:hAnsi="Garamond"/>
          <w:sz w:val="22"/>
          <w:szCs w:val="22"/>
        </w:rPr>
        <w:t xml:space="preserve"> </w:t>
      </w:r>
      <w:r w:rsidR="000E4C71" w:rsidRPr="00A55F3A">
        <w:rPr>
          <w:rFonts w:ascii="Garamond" w:hAnsi="Garamond"/>
          <w:sz w:val="22"/>
          <w:szCs w:val="22"/>
        </w:rPr>
        <w:t xml:space="preserve">and </w:t>
      </w:r>
      <w:r w:rsidR="001B5744" w:rsidRPr="00A55F3A">
        <w:rPr>
          <w:rFonts w:ascii="Garamond" w:hAnsi="Garamond"/>
          <w:sz w:val="22"/>
          <w:szCs w:val="22"/>
        </w:rPr>
        <w:t xml:space="preserve">that had the effect of </w:t>
      </w:r>
      <w:r w:rsidR="00471F45" w:rsidRPr="00A55F3A">
        <w:rPr>
          <w:rFonts w:ascii="Garamond" w:hAnsi="Garamond"/>
          <w:sz w:val="22"/>
          <w:szCs w:val="22"/>
        </w:rPr>
        <w:t>freez</w:t>
      </w:r>
      <w:r w:rsidR="00B5258C" w:rsidRPr="00A55F3A">
        <w:rPr>
          <w:rFonts w:ascii="Garamond" w:hAnsi="Garamond"/>
          <w:sz w:val="22"/>
          <w:szCs w:val="22"/>
        </w:rPr>
        <w:t>ing</w:t>
      </w:r>
      <w:r w:rsidR="003567BF" w:rsidRPr="00A55F3A">
        <w:rPr>
          <w:rFonts w:ascii="Garamond" w:hAnsi="Garamond"/>
          <w:sz w:val="22"/>
          <w:szCs w:val="22"/>
        </w:rPr>
        <w:t xml:space="preserve"> </w:t>
      </w:r>
      <w:r w:rsidR="00471F45" w:rsidRPr="00A55F3A">
        <w:rPr>
          <w:rFonts w:ascii="Garamond" w:hAnsi="Garamond"/>
          <w:sz w:val="22"/>
          <w:szCs w:val="22"/>
        </w:rPr>
        <w:t xml:space="preserve">the line of </w:t>
      </w:r>
      <w:r w:rsidR="009C06F7" w:rsidRPr="00A55F3A">
        <w:rPr>
          <w:rFonts w:ascii="Garamond" w:hAnsi="Garamond"/>
          <w:sz w:val="22"/>
          <w:szCs w:val="22"/>
        </w:rPr>
        <w:t>authority</w:t>
      </w:r>
      <w:r w:rsidR="00B5258C" w:rsidRPr="00A55F3A">
        <w:rPr>
          <w:rFonts w:ascii="Garamond" w:hAnsi="Garamond"/>
          <w:sz w:val="22"/>
          <w:szCs w:val="22"/>
        </w:rPr>
        <w:t xml:space="preserve"> in the areas of </w:t>
      </w:r>
      <w:r w:rsidR="00291400" w:rsidRPr="00A55F3A">
        <w:rPr>
          <w:rFonts w:ascii="Garamond" w:hAnsi="Garamond"/>
          <w:sz w:val="22"/>
          <w:szCs w:val="22"/>
        </w:rPr>
        <w:t>IOE</w:t>
      </w:r>
      <w:r w:rsidR="001B5744" w:rsidRPr="00A55F3A">
        <w:rPr>
          <w:rFonts w:ascii="Garamond" w:hAnsi="Garamond"/>
          <w:sz w:val="22"/>
          <w:szCs w:val="22"/>
        </w:rPr>
        <w:t>.</w:t>
      </w:r>
      <w:r w:rsidRPr="00A55F3A">
        <w:rPr>
          <w:rStyle w:val="FootnoteReference"/>
          <w:rFonts w:ascii="Garamond" w:eastAsia="BookAntiqua-Italic" w:hAnsi="Garamond"/>
          <w:sz w:val="22"/>
          <w:szCs w:val="22"/>
        </w:rPr>
        <w:footnoteReference w:id="50"/>
      </w:r>
      <w:r w:rsidR="005D080C" w:rsidRPr="00A55F3A">
        <w:rPr>
          <w:rFonts w:ascii="Garamond" w:hAnsi="Garamond"/>
          <w:sz w:val="22"/>
          <w:szCs w:val="22"/>
        </w:rPr>
        <w:t xml:space="preserve"> </w:t>
      </w:r>
      <w:r w:rsidR="001B5744" w:rsidRPr="00A55F3A">
        <w:rPr>
          <w:rFonts w:ascii="Garamond" w:eastAsia="BookAntiqua" w:hAnsi="Garamond"/>
          <w:sz w:val="22"/>
          <w:szCs w:val="22"/>
        </w:rPr>
        <w:t>The position of the Cassazione</w:t>
      </w:r>
      <w:r w:rsidR="00471F45" w:rsidRPr="00A55F3A">
        <w:rPr>
          <w:rFonts w:ascii="Garamond" w:eastAsia="BookAntiqua" w:hAnsi="Garamond"/>
          <w:sz w:val="22"/>
          <w:szCs w:val="22"/>
        </w:rPr>
        <w:t xml:space="preserve"> on stolen document</w:t>
      </w:r>
      <w:r w:rsidR="00A95AD6" w:rsidRPr="00A55F3A">
        <w:rPr>
          <w:rFonts w:ascii="Garamond" w:eastAsia="BookAntiqua" w:hAnsi="Garamond"/>
          <w:sz w:val="22"/>
          <w:szCs w:val="22"/>
        </w:rPr>
        <w:t>s</w:t>
      </w:r>
      <w:r w:rsidR="003567BF" w:rsidRPr="00A55F3A">
        <w:rPr>
          <w:rFonts w:ascii="Garamond" w:eastAsia="BookAntiqua" w:hAnsi="Garamond"/>
          <w:sz w:val="22"/>
          <w:szCs w:val="22"/>
        </w:rPr>
        <w:t xml:space="preserve"> </w:t>
      </w:r>
      <w:r w:rsidR="001B5744" w:rsidRPr="00A55F3A">
        <w:rPr>
          <w:rFonts w:ascii="Garamond" w:eastAsia="BookAntiqua" w:hAnsi="Garamond"/>
          <w:sz w:val="22"/>
          <w:szCs w:val="22"/>
        </w:rPr>
        <w:t xml:space="preserve">was so </w:t>
      </w:r>
      <w:r w:rsidR="00B5258C" w:rsidRPr="00A55F3A">
        <w:rPr>
          <w:rFonts w:ascii="Garamond" w:eastAsia="BookAntiqua" w:hAnsi="Garamond"/>
          <w:sz w:val="22"/>
          <w:szCs w:val="22"/>
        </w:rPr>
        <w:t>precisely</w:t>
      </w:r>
      <w:r w:rsidR="003567BF" w:rsidRPr="00A55F3A">
        <w:rPr>
          <w:rFonts w:ascii="Garamond" w:eastAsia="BookAntiqua" w:hAnsi="Garamond"/>
          <w:sz w:val="22"/>
          <w:szCs w:val="22"/>
        </w:rPr>
        <w:t xml:space="preserve"> </w:t>
      </w:r>
      <w:r w:rsidR="001B5744" w:rsidRPr="00A55F3A">
        <w:rPr>
          <w:rFonts w:ascii="Garamond" w:eastAsia="BookAntiqua" w:hAnsi="Garamond"/>
          <w:sz w:val="22"/>
          <w:szCs w:val="22"/>
        </w:rPr>
        <w:t xml:space="preserve">defined that it might </w:t>
      </w:r>
      <w:r w:rsidR="00A95AD6" w:rsidRPr="00A55F3A">
        <w:rPr>
          <w:rFonts w:ascii="Garamond" w:eastAsia="BookAntiqua" w:hAnsi="Garamond"/>
          <w:sz w:val="22"/>
          <w:szCs w:val="22"/>
        </w:rPr>
        <w:t xml:space="preserve">have </w:t>
      </w:r>
      <w:r w:rsidR="001B5744" w:rsidRPr="00A55F3A">
        <w:rPr>
          <w:rFonts w:ascii="Garamond" w:eastAsia="BookAntiqua" w:hAnsi="Garamond"/>
          <w:sz w:val="22"/>
          <w:szCs w:val="22"/>
        </w:rPr>
        <w:t xml:space="preserve">had </w:t>
      </w:r>
      <w:r w:rsidR="001B5744" w:rsidRPr="00A55F3A">
        <w:rPr>
          <w:rFonts w:ascii="Garamond" w:eastAsia="BookAntiqua" w:hAnsi="Garamond"/>
          <w:sz w:val="22"/>
          <w:szCs w:val="22"/>
        </w:rPr>
        <w:lastRenderedPageBreak/>
        <w:t>the effect of</w:t>
      </w:r>
      <w:r w:rsidR="003567BF" w:rsidRPr="00A55F3A">
        <w:rPr>
          <w:rFonts w:ascii="Garamond" w:eastAsia="BookAntiqua" w:hAnsi="Garamond"/>
          <w:sz w:val="22"/>
          <w:szCs w:val="22"/>
        </w:rPr>
        <w:t xml:space="preserve"> </w:t>
      </w:r>
      <w:r w:rsidR="00A95D1D" w:rsidRPr="00A55F3A">
        <w:rPr>
          <w:rFonts w:ascii="Garamond" w:eastAsia="BookAntiqua" w:hAnsi="Garamond"/>
          <w:sz w:val="22"/>
          <w:szCs w:val="22"/>
        </w:rPr>
        <w:t>be</w:t>
      </w:r>
      <w:r w:rsidR="00A95AD6" w:rsidRPr="00A55F3A">
        <w:rPr>
          <w:rFonts w:ascii="Garamond" w:eastAsia="BookAntiqua" w:hAnsi="Garamond"/>
          <w:sz w:val="22"/>
          <w:szCs w:val="22"/>
        </w:rPr>
        <w:t>ing</w:t>
      </w:r>
      <w:r w:rsidR="00A95D1D" w:rsidRPr="00A55F3A">
        <w:rPr>
          <w:rFonts w:ascii="Garamond" w:eastAsia="BookAntiqua" w:hAnsi="Garamond"/>
          <w:sz w:val="22"/>
          <w:szCs w:val="22"/>
        </w:rPr>
        <w:t xml:space="preserve"> interpreted a</w:t>
      </w:r>
      <w:r w:rsidR="00A95AD6" w:rsidRPr="00A55F3A">
        <w:rPr>
          <w:rFonts w:ascii="Garamond" w:eastAsia="BookAntiqua" w:hAnsi="Garamond"/>
          <w:sz w:val="22"/>
          <w:szCs w:val="22"/>
        </w:rPr>
        <w:t>s</w:t>
      </w:r>
      <w:r w:rsidR="00A95D1D" w:rsidRPr="00A55F3A">
        <w:rPr>
          <w:rFonts w:ascii="Garamond" w:eastAsia="BookAntiqua" w:hAnsi="Garamond"/>
          <w:sz w:val="22"/>
          <w:szCs w:val="22"/>
        </w:rPr>
        <w:t xml:space="preserve"> </w:t>
      </w:r>
      <w:r w:rsidR="001B5744" w:rsidRPr="00A55F3A">
        <w:rPr>
          <w:rFonts w:ascii="Garamond" w:eastAsia="BookAntiqua" w:hAnsi="Garamond"/>
          <w:sz w:val="22"/>
          <w:szCs w:val="22"/>
        </w:rPr>
        <w:t>aprioristic exclu</w:t>
      </w:r>
      <w:r w:rsidR="00A95AD6" w:rsidRPr="00A55F3A">
        <w:rPr>
          <w:rFonts w:ascii="Garamond" w:eastAsia="BookAntiqua" w:hAnsi="Garamond"/>
          <w:sz w:val="22"/>
          <w:szCs w:val="22"/>
        </w:rPr>
        <w:t>sion</w:t>
      </w:r>
      <w:r w:rsidR="001B5744" w:rsidRPr="00A55F3A">
        <w:rPr>
          <w:rFonts w:ascii="Garamond" w:eastAsia="BookAntiqua" w:hAnsi="Garamond"/>
          <w:sz w:val="22"/>
          <w:szCs w:val="22"/>
        </w:rPr>
        <w:t xml:space="preserve"> </w:t>
      </w:r>
      <w:r w:rsidR="00A95AD6" w:rsidRPr="00A55F3A">
        <w:rPr>
          <w:rFonts w:ascii="Garamond" w:eastAsia="BookAntiqua" w:hAnsi="Garamond"/>
          <w:sz w:val="22"/>
          <w:szCs w:val="22"/>
        </w:rPr>
        <w:t xml:space="preserve">of </w:t>
      </w:r>
      <w:r w:rsidR="00C10D33" w:rsidRPr="00A55F3A">
        <w:rPr>
          <w:rFonts w:ascii="Garamond" w:eastAsia="BookAntiqua" w:hAnsi="Garamond"/>
          <w:i/>
          <w:sz w:val="22"/>
          <w:szCs w:val="22"/>
        </w:rPr>
        <w:t xml:space="preserve">any </w:t>
      </w:r>
      <w:r w:rsidR="00B50D56" w:rsidRPr="00A55F3A">
        <w:rPr>
          <w:rFonts w:ascii="Garamond" w:eastAsia="BookAntiqua" w:hAnsi="Garamond"/>
          <w:sz w:val="22"/>
          <w:szCs w:val="22"/>
        </w:rPr>
        <w:t xml:space="preserve"> </w:t>
      </w:r>
      <w:r w:rsidR="00291400" w:rsidRPr="00A55F3A">
        <w:rPr>
          <w:rFonts w:ascii="Garamond" w:eastAsia="BookAntiqua" w:hAnsi="Garamond"/>
          <w:sz w:val="22"/>
          <w:szCs w:val="22"/>
        </w:rPr>
        <w:t>IOE</w:t>
      </w:r>
      <w:r w:rsidR="00A95D1D" w:rsidRPr="00A55F3A">
        <w:rPr>
          <w:rFonts w:ascii="Garamond" w:eastAsia="BookAntiqua" w:hAnsi="Garamond"/>
          <w:sz w:val="22"/>
          <w:szCs w:val="22"/>
        </w:rPr>
        <w:t xml:space="preserve"> from civil cases.</w:t>
      </w:r>
    </w:p>
    <w:p w14:paraId="0C62C752" w14:textId="246CFD68"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 It is difficult to pinpoint the origin of the aprioristic exclusion of</w:t>
      </w:r>
      <w:r w:rsidR="00B5258C" w:rsidRPr="00A55F3A">
        <w:rPr>
          <w:rFonts w:ascii="Garamond" w:hAnsi="Garamond"/>
          <w:sz w:val="22"/>
          <w:szCs w:val="22"/>
        </w:rPr>
        <w:t xml:space="preserve"> </w:t>
      </w:r>
      <w:r w:rsidR="00C10D33" w:rsidRPr="00A55F3A">
        <w:rPr>
          <w:rFonts w:ascii="Garamond" w:hAnsi="Garamond"/>
          <w:i/>
          <w:sz w:val="22"/>
          <w:szCs w:val="22"/>
        </w:rPr>
        <w:t>any</w:t>
      </w:r>
      <w:r w:rsidR="00C10D33" w:rsidRPr="00A55F3A">
        <w:rPr>
          <w:rFonts w:ascii="Garamond" w:hAnsi="Garamond"/>
          <w:sz w:val="22"/>
          <w:szCs w:val="22"/>
        </w:rPr>
        <w:t xml:space="preserve"> </w:t>
      </w:r>
      <w:r w:rsidR="00291400" w:rsidRPr="00A55F3A">
        <w:rPr>
          <w:rFonts w:ascii="Garamond" w:hAnsi="Garamond"/>
          <w:sz w:val="22"/>
          <w:szCs w:val="22"/>
        </w:rPr>
        <w:t>IOE</w:t>
      </w:r>
      <w:r w:rsidR="00A95D1D" w:rsidRPr="00A55F3A">
        <w:rPr>
          <w:rFonts w:ascii="Garamond" w:hAnsi="Garamond"/>
          <w:sz w:val="22"/>
          <w:szCs w:val="22"/>
        </w:rPr>
        <w:t>,</w:t>
      </w:r>
      <w:r w:rsidRPr="00A55F3A">
        <w:rPr>
          <w:rFonts w:ascii="Garamond" w:hAnsi="Garamond"/>
          <w:sz w:val="22"/>
          <w:szCs w:val="22"/>
        </w:rPr>
        <w:t xml:space="preserve"> but there are hints</w:t>
      </w:r>
      <w:r w:rsidR="001B5744" w:rsidRPr="00A55F3A">
        <w:rPr>
          <w:rFonts w:ascii="Garamond" w:hAnsi="Garamond"/>
          <w:sz w:val="22"/>
          <w:szCs w:val="22"/>
        </w:rPr>
        <w:t>, ma</w:t>
      </w:r>
      <w:r w:rsidR="000E4C71" w:rsidRPr="00A55F3A">
        <w:rPr>
          <w:rFonts w:ascii="Garamond" w:hAnsi="Garamond"/>
          <w:sz w:val="22"/>
          <w:szCs w:val="22"/>
        </w:rPr>
        <w:t>i</w:t>
      </w:r>
      <w:r w:rsidR="001B5744" w:rsidRPr="00A55F3A">
        <w:rPr>
          <w:rFonts w:ascii="Garamond" w:hAnsi="Garamond"/>
          <w:sz w:val="22"/>
          <w:szCs w:val="22"/>
        </w:rPr>
        <w:t>nly f</w:t>
      </w:r>
      <w:r w:rsidR="000E4C71" w:rsidRPr="00A55F3A">
        <w:rPr>
          <w:rFonts w:ascii="Garamond" w:hAnsi="Garamond"/>
          <w:sz w:val="22"/>
          <w:szCs w:val="22"/>
        </w:rPr>
        <w:t>ro</w:t>
      </w:r>
      <w:r w:rsidR="001B5744" w:rsidRPr="00A55F3A">
        <w:rPr>
          <w:rFonts w:ascii="Garamond" w:hAnsi="Garamond"/>
          <w:sz w:val="22"/>
          <w:szCs w:val="22"/>
        </w:rPr>
        <w:t xml:space="preserve">m doctrinal </w:t>
      </w:r>
      <w:r w:rsidR="000E4C71" w:rsidRPr="00A55F3A">
        <w:rPr>
          <w:rFonts w:ascii="Garamond" w:hAnsi="Garamond"/>
          <w:sz w:val="22"/>
          <w:szCs w:val="22"/>
        </w:rPr>
        <w:t>writings,</w:t>
      </w:r>
      <w:r w:rsidRPr="00A55F3A">
        <w:rPr>
          <w:rFonts w:ascii="Garamond" w:hAnsi="Garamond"/>
          <w:sz w:val="22"/>
          <w:szCs w:val="22"/>
        </w:rPr>
        <w:t xml:space="preserve"> that it has been constructed by analogy </w:t>
      </w:r>
      <w:r w:rsidR="000E4C71" w:rsidRPr="00A55F3A">
        <w:rPr>
          <w:rFonts w:ascii="Garamond" w:hAnsi="Garamond"/>
          <w:sz w:val="22"/>
          <w:szCs w:val="22"/>
        </w:rPr>
        <w:t>with</w:t>
      </w:r>
      <w:r w:rsidRPr="00A55F3A">
        <w:rPr>
          <w:rFonts w:ascii="Garamond" w:hAnsi="Garamond"/>
          <w:sz w:val="22"/>
          <w:szCs w:val="22"/>
        </w:rPr>
        <w:t xml:space="preserve"> the regime adopte</w:t>
      </w:r>
      <w:r w:rsidR="000E4C71" w:rsidRPr="00A55F3A">
        <w:rPr>
          <w:rFonts w:ascii="Garamond" w:hAnsi="Garamond"/>
          <w:sz w:val="22"/>
          <w:szCs w:val="22"/>
        </w:rPr>
        <w:t>d</w:t>
      </w:r>
      <w:r w:rsidRPr="00A55F3A">
        <w:rPr>
          <w:rFonts w:ascii="Garamond" w:hAnsi="Garamond"/>
          <w:sz w:val="22"/>
          <w:szCs w:val="22"/>
        </w:rPr>
        <w:t xml:space="preserve"> for </w:t>
      </w:r>
      <w:r w:rsidR="00291400" w:rsidRPr="00A55F3A">
        <w:rPr>
          <w:rFonts w:ascii="Garamond" w:hAnsi="Garamond"/>
          <w:sz w:val="22"/>
          <w:szCs w:val="22"/>
        </w:rPr>
        <w:t>IOE</w:t>
      </w:r>
      <w:r w:rsidRPr="00A55F3A">
        <w:rPr>
          <w:rFonts w:ascii="Garamond" w:hAnsi="Garamond"/>
          <w:sz w:val="22"/>
          <w:szCs w:val="22"/>
        </w:rPr>
        <w:t xml:space="preserve"> in criminal law. For instance, Comoglio</w:t>
      </w:r>
      <w:r w:rsidR="000E4C71" w:rsidRPr="00A55F3A">
        <w:rPr>
          <w:rFonts w:ascii="Garamond" w:hAnsi="Garamond"/>
          <w:sz w:val="22"/>
          <w:szCs w:val="22"/>
        </w:rPr>
        <w:t>,</w:t>
      </w:r>
      <w:r w:rsidRPr="00A55F3A">
        <w:rPr>
          <w:rFonts w:ascii="Garamond" w:hAnsi="Garamond"/>
          <w:sz w:val="22"/>
          <w:szCs w:val="22"/>
        </w:rPr>
        <w:t xml:space="preserve"> one of the leading experts in the Italian Law of </w:t>
      </w:r>
      <w:r w:rsidR="00EA618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discusses the regimes for </w:t>
      </w:r>
      <w:r w:rsidR="00291400" w:rsidRPr="00A55F3A">
        <w:rPr>
          <w:rFonts w:ascii="Garamond" w:hAnsi="Garamond"/>
          <w:sz w:val="22"/>
          <w:szCs w:val="22"/>
        </w:rPr>
        <w:t>IOE</w:t>
      </w:r>
      <w:r w:rsidRPr="00A55F3A">
        <w:rPr>
          <w:rFonts w:ascii="Garamond" w:hAnsi="Garamond"/>
          <w:sz w:val="22"/>
          <w:szCs w:val="22"/>
        </w:rPr>
        <w:t xml:space="preserve"> in criminal and civil law </w:t>
      </w:r>
      <w:r w:rsidRPr="00A774B7">
        <w:rPr>
          <w:rFonts w:ascii="Garamond" w:hAnsi="Garamond"/>
          <w:sz w:val="22"/>
          <w:szCs w:val="22"/>
        </w:rPr>
        <w:t xml:space="preserve">without </w:t>
      </w:r>
      <w:r w:rsidR="00A774B7">
        <w:rPr>
          <w:rFonts w:ascii="Garamond" w:hAnsi="Garamond"/>
          <w:sz w:val="22"/>
          <w:szCs w:val="22"/>
        </w:rPr>
        <w:t xml:space="preserve">distinguishing  </w:t>
      </w:r>
      <w:r w:rsidR="00A774B7" w:rsidRPr="00A67D3F">
        <w:rPr>
          <w:rFonts w:ascii="Garamond" w:hAnsi="Garamond"/>
          <w:sz w:val="22"/>
          <w:szCs w:val="22"/>
        </w:rPr>
        <w:t xml:space="preserve"> the two areas of law.</w:t>
      </w:r>
      <w:r w:rsidRPr="00A55F3A">
        <w:rPr>
          <w:rStyle w:val="FootnoteReference"/>
          <w:rFonts w:ascii="Garamond" w:eastAsia="BookAntiqua" w:hAnsi="Garamond"/>
          <w:sz w:val="22"/>
          <w:szCs w:val="22"/>
        </w:rPr>
        <w:footnoteReference w:id="51"/>
      </w:r>
      <w:r w:rsidRPr="00A55F3A">
        <w:rPr>
          <w:rFonts w:ascii="Garamond" w:hAnsi="Garamond"/>
          <w:sz w:val="22"/>
          <w:szCs w:val="22"/>
        </w:rPr>
        <w:t xml:space="preserve"> </w:t>
      </w:r>
    </w:p>
    <w:p w14:paraId="37822E80" w14:textId="2145D153"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Even from a cursory glance </w:t>
      </w:r>
      <w:r w:rsidR="0011283D" w:rsidRPr="00A55F3A">
        <w:rPr>
          <w:rFonts w:ascii="Garamond" w:hAnsi="Garamond"/>
          <w:sz w:val="22"/>
          <w:szCs w:val="22"/>
        </w:rPr>
        <w:t>at</w:t>
      </w:r>
      <w:r w:rsidRPr="00A55F3A">
        <w:rPr>
          <w:rFonts w:ascii="Garamond" w:hAnsi="Garamond"/>
          <w:sz w:val="22"/>
          <w:szCs w:val="22"/>
        </w:rPr>
        <w:t xml:space="preserve"> </w:t>
      </w:r>
      <w:r w:rsidR="0011283D" w:rsidRPr="00A55F3A">
        <w:rPr>
          <w:rFonts w:ascii="Garamond" w:hAnsi="Garamond"/>
          <w:sz w:val="22"/>
          <w:szCs w:val="22"/>
        </w:rPr>
        <w:t xml:space="preserve">the </w:t>
      </w:r>
      <w:r w:rsidR="002E560F">
        <w:rPr>
          <w:rFonts w:ascii="Garamond" w:hAnsi="Garamond"/>
          <w:sz w:val="22"/>
          <w:szCs w:val="22"/>
        </w:rPr>
        <w:t xml:space="preserve">case law </w:t>
      </w:r>
      <w:r w:rsidRPr="00A55F3A">
        <w:rPr>
          <w:rFonts w:ascii="Garamond" w:hAnsi="Garamond"/>
          <w:sz w:val="22"/>
          <w:szCs w:val="22"/>
        </w:rPr>
        <w:t xml:space="preserve">of the Constitutional Court, it is reasonably </w:t>
      </w:r>
      <w:r w:rsidR="00B5258C" w:rsidRPr="00A55F3A">
        <w:rPr>
          <w:rFonts w:ascii="Garamond" w:hAnsi="Garamond"/>
          <w:sz w:val="22"/>
          <w:szCs w:val="22"/>
        </w:rPr>
        <w:t>evident</w:t>
      </w:r>
      <w:r w:rsidRPr="00A55F3A">
        <w:rPr>
          <w:rFonts w:ascii="Garamond" w:hAnsi="Garamond"/>
          <w:sz w:val="22"/>
          <w:szCs w:val="22"/>
        </w:rPr>
        <w:t xml:space="preserve"> that the Italian </w:t>
      </w:r>
      <w:r w:rsidR="0011283D" w:rsidRPr="00A55F3A">
        <w:rPr>
          <w:rFonts w:ascii="Garamond" w:hAnsi="Garamond"/>
          <w:sz w:val="22"/>
          <w:szCs w:val="22"/>
        </w:rPr>
        <w:t>courts</w:t>
      </w:r>
      <w:r w:rsidRPr="00A55F3A">
        <w:rPr>
          <w:rFonts w:ascii="Garamond" w:hAnsi="Garamond"/>
          <w:sz w:val="22"/>
          <w:szCs w:val="22"/>
        </w:rPr>
        <w:t xml:space="preserve"> </w:t>
      </w:r>
      <w:r w:rsidR="0011283D" w:rsidRPr="00A55F3A">
        <w:rPr>
          <w:rFonts w:ascii="Garamond" w:hAnsi="Garamond"/>
          <w:sz w:val="22"/>
          <w:szCs w:val="22"/>
        </w:rPr>
        <w:t>are</w:t>
      </w:r>
      <w:r w:rsidRPr="00A55F3A">
        <w:rPr>
          <w:rFonts w:ascii="Garamond" w:hAnsi="Garamond"/>
          <w:sz w:val="22"/>
          <w:szCs w:val="22"/>
        </w:rPr>
        <w:t xml:space="preserve"> concerned with</w:t>
      </w:r>
      <w:r w:rsidR="000E4C71" w:rsidRPr="00A55F3A">
        <w:rPr>
          <w:rFonts w:ascii="Garamond" w:hAnsi="Garamond"/>
          <w:sz w:val="22"/>
          <w:szCs w:val="22"/>
        </w:rPr>
        <w:t xml:space="preserve"> the</w:t>
      </w:r>
      <w:r w:rsidRPr="00A55F3A">
        <w:rPr>
          <w:rFonts w:ascii="Garamond" w:hAnsi="Garamond"/>
          <w:sz w:val="22"/>
          <w:szCs w:val="22"/>
        </w:rPr>
        <w:t xml:space="preserve"> potential implication of police practices on the rights of the accused.</w:t>
      </w:r>
      <w:r w:rsidR="006D62CC" w:rsidRPr="00A55F3A">
        <w:rPr>
          <w:rStyle w:val="FootnoteReference"/>
          <w:rFonts w:ascii="Garamond" w:eastAsia="BookAntiqua" w:hAnsi="Garamond"/>
          <w:sz w:val="22"/>
          <w:szCs w:val="22"/>
        </w:rPr>
        <w:footnoteReference w:id="52"/>
      </w:r>
      <w:r w:rsidRPr="00A55F3A">
        <w:rPr>
          <w:rStyle w:val="FootnoteReference"/>
          <w:rFonts w:ascii="Garamond" w:eastAsia="BookAntiqua" w:hAnsi="Garamond"/>
          <w:sz w:val="22"/>
          <w:szCs w:val="22"/>
        </w:rPr>
        <w:t xml:space="preserve"> </w:t>
      </w:r>
      <w:r w:rsidRPr="00A55F3A">
        <w:rPr>
          <w:rFonts w:ascii="Garamond" w:hAnsi="Garamond"/>
          <w:sz w:val="22"/>
          <w:szCs w:val="22"/>
        </w:rPr>
        <w:t xml:space="preserve">However, the early apprehensions raised by the Constitutional Court were partly due to </w:t>
      </w:r>
      <w:r w:rsidR="000E4C71" w:rsidRPr="00A55F3A">
        <w:rPr>
          <w:rFonts w:ascii="Garamond" w:hAnsi="Garamond"/>
          <w:sz w:val="22"/>
          <w:szCs w:val="22"/>
        </w:rPr>
        <w:t xml:space="preserve">the </w:t>
      </w:r>
      <w:r w:rsidRPr="00A55F3A">
        <w:rPr>
          <w:rFonts w:ascii="Garamond" w:hAnsi="Garamond"/>
          <w:sz w:val="22"/>
          <w:szCs w:val="22"/>
        </w:rPr>
        <w:t>role of</w:t>
      </w:r>
      <w:r w:rsidR="000E4C71" w:rsidRPr="00A55F3A">
        <w:rPr>
          <w:rFonts w:ascii="Garamond" w:hAnsi="Garamond"/>
          <w:sz w:val="22"/>
          <w:szCs w:val="22"/>
        </w:rPr>
        <w:t xml:space="preserve"> the</w:t>
      </w:r>
      <w:r w:rsidRPr="00A55F3A">
        <w:rPr>
          <w:rFonts w:ascii="Garamond" w:hAnsi="Garamond"/>
          <w:sz w:val="22"/>
          <w:szCs w:val="22"/>
        </w:rPr>
        <w:t xml:space="preserve"> prosecution in </w:t>
      </w:r>
      <w:r w:rsidR="00AB5488" w:rsidRPr="00A55F3A">
        <w:rPr>
          <w:rFonts w:ascii="Garamond" w:hAnsi="Garamond"/>
          <w:sz w:val="22"/>
          <w:szCs w:val="22"/>
        </w:rPr>
        <w:t>an</w:t>
      </w:r>
      <w:r w:rsidRPr="00A55F3A">
        <w:rPr>
          <w:rFonts w:ascii="Garamond" w:hAnsi="Garamond"/>
          <w:sz w:val="22"/>
          <w:szCs w:val="22"/>
        </w:rPr>
        <w:t xml:space="preserve"> inquisitorial system which, till 1989, gave the task to a powerful prosecution office to obtain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for and against the accused. In 1989, the inquisitorial system in Criminal Law </w:t>
      </w:r>
      <w:r w:rsidR="00B54104" w:rsidRPr="00A55F3A">
        <w:rPr>
          <w:rFonts w:ascii="Garamond" w:hAnsi="Garamond"/>
          <w:sz w:val="22"/>
          <w:szCs w:val="22"/>
        </w:rPr>
        <w:t xml:space="preserve">was </w:t>
      </w:r>
      <w:r w:rsidRPr="00A55F3A">
        <w:rPr>
          <w:rFonts w:ascii="Garamond" w:hAnsi="Garamond"/>
          <w:sz w:val="22"/>
          <w:szCs w:val="22"/>
        </w:rPr>
        <w:t>reformed</w:t>
      </w:r>
      <w:r w:rsidR="00B54104" w:rsidRPr="00A55F3A">
        <w:rPr>
          <w:rFonts w:ascii="Garamond" w:hAnsi="Garamond"/>
          <w:sz w:val="22"/>
          <w:szCs w:val="22"/>
        </w:rPr>
        <w:t>,</w:t>
      </w:r>
      <w:r w:rsidRPr="00A55F3A">
        <w:rPr>
          <w:rFonts w:ascii="Garamond" w:hAnsi="Garamond"/>
          <w:sz w:val="22"/>
          <w:szCs w:val="22"/>
        </w:rPr>
        <w:t xml:space="preserve"> and police practices which lingered on after the reforms have been curtailed by the Constitutional Court.</w:t>
      </w:r>
      <w:r w:rsidR="008D558A" w:rsidRPr="00A55F3A">
        <w:rPr>
          <w:rStyle w:val="FootnoteReference"/>
          <w:rFonts w:ascii="Garamond" w:eastAsia="BookAntiqua" w:hAnsi="Garamond"/>
          <w:sz w:val="22"/>
          <w:szCs w:val="22"/>
        </w:rPr>
        <w:footnoteReference w:id="53"/>
      </w:r>
      <w:r w:rsidRPr="00A55F3A">
        <w:rPr>
          <w:rFonts w:ascii="Garamond" w:hAnsi="Garamond"/>
          <w:sz w:val="22"/>
          <w:szCs w:val="22"/>
        </w:rPr>
        <w:t xml:space="preserve"> </w:t>
      </w:r>
      <w:r w:rsidR="00AB5488" w:rsidRPr="00A55F3A">
        <w:rPr>
          <w:rFonts w:ascii="Garamond" w:hAnsi="Garamond"/>
          <w:sz w:val="22"/>
          <w:szCs w:val="22"/>
        </w:rPr>
        <w:t>For instance, the Constitution</w:t>
      </w:r>
      <w:r w:rsidR="00B54104" w:rsidRPr="00A55F3A">
        <w:rPr>
          <w:rFonts w:ascii="Garamond" w:hAnsi="Garamond"/>
          <w:sz w:val="22"/>
          <w:szCs w:val="22"/>
        </w:rPr>
        <w:t>al</w:t>
      </w:r>
      <w:r w:rsidR="00AB5488" w:rsidRPr="00A55F3A">
        <w:rPr>
          <w:rFonts w:ascii="Garamond" w:hAnsi="Garamond"/>
          <w:sz w:val="22"/>
          <w:szCs w:val="22"/>
        </w:rPr>
        <w:t xml:space="preserve"> Court squarely engaged the judicial effects of illicit activities</w:t>
      </w:r>
      <w:r w:rsidR="00B54104" w:rsidRPr="00A55F3A">
        <w:rPr>
          <w:rFonts w:ascii="Garamond" w:hAnsi="Garamond"/>
          <w:sz w:val="22"/>
          <w:szCs w:val="22"/>
        </w:rPr>
        <w:t>:</w:t>
      </w:r>
      <w:r w:rsidR="00AB5488" w:rsidRPr="00A55F3A">
        <w:rPr>
          <w:rFonts w:ascii="Garamond" w:hAnsi="Garamond"/>
          <w:sz w:val="22"/>
          <w:szCs w:val="22"/>
        </w:rPr>
        <w:t xml:space="preserve"> ‘</w:t>
      </w:r>
      <w:r w:rsidR="00EA6183" w:rsidRPr="00A55F3A">
        <w:rPr>
          <w:rFonts w:ascii="Garamond" w:hAnsi="Garamond"/>
          <w:sz w:val="22"/>
          <w:szCs w:val="22"/>
        </w:rPr>
        <w:t>[</w:t>
      </w:r>
      <w:r w:rsidR="00B54104" w:rsidRPr="00A55F3A">
        <w:rPr>
          <w:rFonts w:ascii="Garamond" w:hAnsi="Garamond"/>
          <w:sz w:val="22"/>
          <w:szCs w:val="22"/>
        </w:rPr>
        <w:t>A</w:t>
      </w:r>
      <w:r w:rsidR="00EA6183" w:rsidRPr="00A55F3A">
        <w:rPr>
          <w:rFonts w:ascii="Garamond" w:hAnsi="Garamond"/>
          <w:sz w:val="22"/>
          <w:szCs w:val="22"/>
        </w:rPr>
        <w:t>]</w:t>
      </w:r>
      <w:r w:rsidR="00AB5488" w:rsidRPr="00A55F3A">
        <w:rPr>
          <w:rFonts w:ascii="Garamond" w:hAnsi="Garamond"/>
          <w:sz w:val="22"/>
          <w:szCs w:val="22"/>
        </w:rPr>
        <w:t>ctivities carried out in defiance of fundamental rights cannot be used as a foundation and/or as a justification of procedural activities against the victim of such a practice.</w:t>
      </w:r>
      <w:r w:rsidR="00AB5488" w:rsidRPr="00A55F3A">
        <w:rPr>
          <w:rStyle w:val="FootnoteReference"/>
          <w:rFonts w:ascii="Garamond" w:eastAsia="BookAntiqua" w:hAnsi="Garamond"/>
          <w:sz w:val="22"/>
          <w:szCs w:val="22"/>
        </w:rPr>
        <w:footnoteReference w:id="54"/>
      </w:r>
      <w:r w:rsidR="0011283D" w:rsidRPr="00A55F3A">
        <w:rPr>
          <w:rFonts w:ascii="Garamond" w:hAnsi="Garamond"/>
          <w:sz w:val="22"/>
          <w:szCs w:val="22"/>
        </w:rPr>
        <w:t xml:space="preserve"> </w:t>
      </w:r>
      <w:r w:rsidRPr="00A55F3A">
        <w:rPr>
          <w:rFonts w:ascii="Garamond" w:hAnsi="Garamond"/>
          <w:sz w:val="22"/>
          <w:szCs w:val="22"/>
        </w:rPr>
        <w:t>The wording of the decision set</w:t>
      </w:r>
      <w:r w:rsidR="00471F45" w:rsidRPr="00A55F3A">
        <w:rPr>
          <w:rFonts w:ascii="Garamond" w:hAnsi="Garamond"/>
          <w:sz w:val="22"/>
          <w:szCs w:val="22"/>
        </w:rPr>
        <w:t>s</w:t>
      </w:r>
      <w:r w:rsidRPr="00A55F3A">
        <w:rPr>
          <w:rFonts w:ascii="Garamond" w:hAnsi="Garamond"/>
          <w:sz w:val="22"/>
          <w:szCs w:val="22"/>
        </w:rPr>
        <w:t xml:space="preserve"> an uncompromised regime for </w:t>
      </w:r>
      <w:r w:rsidR="00291400" w:rsidRPr="00A55F3A">
        <w:rPr>
          <w:rFonts w:ascii="Garamond" w:hAnsi="Garamond"/>
          <w:sz w:val="22"/>
          <w:szCs w:val="22"/>
        </w:rPr>
        <w:t>IOE</w:t>
      </w:r>
      <w:r w:rsidR="00A95D1D" w:rsidRPr="00A55F3A">
        <w:rPr>
          <w:rFonts w:ascii="Garamond" w:hAnsi="Garamond"/>
          <w:sz w:val="22"/>
          <w:szCs w:val="22"/>
        </w:rPr>
        <w:t xml:space="preserve"> in criminal law</w:t>
      </w:r>
      <w:r w:rsidRPr="00A55F3A">
        <w:rPr>
          <w:rFonts w:ascii="Garamond" w:hAnsi="Garamond"/>
          <w:sz w:val="22"/>
          <w:szCs w:val="22"/>
        </w:rPr>
        <w:t>, yet there are indications that</w:t>
      </w:r>
      <w:r w:rsidR="00A774B7">
        <w:rPr>
          <w:rFonts w:ascii="Garamond" w:hAnsi="Garamond"/>
          <w:sz w:val="22"/>
          <w:szCs w:val="22"/>
        </w:rPr>
        <w:t xml:space="preserve">, </w:t>
      </w:r>
      <w:r w:rsidRPr="00A55F3A">
        <w:rPr>
          <w:rFonts w:ascii="Garamond" w:hAnsi="Garamond"/>
          <w:sz w:val="22"/>
          <w:szCs w:val="22"/>
        </w:rPr>
        <w:t xml:space="preserve"> </w:t>
      </w:r>
      <w:r w:rsidR="00A774B7" w:rsidRPr="007B35F3">
        <w:rPr>
          <w:rFonts w:ascii="Garamond" w:hAnsi="Garamond"/>
          <w:sz w:val="22"/>
          <w:szCs w:val="22"/>
        </w:rPr>
        <w:t>in criminal cases</w:t>
      </w:r>
      <w:r w:rsidR="00A774B7">
        <w:rPr>
          <w:rFonts w:ascii="Garamond" w:hAnsi="Garamond"/>
          <w:sz w:val="22"/>
          <w:szCs w:val="22"/>
        </w:rPr>
        <w:t>, P</w:t>
      </w:r>
      <w:r w:rsidR="0011283D" w:rsidRPr="00A55F3A">
        <w:rPr>
          <w:rFonts w:ascii="Garamond" w:hAnsi="Garamond"/>
          <w:sz w:val="22"/>
          <w:szCs w:val="22"/>
        </w:rPr>
        <w:t xml:space="preserve">arliament </w:t>
      </w:r>
      <w:r w:rsidRPr="00A55F3A">
        <w:rPr>
          <w:rFonts w:ascii="Garamond" w:hAnsi="Garamond"/>
          <w:sz w:val="22"/>
          <w:szCs w:val="22"/>
        </w:rPr>
        <w:t xml:space="preserve">intended to add an element </w:t>
      </w:r>
      <w:r w:rsidR="000E4C71" w:rsidRPr="00A55F3A">
        <w:rPr>
          <w:rFonts w:ascii="Garamond" w:hAnsi="Garamond"/>
          <w:sz w:val="22"/>
          <w:szCs w:val="22"/>
        </w:rPr>
        <w:t xml:space="preserve">of </w:t>
      </w:r>
      <w:r w:rsidRPr="00A55F3A">
        <w:rPr>
          <w:rFonts w:ascii="Garamond" w:hAnsi="Garamond"/>
          <w:sz w:val="22"/>
          <w:szCs w:val="22"/>
        </w:rPr>
        <w:t xml:space="preserve">flexibility in the </w:t>
      </w:r>
      <w:r w:rsidR="00471F45" w:rsidRPr="00A55F3A">
        <w:rPr>
          <w:rFonts w:ascii="Garamond" w:hAnsi="Garamond"/>
          <w:sz w:val="22"/>
          <w:szCs w:val="22"/>
        </w:rPr>
        <w:t>assessment</w:t>
      </w:r>
      <w:r w:rsidR="003567BF" w:rsidRPr="00A55F3A">
        <w:rPr>
          <w:rFonts w:ascii="Garamond" w:hAnsi="Garamond"/>
          <w:sz w:val="22"/>
          <w:szCs w:val="22"/>
        </w:rPr>
        <w:t xml:space="preserve"> </w:t>
      </w:r>
      <w:r w:rsidRPr="00A55F3A">
        <w:rPr>
          <w:rFonts w:ascii="Garamond" w:hAnsi="Garamond"/>
          <w:sz w:val="22"/>
          <w:szCs w:val="22"/>
        </w:rPr>
        <w:t xml:space="preserve">of </w:t>
      </w:r>
      <w:r w:rsidR="00A774B7" w:rsidRPr="00A67D3F">
        <w:rPr>
          <w:rFonts w:ascii="Garamond" w:hAnsi="Garamond"/>
          <w:sz w:val="22"/>
          <w:szCs w:val="22"/>
        </w:rPr>
        <w:t>IOE</w:t>
      </w:r>
      <w:r w:rsidRPr="00A774B7">
        <w:rPr>
          <w:rFonts w:ascii="Garamond" w:hAnsi="Garamond"/>
          <w:sz w:val="22"/>
          <w:szCs w:val="22"/>
        </w:rPr>
        <w:t>.</w:t>
      </w:r>
      <w:r w:rsidRPr="00A55F3A">
        <w:rPr>
          <w:rFonts w:ascii="Garamond" w:hAnsi="Garamond"/>
          <w:sz w:val="22"/>
          <w:szCs w:val="22"/>
        </w:rPr>
        <w:t xml:space="preserve"> For instance, the Italian Personal Data Protection Code 2003 allows </w:t>
      </w:r>
      <w:r w:rsidR="00F60E23" w:rsidRPr="00A55F3A">
        <w:rPr>
          <w:rFonts w:ascii="Garamond" w:hAnsi="Garamond"/>
          <w:sz w:val="22"/>
          <w:szCs w:val="22"/>
        </w:rPr>
        <w:t>defense</w:t>
      </w:r>
      <w:r w:rsidRPr="00A55F3A">
        <w:rPr>
          <w:rFonts w:ascii="Garamond" w:hAnsi="Garamond"/>
          <w:sz w:val="22"/>
          <w:szCs w:val="22"/>
        </w:rPr>
        <w:t xml:space="preserve"> councils to submit evidence based on personal information that ha</w:t>
      </w:r>
      <w:r w:rsidR="00C21EBD" w:rsidRPr="00A55F3A">
        <w:rPr>
          <w:rFonts w:ascii="Garamond" w:hAnsi="Garamond"/>
          <w:sz w:val="22"/>
          <w:szCs w:val="22"/>
        </w:rPr>
        <w:t>s</w:t>
      </w:r>
      <w:r w:rsidRPr="00A55F3A">
        <w:rPr>
          <w:rFonts w:ascii="Garamond" w:hAnsi="Garamond"/>
          <w:sz w:val="22"/>
          <w:szCs w:val="22"/>
        </w:rPr>
        <w:t xml:space="preserve"> been retrieved without the consent of the legitimate owner. </w:t>
      </w:r>
      <w:r w:rsidRPr="00A55F3A">
        <w:rPr>
          <w:rStyle w:val="FootnoteReference"/>
          <w:rFonts w:ascii="Garamond" w:eastAsia="BookAntiqua" w:hAnsi="Garamond"/>
          <w:sz w:val="22"/>
          <w:szCs w:val="22"/>
        </w:rPr>
        <w:footnoteReference w:id="55"/>
      </w:r>
      <w:r w:rsidRPr="00A55F3A">
        <w:rPr>
          <w:rFonts w:ascii="Garamond" w:hAnsi="Garamond"/>
          <w:sz w:val="22"/>
          <w:szCs w:val="22"/>
        </w:rPr>
        <w:t xml:space="preserve"> </w:t>
      </w:r>
    </w:p>
    <w:p w14:paraId="67ECA1E2" w14:textId="1F513389" w:rsidR="00605CE2" w:rsidRPr="00A55F3A" w:rsidRDefault="00894F8D" w:rsidP="00A55F3A">
      <w:pPr>
        <w:pStyle w:val="Standard"/>
        <w:spacing w:line="480" w:lineRule="auto"/>
        <w:rPr>
          <w:rFonts w:ascii="Garamond" w:hAnsi="Garamond"/>
          <w:sz w:val="22"/>
          <w:szCs w:val="22"/>
        </w:rPr>
      </w:pPr>
      <w:r w:rsidRPr="00A55F3A">
        <w:rPr>
          <w:rFonts w:ascii="Garamond" w:hAnsi="Garamond"/>
          <w:sz w:val="22"/>
          <w:szCs w:val="22"/>
        </w:rPr>
        <w:t xml:space="preserve">In 2007, </w:t>
      </w:r>
      <w:r w:rsidR="00A95D1D" w:rsidRPr="00A55F3A">
        <w:rPr>
          <w:rFonts w:ascii="Garamond" w:hAnsi="Garamond"/>
          <w:sz w:val="22"/>
          <w:szCs w:val="22"/>
        </w:rPr>
        <w:t>and independently from the jurisprudence in criminal law,</w:t>
      </w:r>
      <w:r w:rsidR="00B50D56" w:rsidRPr="00A55F3A">
        <w:rPr>
          <w:rFonts w:ascii="Garamond" w:hAnsi="Garamond"/>
          <w:sz w:val="22"/>
          <w:szCs w:val="22"/>
        </w:rPr>
        <w:t xml:space="preserve"> </w:t>
      </w:r>
      <w:r w:rsidR="00C21EBD" w:rsidRPr="00A55F3A">
        <w:rPr>
          <w:rFonts w:ascii="Garamond" w:hAnsi="Garamond"/>
          <w:sz w:val="22"/>
          <w:szCs w:val="22"/>
        </w:rPr>
        <w:t xml:space="preserve">the </w:t>
      </w:r>
      <w:r w:rsidR="00593D4F" w:rsidRPr="00A55F3A">
        <w:rPr>
          <w:rFonts w:ascii="Garamond" w:hAnsi="Garamond"/>
          <w:sz w:val="22"/>
          <w:szCs w:val="22"/>
        </w:rPr>
        <w:t>Tribunal</w:t>
      </w:r>
      <w:r w:rsidR="00B5258C" w:rsidRPr="00A55F3A">
        <w:rPr>
          <w:rFonts w:ascii="Garamond" w:hAnsi="Garamond"/>
          <w:sz w:val="22"/>
          <w:szCs w:val="22"/>
        </w:rPr>
        <w:t xml:space="preserve"> of</w:t>
      </w:r>
      <w:r w:rsidR="003567BF" w:rsidRPr="00A55F3A">
        <w:rPr>
          <w:rFonts w:ascii="Garamond" w:hAnsi="Garamond"/>
          <w:sz w:val="22"/>
          <w:szCs w:val="22"/>
        </w:rPr>
        <w:t xml:space="preserve"> </w:t>
      </w:r>
      <w:r w:rsidR="00593D4F" w:rsidRPr="00A55F3A">
        <w:rPr>
          <w:rFonts w:ascii="Garamond" w:hAnsi="Garamond"/>
          <w:sz w:val="22"/>
          <w:szCs w:val="22"/>
        </w:rPr>
        <w:t xml:space="preserve">Bari </w:t>
      </w:r>
      <w:r w:rsidR="00593D4F" w:rsidRPr="00A55F3A">
        <w:rPr>
          <w:rFonts w:ascii="Garamond" w:hAnsi="Garamond"/>
          <w:sz w:val="22"/>
          <w:szCs w:val="22"/>
        </w:rPr>
        <w:lastRenderedPageBreak/>
        <w:t xml:space="preserve">approached the issue </w:t>
      </w:r>
      <w:r w:rsidR="00471F45" w:rsidRPr="00A55F3A">
        <w:rPr>
          <w:rFonts w:ascii="Garamond" w:hAnsi="Garamond"/>
          <w:sz w:val="22"/>
          <w:szCs w:val="22"/>
        </w:rPr>
        <w:t xml:space="preserve">of admissibility of </w:t>
      </w:r>
      <w:r w:rsidR="000F170E" w:rsidRPr="00A55F3A">
        <w:rPr>
          <w:rFonts w:ascii="Garamond" w:hAnsi="Garamond"/>
          <w:sz w:val="22"/>
          <w:szCs w:val="22"/>
        </w:rPr>
        <w:t xml:space="preserve">an </w:t>
      </w:r>
      <w:r w:rsidR="00291400" w:rsidRPr="00A55F3A">
        <w:rPr>
          <w:rFonts w:ascii="Garamond" w:hAnsi="Garamond"/>
          <w:sz w:val="22"/>
          <w:szCs w:val="22"/>
        </w:rPr>
        <w:t>IOE</w:t>
      </w:r>
      <w:r w:rsidR="00471F45" w:rsidRPr="00A55F3A">
        <w:rPr>
          <w:rFonts w:ascii="Garamond" w:hAnsi="Garamond"/>
          <w:sz w:val="22"/>
          <w:szCs w:val="22"/>
        </w:rPr>
        <w:t xml:space="preserve"> </w:t>
      </w:r>
      <w:r w:rsidR="00593D4F" w:rsidRPr="00A55F3A">
        <w:rPr>
          <w:rFonts w:ascii="Garamond" w:hAnsi="Garamond"/>
          <w:sz w:val="22"/>
          <w:szCs w:val="22"/>
        </w:rPr>
        <w:t>f</w:t>
      </w:r>
      <w:r w:rsidR="000E4C71" w:rsidRPr="00A55F3A">
        <w:rPr>
          <w:rFonts w:ascii="Garamond" w:hAnsi="Garamond"/>
          <w:sz w:val="22"/>
          <w:szCs w:val="22"/>
        </w:rPr>
        <w:t>ro</w:t>
      </w:r>
      <w:r w:rsidR="00593D4F" w:rsidRPr="00A55F3A">
        <w:rPr>
          <w:rFonts w:ascii="Garamond" w:hAnsi="Garamond"/>
          <w:sz w:val="22"/>
          <w:szCs w:val="22"/>
        </w:rPr>
        <w:t>m a different perspective.</w:t>
      </w:r>
      <w:r w:rsidR="00593D4F" w:rsidRPr="00A55F3A">
        <w:rPr>
          <w:rStyle w:val="FootnoteReference"/>
          <w:rFonts w:ascii="Garamond" w:eastAsia="BookAntiqua" w:hAnsi="Garamond"/>
          <w:sz w:val="22"/>
          <w:szCs w:val="22"/>
        </w:rPr>
        <w:footnoteReference w:id="56"/>
      </w:r>
      <w:r w:rsidR="00593D4F" w:rsidRPr="00A55F3A">
        <w:rPr>
          <w:rFonts w:ascii="Garamond" w:hAnsi="Garamond"/>
          <w:sz w:val="22"/>
          <w:szCs w:val="22"/>
        </w:rPr>
        <w:t xml:space="preserve"> The </w:t>
      </w:r>
      <w:r w:rsidR="00B5258C" w:rsidRPr="00A55F3A">
        <w:rPr>
          <w:rFonts w:ascii="Garamond" w:hAnsi="Garamond"/>
          <w:sz w:val="22"/>
          <w:szCs w:val="22"/>
        </w:rPr>
        <w:t>tribunal</w:t>
      </w:r>
      <w:r w:rsidRPr="00A55F3A">
        <w:rPr>
          <w:rFonts w:ascii="Garamond" w:hAnsi="Garamond"/>
          <w:sz w:val="22"/>
          <w:szCs w:val="22"/>
        </w:rPr>
        <w:t>, for the first time,</w:t>
      </w:r>
      <w:r w:rsidR="00593D4F" w:rsidRPr="00A55F3A">
        <w:rPr>
          <w:rFonts w:ascii="Garamond" w:hAnsi="Garamond"/>
          <w:sz w:val="22"/>
          <w:szCs w:val="22"/>
        </w:rPr>
        <w:t xml:space="preserve"> </w:t>
      </w:r>
      <w:r w:rsidRPr="00A55F3A">
        <w:rPr>
          <w:rFonts w:ascii="Garamond" w:hAnsi="Garamond"/>
          <w:sz w:val="22"/>
          <w:szCs w:val="22"/>
        </w:rPr>
        <w:t>explicitly considered</w:t>
      </w:r>
      <w:r w:rsidR="00593D4F" w:rsidRPr="00A55F3A">
        <w:rPr>
          <w:rFonts w:ascii="Garamond" w:hAnsi="Garamond"/>
          <w:sz w:val="22"/>
          <w:szCs w:val="22"/>
        </w:rPr>
        <w:t xml:space="preserve"> the consequences of exclud</w:t>
      </w:r>
      <w:r w:rsidR="000E4C71" w:rsidRPr="00A55F3A">
        <w:rPr>
          <w:rFonts w:ascii="Garamond" w:hAnsi="Garamond"/>
          <w:sz w:val="22"/>
          <w:szCs w:val="22"/>
        </w:rPr>
        <w:t>ing</w:t>
      </w:r>
      <w:r w:rsidR="00593D4F" w:rsidRPr="00A55F3A">
        <w:rPr>
          <w:rFonts w:ascii="Garamond" w:hAnsi="Garamond"/>
          <w:sz w:val="22"/>
          <w:szCs w:val="22"/>
        </w:rPr>
        <w:t xml:space="preserve"> </w:t>
      </w:r>
      <w:r w:rsidR="00F60E23" w:rsidRPr="00A55F3A">
        <w:rPr>
          <w:rFonts w:ascii="Garamond" w:hAnsi="Garamond"/>
          <w:sz w:val="22"/>
          <w:szCs w:val="22"/>
        </w:rPr>
        <w:t>evidence</w:t>
      </w:r>
      <w:r w:rsidRPr="00A55F3A">
        <w:rPr>
          <w:rFonts w:ascii="Garamond" w:hAnsi="Garamond"/>
          <w:sz w:val="22"/>
          <w:szCs w:val="22"/>
        </w:rPr>
        <w:t xml:space="preserve"> </w:t>
      </w:r>
      <w:r w:rsidR="00A95D1D" w:rsidRPr="00A55F3A">
        <w:rPr>
          <w:rFonts w:ascii="Garamond" w:hAnsi="Garamond"/>
          <w:sz w:val="22"/>
          <w:szCs w:val="22"/>
        </w:rPr>
        <w:t xml:space="preserve">from </w:t>
      </w:r>
      <w:r w:rsidR="002E560F">
        <w:rPr>
          <w:rFonts w:ascii="Garamond" w:hAnsi="Garamond"/>
          <w:sz w:val="22"/>
          <w:szCs w:val="22"/>
        </w:rPr>
        <w:t>litigation</w:t>
      </w:r>
      <w:r w:rsidR="00B50D56" w:rsidRPr="00A55F3A">
        <w:rPr>
          <w:rFonts w:ascii="Garamond" w:hAnsi="Garamond"/>
          <w:sz w:val="22"/>
          <w:szCs w:val="22"/>
        </w:rPr>
        <w:t xml:space="preserve"> </w:t>
      </w:r>
      <w:r w:rsidR="00A95D1D" w:rsidRPr="00A55F3A">
        <w:rPr>
          <w:rFonts w:ascii="Garamond" w:hAnsi="Garamond"/>
          <w:sz w:val="22"/>
          <w:szCs w:val="22"/>
        </w:rPr>
        <w:t>without</w:t>
      </w:r>
      <w:r w:rsidR="00B50D56" w:rsidRPr="00A55F3A">
        <w:rPr>
          <w:rFonts w:ascii="Garamond" w:hAnsi="Garamond"/>
          <w:sz w:val="22"/>
          <w:szCs w:val="22"/>
        </w:rPr>
        <w:t xml:space="preserve"> </w:t>
      </w:r>
      <w:r w:rsidR="00A95D1D" w:rsidRPr="00A55F3A">
        <w:rPr>
          <w:rFonts w:ascii="Garamond" w:hAnsi="Garamond"/>
          <w:sz w:val="22"/>
          <w:szCs w:val="22"/>
        </w:rPr>
        <w:t>engaging</w:t>
      </w:r>
      <w:r w:rsidR="00B50D56" w:rsidRPr="00A55F3A">
        <w:rPr>
          <w:rFonts w:ascii="Garamond" w:hAnsi="Garamond"/>
          <w:sz w:val="22"/>
          <w:szCs w:val="22"/>
        </w:rPr>
        <w:t xml:space="preserve"> </w:t>
      </w:r>
      <w:r w:rsidRPr="00A55F3A">
        <w:rPr>
          <w:rFonts w:ascii="Garamond" w:hAnsi="Garamond"/>
          <w:sz w:val="22"/>
          <w:szCs w:val="22"/>
        </w:rPr>
        <w:t>deontological implication</w:t>
      </w:r>
      <w:r w:rsidR="00B5258C" w:rsidRPr="00A55F3A">
        <w:rPr>
          <w:rFonts w:ascii="Garamond" w:hAnsi="Garamond"/>
          <w:sz w:val="22"/>
          <w:szCs w:val="22"/>
        </w:rPr>
        <w:t>s</w:t>
      </w:r>
      <w:r w:rsidRPr="00A55F3A">
        <w:rPr>
          <w:rFonts w:ascii="Garamond" w:hAnsi="Garamond"/>
          <w:sz w:val="22"/>
          <w:szCs w:val="22"/>
        </w:rPr>
        <w:t xml:space="preserve"> of the conduct that retrieved them.</w:t>
      </w:r>
      <w:r w:rsidR="003567BF" w:rsidRPr="00A55F3A">
        <w:rPr>
          <w:rFonts w:ascii="Garamond" w:hAnsi="Garamond"/>
          <w:sz w:val="22"/>
          <w:szCs w:val="22"/>
        </w:rPr>
        <w:t xml:space="preserve"> </w:t>
      </w:r>
      <w:r w:rsidR="00593D4F" w:rsidRPr="00A55F3A">
        <w:rPr>
          <w:rFonts w:ascii="Garamond" w:hAnsi="Garamond"/>
          <w:sz w:val="22"/>
          <w:szCs w:val="22"/>
        </w:rPr>
        <w:t xml:space="preserve">The ancillary issue was </w:t>
      </w:r>
      <w:r w:rsidRPr="00A55F3A">
        <w:rPr>
          <w:rFonts w:ascii="Garamond" w:hAnsi="Garamond"/>
          <w:sz w:val="22"/>
          <w:szCs w:val="22"/>
        </w:rPr>
        <w:t>linked</w:t>
      </w:r>
      <w:r w:rsidR="003567BF" w:rsidRPr="00A55F3A">
        <w:rPr>
          <w:rFonts w:ascii="Garamond" w:hAnsi="Garamond"/>
          <w:sz w:val="22"/>
          <w:szCs w:val="22"/>
        </w:rPr>
        <w:t xml:space="preserve"> </w:t>
      </w:r>
      <w:r w:rsidR="000E4C71" w:rsidRPr="00A55F3A">
        <w:rPr>
          <w:rFonts w:ascii="Garamond" w:hAnsi="Garamond"/>
          <w:sz w:val="22"/>
          <w:szCs w:val="22"/>
        </w:rPr>
        <w:t>to a</w:t>
      </w:r>
      <w:r w:rsidR="00B5258C" w:rsidRPr="00A55F3A">
        <w:rPr>
          <w:rFonts w:ascii="Garamond" w:hAnsi="Garamond"/>
          <w:sz w:val="22"/>
          <w:szCs w:val="22"/>
        </w:rPr>
        <w:t>n</w:t>
      </w:r>
      <w:r w:rsidR="000E4C71" w:rsidRPr="00A55F3A">
        <w:rPr>
          <w:rFonts w:ascii="Garamond" w:hAnsi="Garamond"/>
          <w:sz w:val="22"/>
          <w:szCs w:val="22"/>
        </w:rPr>
        <w:t xml:space="preserve"> </w:t>
      </w:r>
      <w:r w:rsidR="00471F45" w:rsidRPr="00A55F3A">
        <w:rPr>
          <w:rFonts w:ascii="Garamond" w:hAnsi="Garamond"/>
          <w:sz w:val="22"/>
          <w:szCs w:val="22"/>
        </w:rPr>
        <w:t>acrimonious</w:t>
      </w:r>
      <w:r w:rsidR="003567BF" w:rsidRPr="00A55F3A">
        <w:rPr>
          <w:rFonts w:ascii="Garamond" w:hAnsi="Garamond"/>
          <w:sz w:val="22"/>
          <w:szCs w:val="22"/>
        </w:rPr>
        <w:t xml:space="preserve"> </w:t>
      </w:r>
      <w:r w:rsidR="00593D4F" w:rsidRPr="00A55F3A">
        <w:rPr>
          <w:rFonts w:ascii="Garamond" w:hAnsi="Garamond"/>
          <w:sz w:val="22"/>
          <w:szCs w:val="22"/>
        </w:rPr>
        <w:t>divorce in which the wife’s counsel su</w:t>
      </w:r>
      <w:r w:rsidR="00C21EBD" w:rsidRPr="00A55F3A">
        <w:rPr>
          <w:rFonts w:ascii="Garamond" w:hAnsi="Garamond"/>
          <w:sz w:val="22"/>
          <w:szCs w:val="22"/>
        </w:rPr>
        <w:t>b</w:t>
      </w:r>
      <w:r w:rsidR="00593D4F" w:rsidRPr="00A55F3A">
        <w:rPr>
          <w:rFonts w:ascii="Garamond" w:hAnsi="Garamond"/>
          <w:sz w:val="22"/>
          <w:szCs w:val="22"/>
        </w:rPr>
        <w:t>mit</w:t>
      </w:r>
      <w:r w:rsidR="00C21EBD" w:rsidRPr="00A55F3A">
        <w:rPr>
          <w:rFonts w:ascii="Garamond" w:hAnsi="Garamond"/>
          <w:sz w:val="22"/>
          <w:szCs w:val="22"/>
        </w:rPr>
        <w:t>t</w:t>
      </w:r>
      <w:r w:rsidR="00593D4F" w:rsidRPr="00A55F3A">
        <w:rPr>
          <w:rFonts w:ascii="Garamond" w:hAnsi="Garamond"/>
          <w:sz w:val="22"/>
          <w:szCs w:val="22"/>
        </w:rPr>
        <w:t>ed confidential medical exams</w:t>
      </w:r>
      <w:r w:rsidRPr="00A55F3A">
        <w:rPr>
          <w:rFonts w:ascii="Garamond" w:hAnsi="Garamond"/>
          <w:sz w:val="22"/>
          <w:szCs w:val="22"/>
        </w:rPr>
        <w:t xml:space="preserve"> of her husband's sexual health</w:t>
      </w:r>
      <w:r w:rsidR="00471F45" w:rsidRPr="00A55F3A">
        <w:rPr>
          <w:rFonts w:ascii="Garamond" w:hAnsi="Garamond"/>
          <w:sz w:val="22"/>
          <w:szCs w:val="22"/>
        </w:rPr>
        <w:t xml:space="preserve"> </w:t>
      </w:r>
      <w:r w:rsidR="00B5258C" w:rsidRPr="00A55F3A">
        <w:rPr>
          <w:rFonts w:ascii="Garamond" w:hAnsi="Garamond"/>
          <w:sz w:val="22"/>
          <w:szCs w:val="22"/>
        </w:rPr>
        <w:t>(</w:t>
      </w:r>
      <w:r w:rsidR="00471F45" w:rsidRPr="00A55F3A">
        <w:rPr>
          <w:rFonts w:ascii="Garamond" w:hAnsi="Garamond"/>
          <w:sz w:val="22"/>
          <w:szCs w:val="22"/>
        </w:rPr>
        <w:t>that</w:t>
      </w:r>
      <w:r w:rsidR="003567BF" w:rsidRPr="00A55F3A">
        <w:rPr>
          <w:rFonts w:ascii="Garamond" w:hAnsi="Garamond"/>
          <w:sz w:val="22"/>
          <w:szCs w:val="22"/>
        </w:rPr>
        <w:t xml:space="preserve"> </w:t>
      </w:r>
      <w:r w:rsidRPr="00A55F3A">
        <w:rPr>
          <w:rFonts w:ascii="Garamond" w:hAnsi="Garamond"/>
          <w:sz w:val="22"/>
          <w:szCs w:val="22"/>
        </w:rPr>
        <w:t>includ</w:t>
      </w:r>
      <w:r w:rsidR="00471F45" w:rsidRPr="00A55F3A">
        <w:rPr>
          <w:rFonts w:ascii="Garamond" w:hAnsi="Garamond"/>
          <w:sz w:val="22"/>
          <w:szCs w:val="22"/>
        </w:rPr>
        <w:t>e</w:t>
      </w:r>
      <w:r w:rsidR="00C21EBD" w:rsidRPr="00A55F3A">
        <w:rPr>
          <w:rFonts w:ascii="Garamond" w:hAnsi="Garamond"/>
          <w:sz w:val="22"/>
          <w:szCs w:val="22"/>
        </w:rPr>
        <w:t>d</w:t>
      </w:r>
      <w:r w:rsidR="00471F45" w:rsidRPr="00A55F3A">
        <w:rPr>
          <w:rFonts w:ascii="Garamond" w:hAnsi="Garamond"/>
          <w:sz w:val="22"/>
          <w:szCs w:val="22"/>
        </w:rPr>
        <w:t xml:space="preserve"> </w:t>
      </w:r>
      <w:r w:rsidRPr="00A55F3A">
        <w:rPr>
          <w:rFonts w:ascii="Garamond" w:hAnsi="Garamond"/>
          <w:sz w:val="22"/>
          <w:szCs w:val="22"/>
        </w:rPr>
        <w:t>stolen clinical records</w:t>
      </w:r>
      <w:r w:rsidR="00B5258C" w:rsidRPr="00A55F3A">
        <w:rPr>
          <w:rFonts w:ascii="Garamond" w:hAnsi="Garamond"/>
          <w:sz w:val="22"/>
          <w:szCs w:val="22"/>
        </w:rPr>
        <w:t>)</w:t>
      </w:r>
      <w:r w:rsidRPr="00A55F3A">
        <w:rPr>
          <w:rFonts w:ascii="Garamond" w:hAnsi="Garamond"/>
          <w:sz w:val="22"/>
          <w:szCs w:val="22"/>
        </w:rPr>
        <w:t xml:space="preserve">. </w:t>
      </w:r>
      <w:r w:rsidR="00593D4F" w:rsidRPr="00A55F3A">
        <w:rPr>
          <w:rFonts w:ascii="Garamond" w:hAnsi="Garamond"/>
          <w:sz w:val="22"/>
          <w:szCs w:val="22"/>
        </w:rPr>
        <w:t xml:space="preserve">The counsel for the husband objected over the admissibility of the </w:t>
      </w:r>
      <w:r w:rsidR="00291400" w:rsidRPr="00A55F3A">
        <w:rPr>
          <w:rFonts w:ascii="Garamond" w:hAnsi="Garamond"/>
          <w:sz w:val="22"/>
          <w:szCs w:val="22"/>
        </w:rPr>
        <w:t>IOE</w:t>
      </w:r>
      <w:r w:rsidR="00C21EBD" w:rsidRPr="00A55F3A">
        <w:rPr>
          <w:rFonts w:ascii="Garamond" w:hAnsi="Garamond"/>
          <w:sz w:val="22"/>
          <w:szCs w:val="22"/>
        </w:rPr>
        <w:t>,</w:t>
      </w:r>
      <w:r w:rsidR="00593D4F" w:rsidRPr="00A55F3A">
        <w:rPr>
          <w:rFonts w:ascii="Garamond" w:hAnsi="Garamond"/>
          <w:sz w:val="22"/>
          <w:szCs w:val="22"/>
        </w:rPr>
        <w:t xml:space="preserve"> but his claim was rejected.</w:t>
      </w:r>
      <w:r w:rsidR="00593D4F" w:rsidRPr="00A55F3A">
        <w:rPr>
          <w:rStyle w:val="FootnoteReference"/>
          <w:rFonts w:ascii="Garamond" w:eastAsia="BookAntiqua" w:hAnsi="Garamond"/>
          <w:sz w:val="22"/>
          <w:szCs w:val="22"/>
        </w:rPr>
        <w:footnoteReference w:id="57"/>
      </w:r>
      <w:r w:rsidR="00593D4F" w:rsidRPr="00A55F3A">
        <w:rPr>
          <w:rFonts w:ascii="Garamond" w:hAnsi="Garamond"/>
          <w:sz w:val="22"/>
          <w:szCs w:val="22"/>
        </w:rPr>
        <w:t xml:space="preserve"> </w:t>
      </w:r>
      <w:r w:rsidR="00F60E23" w:rsidRPr="00A55F3A">
        <w:rPr>
          <w:rFonts w:ascii="Garamond" w:hAnsi="Garamond"/>
          <w:sz w:val="22"/>
          <w:szCs w:val="22"/>
        </w:rPr>
        <w:t xml:space="preserve">The Tribunal of Bari explained that a distinction has to be made between the potential criminal and civil consequences of the wife’s conduct and the admissibility of evidence which might have a significant impact on the decision of the case. </w:t>
      </w:r>
      <w:r w:rsidR="00593D4F" w:rsidRPr="00A55F3A">
        <w:rPr>
          <w:rFonts w:ascii="Garamond" w:hAnsi="Garamond"/>
          <w:sz w:val="22"/>
          <w:szCs w:val="22"/>
        </w:rPr>
        <w:t>‘Even if it were obtained by illegal or improper means, the document</w:t>
      </w:r>
      <w:r w:rsidR="000B1084" w:rsidRPr="00A55F3A">
        <w:rPr>
          <w:rFonts w:ascii="Garamond" w:hAnsi="Garamond"/>
          <w:sz w:val="22"/>
          <w:szCs w:val="22"/>
        </w:rPr>
        <w:t>s</w:t>
      </w:r>
      <w:r w:rsidR="00593D4F" w:rsidRPr="00A55F3A">
        <w:rPr>
          <w:rFonts w:ascii="Garamond" w:hAnsi="Garamond"/>
          <w:sz w:val="22"/>
          <w:szCs w:val="22"/>
        </w:rPr>
        <w:t xml:space="preserve"> would remain unchanged. Obviously the decision of the ancillary issue might not prevent criminal responsibilities and/or civil liability but that is to be ascertain</w:t>
      </w:r>
      <w:r w:rsidR="000E4C71" w:rsidRPr="00A55F3A">
        <w:rPr>
          <w:rFonts w:ascii="Garamond" w:hAnsi="Garamond"/>
          <w:sz w:val="22"/>
          <w:szCs w:val="22"/>
        </w:rPr>
        <w:t>ed</w:t>
      </w:r>
      <w:r w:rsidR="00593D4F" w:rsidRPr="00A55F3A">
        <w:rPr>
          <w:rFonts w:ascii="Garamond" w:hAnsi="Garamond"/>
          <w:sz w:val="22"/>
          <w:szCs w:val="22"/>
        </w:rPr>
        <w:t xml:space="preserve"> in a separate proceeding/s.’</w:t>
      </w:r>
      <w:r w:rsidR="00593D4F" w:rsidRPr="00A55F3A">
        <w:rPr>
          <w:rStyle w:val="FootnoteReference"/>
          <w:rFonts w:ascii="Garamond" w:eastAsia="BookAntiqua" w:hAnsi="Garamond"/>
          <w:sz w:val="22"/>
          <w:szCs w:val="22"/>
        </w:rPr>
        <w:footnoteReference w:id="58"/>
      </w:r>
      <w:r w:rsidR="00593D4F" w:rsidRPr="00A55F3A">
        <w:rPr>
          <w:rFonts w:ascii="Garamond" w:hAnsi="Garamond"/>
          <w:sz w:val="22"/>
          <w:szCs w:val="22"/>
        </w:rPr>
        <w:t xml:space="preserve"> The motivation unfortunately does not articulate the reason</w:t>
      </w:r>
      <w:r w:rsidR="000B1084" w:rsidRPr="00A55F3A">
        <w:rPr>
          <w:rFonts w:ascii="Garamond" w:hAnsi="Garamond"/>
          <w:sz w:val="22"/>
          <w:szCs w:val="22"/>
        </w:rPr>
        <w:t>s</w:t>
      </w:r>
      <w:r w:rsidR="003567BF" w:rsidRPr="00A55F3A">
        <w:rPr>
          <w:rFonts w:ascii="Garamond" w:hAnsi="Garamond"/>
          <w:sz w:val="22"/>
          <w:szCs w:val="22"/>
        </w:rPr>
        <w:t xml:space="preserve"> </w:t>
      </w:r>
      <w:r w:rsidR="00593D4F" w:rsidRPr="00A55F3A">
        <w:rPr>
          <w:rFonts w:ascii="Garamond" w:hAnsi="Garamond"/>
          <w:sz w:val="22"/>
          <w:szCs w:val="22"/>
        </w:rPr>
        <w:t xml:space="preserve">for considering </w:t>
      </w:r>
      <w:r w:rsidR="000E4C71" w:rsidRPr="00A55F3A">
        <w:rPr>
          <w:rFonts w:ascii="Garamond" w:hAnsi="Garamond"/>
          <w:sz w:val="22"/>
          <w:szCs w:val="22"/>
        </w:rPr>
        <w:t xml:space="preserve">the </w:t>
      </w:r>
      <w:r w:rsidR="00593D4F" w:rsidRPr="00A55F3A">
        <w:rPr>
          <w:rFonts w:ascii="Garamond" w:hAnsi="Garamond"/>
          <w:sz w:val="22"/>
          <w:szCs w:val="22"/>
        </w:rPr>
        <w:t>consequences of excluding</w:t>
      </w:r>
      <w:r w:rsidR="000F170E" w:rsidRPr="00A55F3A">
        <w:rPr>
          <w:rFonts w:ascii="Garamond" w:hAnsi="Garamond"/>
          <w:sz w:val="22"/>
          <w:szCs w:val="22"/>
        </w:rPr>
        <w:t xml:space="preserve"> </w:t>
      </w:r>
      <w:r w:rsidR="00291400" w:rsidRPr="00A55F3A">
        <w:rPr>
          <w:rFonts w:ascii="Garamond" w:hAnsi="Garamond"/>
          <w:sz w:val="22"/>
          <w:szCs w:val="22"/>
        </w:rPr>
        <w:t>IOE</w:t>
      </w:r>
      <w:r w:rsidR="00593D4F" w:rsidRPr="00A55F3A">
        <w:rPr>
          <w:rFonts w:ascii="Garamond" w:hAnsi="Garamond"/>
          <w:sz w:val="22"/>
          <w:szCs w:val="22"/>
        </w:rPr>
        <w:t xml:space="preserve"> from the main </w:t>
      </w:r>
      <w:r w:rsidR="002E560F">
        <w:rPr>
          <w:rFonts w:ascii="Garamond" w:hAnsi="Garamond"/>
          <w:sz w:val="22"/>
          <w:szCs w:val="22"/>
        </w:rPr>
        <w:t>hearing</w:t>
      </w:r>
      <w:r w:rsidR="00593D4F" w:rsidRPr="00A55F3A">
        <w:rPr>
          <w:rFonts w:ascii="Garamond" w:hAnsi="Garamond"/>
          <w:sz w:val="22"/>
          <w:szCs w:val="22"/>
        </w:rPr>
        <w:t xml:space="preserve">. </w:t>
      </w:r>
      <w:r w:rsidR="00A95D1D" w:rsidRPr="00A55F3A">
        <w:rPr>
          <w:rFonts w:ascii="Garamond" w:hAnsi="Garamond"/>
          <w:sz w:val="22"/>
          <w:szCs w:val="22"/>
        </w:rPr>
        <w:t>This is unfortunate</w:t>
      </w:r>
      <w:r w:rsidR="00B5258C" w:rsidRPr="00A55F3A">
        <w:rPr>
          <w:rFonts w:ascii="Garamond" w:hAnsi="Garamond"/>
          <w:sz w:val="22"/>
          <w:szCs w:val="22"/>
        </w:rPr>
        <w:t>,</w:t>
      </w:r>
      <w:r w:rsidRPr="00A55F3A">
        <w:rPr>
          <w:rFonts w:ascii="Garamond" w:hAnsi="Garamond"/>
          <w:sz w:val="22"/>
          <w:szCs w:val="22"/>
        </w:rPr>
        <w:t xml:space="preserve"> since it leaves</w:t>
      </w:r>
      <w:r w:rsidR="003567BF" w:rsidRPr="00A55F3A">
        <w:rPr>
          <w:rFonts w:ascii="Garamond" w:hAnsi="Garamond"/>
          <w:sz w:val="22"/>
          <w:szCs w:val="22"/>
        </w:rPr>
        <w:t xml:space="preserve"> </w:t>
      </w:r>
      <w:r w:rsidRPr="00A55F3A">
        <w:rPr>
          <w:rFonts w:ascii="Garamond" w:hAnsi="Garamond"/>
          <w:sz w:val="22"/>
          <w:szCs w:val="22"/>
        </w:rPr>
        <w:t>one</w:t>
      </w:r>
      <w:r w:rsidR="00A95AD6" w:rsidRPr="00A55F3A">
        <w:rPr>
          <w:rFonts w:ascii="Garamond" w:hAnsi="Garamond"/>
          <w:sz w:val="22"/>
          <w:szCs w:val="22"/>
        </w:rPr>
        <w:t xml:space="preserve"> of</w:t>
      </w:r>
      <w:r w:rsidRPr="00A55F3A">
        <w:rPr>
          <w:rFonts w:ascii="Garamond" w:hAnsi="Garamond"/>
          <w:sz w:val="22"/>
          <w:szCs w:val="22"/>
        </w:rPr>
        <w:t xml:space="preserve"> the</w:t>
      </w:r>
      <w:r w:rsidR="003567BF" w:rsidRPr="00A55F3A">
        <w:rPr>
          <w:rFonts w:ascii="Garamond" w:hAnsi="Garamond"/>
          <w:sz w:val="22"/>
          <w:szCs w:val="22"/>
        </w:rPr>
        <w:t xml:space="preserve"> </w:t>
      </w:r>
      <w:r w:rsidRPr="00A55F3A">
        <w:rPr>
          <w:rFonts w:ascii="Garamond" w:hAnsi="Garamond"/>
          <w:sz w:val="22"/>
          <w:szCs w:val="22"/>
        </w:rPr>
        <w:t>most significant elements of the decision truncated</w:t>
      </w:r>
      <w:r w:rsidR="00372A79" w:rsidRPr="00A55F3A">
        <w:rPr>
          <w:rFonts w:ascii="Garamond" w:hAnsi="Garamond"/>
          <w:sz w:val="22"/>
          <w:szCs w:val="22"/>
        </w:rPr>
        <w:t>.</w:t>
      </w:r>
      <w:r w:rsidR="003567BF" w:rsidRPr="00A55F3A">
        <w:rPr>
          <w:rFonts w:ascii="Garamond" w:hAnsi="Garamond"/>
          <w:sz w:val="22"/>
          <w:szCs w:val="22"/>
        </w:rPr>
        <w:t xml:space="preserve"> </w:t>
      </w:r>
      <w:r w:rsidR="00372A79" w:rsidRPr="00A55F3A">
        <w:rPr>
          <w:rFonts w:ascii="Garamond" w:hAnsi="Garamond"/>
          <w:sz w:val="22"/>
          <w:szCs w:val="22"/>
        </w:rPr>
        <w:t>In the p</w:t>
      </w:r>
      <w:r w:rsidR="000E4C71" w:rsidRPr="00A55F3A">
        <w:rPr>
          <w:rFonts w:ascii="Garamond" w:hAnsi="Garamond"/>
          <w:sz w:val="22"/>
          <w:szCs w:val="22"/>
        </w:rPr>
        <w:t>enultimate section of the paper</w:t>
      </w:r>
      <w:r w:rsidR="00C21EBD" w:rsidRPr="00A55F3A">
        <w:rPr>
          <w:rFonts w:ascii="Garamond" w:hAnsi="Garamond"/>
          <w:sz w:val="22"/>
          <w:szCs w:val="22"/>
        </w:rPr>
        <w:t>,</w:t>
      </w:r>
      <w:r w:rsidR="00372A79" w:rsidRPr="00A55F3A">
        <w:rPr>
          <w:rFonts w:ascii="Garamond" w:hAnsi="Garamond"/>
          <w:sz w:val="22"/>
          <w:szCs w:val="22"/>
        </w:rPr>
        <w:t xml:space="preserve"> we</w:t>
      </w:r>
      <w:r w:rsidR="003567BF" w:rsidRPr="00A55F3A">
        <w:rPr>
          <w:rFonts w:ascii="Garamond" w:hAnsi="Garamond"/>
          <w:sz w:val="22"/>
          <w:szCs w:val="22"/>
        </w:rPr>
        <w:t xml:space="preserve"> </w:t>
      </w:r>
      <w:r w:rsidR="00593D4F" w:rsidRPr="00A55F3A">
        <w:rPr>
          <w:rFonts w:ascii="Garamond" w:hAnsi="Garamond"/>
          <w:sz w:val="22"/>
          <w:szCs w:val="22"/>
        </w:rPr>
        <w:t>will return to this point</w:t>
      </w:r>
      <w:r w:rsidR="001C06A8" w:rsidRPr="00A55F3A">
        <w:rPr>
          <w:rFonts w:ascii="Garamond" w:hAnsi="Garamond"/>
          <w:sz w:val="22"/>
          <w:szCs w:val="22"/>
        </w:rPr>
        <w:t>,</w:t>
      </w:r>
      <w:r w:rsidR="00B50D56" w:rsidRPr="00A55F3A">
        <w:rPr>
          <w:rFonts w:ascii="Garamond" w:hAnsi="Garamond"/>
          <w:sz w:val="22"/>
          <w:szCs w:val="22"/>
        </w:rPr>
        <w:t xml:space="preserve"> </w:t>
      </w:r>
      <w:r w:rsidR="00372A79" w:rsidRPr="00A55F3A">
        <w:rPr>
          <w:rFonts w:ascii="Garamond" w:hAnsi="Garamond"/>
          <w:sz w:val="22"/>
          <w:szCs w:val="22"/>
        </w:rPr>
        <w:t>but</w:t>
      </w:r>
      <w:r w:rsidR="003567BF" w:rsidRPr="00A55F3A">
        <w:rPr>
          <w:rFonts w:ascii="Garamond" w:hAnsi="Garamond"/>
          <w:sz w:val="22"/>
          <w:szCs w:val="22"/>
        </w:rPr>
        <w:t xml:space="preserve"> </w:t>
      </w:r>
      <w:r w:rsidR="00593D4F" w:rsidRPr="00A55F3A">
        <w:rPr>
          <w:rFonts w:ascii="Garamond" w:hAnsi="Garamond"/>
          <w:sz w:val="22"/>
          <w:szCs w:val="22"/>
        </w:rPr>
        <w:t xml:space="preserve">we could </w:t>
      </w:r>
      <w:r w:rsidR="00372A79" w:rsidRPr="00A55F3A">
        <w:rPr>
          <w:rFonts w:ascii="Garamond" w:hAnsi="Garamond"/>
          <w:sz w:val="22"/>
          <w:szCs w:val="22"/>
        </w:rPr>
        <w:t>anticipate that Italian</w:t>
      </w:r>
      <w:r w:rsidR="003567BF" w:rsidRPr="00A55F3A">
        <w:rPr>
          <w:rFonts w:ascii="Garamond" w:hAnsi="Garamond"/>
          <w:sz w:val="22"/>
          <w:szCs w:val="22"/>
        </w:rPr>
        <w:t xml:space="preserve"> </w:t>
      </w:r>
      <w:r w:rsidR="00593D4F" w:rsidRPr="00A55F3A">
        <w:rPr>
          <w:rFonts w:ascii="Garamond" w:hAnsi="Garamond"/>
          <w:sz w:val="22"/>
          <w:szCs w:val="22"/>
        </w:rPr>
        <w:t>jurisprudence has not, b</w:t>
      </w:r>
      <w:r w:rsidR="000E4C71" w:rsidRPr="00A55F3A">
        <w:rPr>
          <w:rFonts w:ascii="Garamond" w:hAnsi="Garamond"/>
          <w:sz w:val="22"/>
          <w:szCs w:val="22"/>
        </w:rPr>
        <w:t>y</w:t>
      </w:r>
      <w:r w:rsidR="00593D4F" w:rsidRPr="00A55F3A">
        <w:rPr>
          <w:rFonts w:ascii="Garamond" w:hAnsi="Garamond"/>
          <w:sz w:val="22"/>
          <w:szCs w:val="22"/>
        </w:rPr>
        <w:t xml:space="preserve"> comparison to the </w:t>
      </w:r>
      <w:r w:rsidR="002E560F">
        <w:rPr>
          <w:rFonts w:ascii="Garamond" w:hAnsi="Garamond"/>
          <w:sz w:val="22"/>
          <w:szCs w:val="22"/>
        </w:rPr>
        <w:t>English</w:t>
      </w:r>
      <w:r w:rsidR="002E560F" w:rsidRPr="00A55F3A">
        <w:rPr>
          <w:rFonts w:ascii="Garamond" w:hAnsi="Garamond"/>
          <w:sz w:val="22"/>
          <w:szCs w:val="22"/>
        </w:rPr>
        <w:t xml:space="preserve"> </w:t>
      </w:r>
      <w:r w:rsidR="00372A79" w:rsidRPr="00A55F3A">
        <w:rPr>
          <w:rFonts w:ascii="Garamond" w:hAnsi="Garamond"/>
          <w:sz w:val="22"/>
          <w:szCs w:val="22"/>
        </w:rPr>
        <w:t>jurisprudence</w:t>
      </w:r>
      <w:r w:rsidR="00593D4F" w:rsidRPr="00A55F3A">
        <w:rPr>
          <w:rFonts w:ascii="Garamond" w:hAnsi="Garamond"/>
          <w:sz w:val="22"/>
          <w:szCs w:val="22"/>
        </w:rPr>
        <w:t xml:space="preserve">, a </w:t>
      </w:r>
      <w:r w:rsidR="00372A79" w:rsidRPr="00A55F3A">
        <w:rPr>
          <w:rFonts w:ascii="Garamond" w:hAnsi="Garamond"/>
          <w:sz w:val="22"/>
          <w:szCs w:val="22"/>
        </w:rPr>
        <w:t>long tradition</w:t>
      </w:r>
      <w:r w:rsidR="003567BF" w:rsidRPr="00A55F3A">
        <w:rPr>
          <w:rFonts w:ascii="Garamond" w:hAnsi="Garamond"/>
          <w:sz w:val="22"/>
          <w:szCs w:val="22"/>
        </w:rPr>
        <w:t xml:space="preserve"> </w:t>
      </w:r>
      <w:r w:rsidR="000E4C71" w:rsidRPr="00A55F3A">
        <w:rPr>
          <w:rFonts w:ascii="Garamond" w:hAnsi="Garamond"/>
          <w:sz w:val="22"/>
          <w:szCs w:val="22"/>
        </w:rPr>
        <w:t>i</w:t>
      </w:r>
      <w:r w:rsidR="00593D4F" w:rsidRPr="00A55F3A">
        <w:rPr>
          <w:rFonts w:ascii="Garamond" w:hAnsi="Garamond"/>
          <w:sz w:val="22"/>
          <w:szCs w:val="22"/>
        </w:rPr>
        <w:t xml:space="preserve">n </w:t>
      </w:r>
      <w:r w:rsidR="00372A79" w:rsidRPr="00A55F3A">
        <w:rPr>
          <w:rFonts w:ascii="Garamond" w:hAnsi="Garamond"/>
          <w:sz w:val="22"/>
          <w:szCs w:val="22"/>
        </w:rPr>
        <w:t>considering the benefits</w:t>
      </w:r>
      <w:r w:rsidR="000E4C71" w:rsidRPr="00A55F3A">
        <w:rPr>
          <w:rFonts w:ascii="Garamond" w:hAnsi="Garamond"/>
          <w:sz w:val="22"/>
          <w:szCs w:val="22"/>
        </w:rPr>
        <w:t xml:space="preserve"> of</w:t>
      </w:r>
      <w:r w:rsidR="00372A79" w:rsidRPr="00A55F3A">
        <w:rPr>
          <w:rFonts w:ascii="Garamond" w:hAnsi="Garamond"/>
          <w:sz w:val="22"/>
          <w:szCs w:val="22"/>
        </w:rPr>
        <w:t xml:space="preserve"> </w:t>
      </w:r>
      <w:r w:rsidR="00593D4F" w:rsidRPr="00A55F3A">
        <w:rPr>
          <w:rFonts w:ascii="Garamond" w:hAnsi="Garamond"/>
          <w:sz w:val="22"/>
          <w:szCs w:val="22"/>
        </w:rPr>
        <w:t>consequentialism</w:t>
      </w:r>
      <w:r w:rsidR="000B1084" w:rsidRPr="00A55F3A">
        <w:rPr>
          <w:rFonts w:ascii="Garamond" w:hAnsi="Garamond"/>
          <w:sz w:val="22"/>
          <w:szCs w:val="22"/>
        </w:rPr>
        <w:t xml:space="preserve"> as a plausible </w:t>
      </w:r>
      <w:r w:rsidR="00B5258C" w:rsidRPr="00A55F3A">
        <w:rPr>
          <w:rFonts w:ascii="Garamond" w:hAnsi="Garamond"/>
          <w:sz w:val="22"/>
          <w:szCs w:val="22"/>
        </w:rPr>
        <w:t xml:space="preserve">form of </w:t>
      </w:r>
      <w:r w:rsidR="000B1084" w:rsidRPr="00A55F3A">
        <w:rPr>
          <w:rFonts w:ascii="Garamond" w:hAnsi="Garamond"/>
          <w:sz w:val="22"/>
          <w:szCs w:val="22"/>
        </w:rPr>
        <w:t>legal reasoning</w:t>
      </w:r>
      <w:r w:rsidR="00593D4F" w:rsidRPr="00A55F3A">
        <w:rPr>
          <w:rFonts w:ascii="Garamond" w:hAnsi="Garamond"/>
          <w:sz w:val="22"/>
          <w:szCs w:val="22"/>
        </w:rPr>
        <w:t>.</w:t>
      </w:r>
      <w:r w:rsidR="006D62CC" w:rsidRPr="00A55F3A">
        <w:rPr>
          <w:rStyle w:val="FootnoteReference"/>
          <w:rFonts w:ascii="Garamond" w:hAnsi="Garamond"/>
          <w:sz w:val="22"/>
          <w:szCs w:val="22"/>
        </w:rPr>
        <w:footnoteReference w:id="59"/>
      </w:r>
      <w:r w:rsidR="00593D4F" w:rsidRPr="00A55F3A">
        <w:rPr>
          <w:rFonts w:ascii="Garamond" w:hAnsi="Garamond"/>
          <w:sz w:val="22"/>
          <w:szCs w:val="22"/>
        </w:rPr>
        <w:t xml:space="preserve"> </w:t>
      </w:r>
    </w:p>
    <w:p w14:paraId="2152CDD9" w14:textId="0E7C1D85"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However</w:t>
      </w:r>
      <w:r w:rsidR="00372A79" w:rsidRPr="00A55F3A">
        <w:rPr>
          <w:rFonts w:ascii="Garamond" w:hAnsi="Garamond"/>
          <w:sz w:val="22"/>
          <w:szCs w:val="22"/>
        </w:rPr>
        <w:t>,</w:t>
      </w:r>
      <w:r w:rsidRPr="00A55F3A">
        <w:rPr>
          <w:rFonts w:ascii="Garamond" w:hAnsi="Garamond"/>
          <w:sz w:val="22"/>
          <w:szCs w:val="22"/>
        </w:rPr>
        <w:t xml:space="preserve"> there are </w:t>
      </w:r>
      <w:r w:rsidR="001C06A8" w:rsidRPr="00A55F3A">
        <w:rPr>
          <w:rFonts w:ascii="Garamond" w:hAnsi="Garamond"/>
          <w:sz w:val="22"/>
          <w:szCs w:val="22"/>
        </w:rPr>
        <w:t>strong</w:t>
      </w:r>
      <w:r w:rsidR="00B50D56" w:rsidRPr="00A55F3A">
        <w:rPr>
          <w:rFonts w:ascii="Garamond" w:hAnsi="Garamond"/>
          <w:sz w:val="22"/>
          <w:szCs w:val="22"/>
        </w:rPr>
        <w:t xml:space="preserve"> </w:t>
      </w:r>
      <w:r w:rsidRPr="00A55F3A">
        <w:rPr>
          <w:rFonts w:ascii="Garamond" w:hAnsi="Garamond"/>
          <w:sz w:val="22"/>
          <w:szCs w:val="22"/>
        </w:rPr>
        <w:t xml:space="preserve"> indications that </w:t>
      </w:r>
      <w:r w:rsidR="00C21EBD" w:rsidRPr="00A55F3A">
        <w:rPr>
          <w:rFonts w:ascii="Garamond" w:hAnsi="Garamond"/>
          <w:sz w:val="22"/>
          <w:szCs w:val="22"/>
        </w:rPr>
        <w:t xml:space="preserve">the </w:t>
      </w:r>
      <w:r w:rsidRPr="00A55F3A">
        <w:rPr>
          <w:rFonts w:ascii="Garamond" w:hAnsi="Garamond"/>
          <w:sz w:val="22"/>
          <w:szCs w:val="22"/>
        </w:rPr>
        <w:t xml:space="preserve">Order </w:t>
      </w:r>
      <w:r w:rsidR="00B5258C" w:rsidRPr="00A55F3A">
        <w:rPr>
          <w:rFonts w:ascii="Garamond" w:hAnsi="Garamond"/>
          <w:sz w:val="22"/>
          <w:szCs w:val="22"/>
        </w:rPr>
        <w:t xml:space="preserve">made on </w:t>
      </w:r>
      <w:r w:rsidRPr="00A55F3A">
        <w:rPr>
          <w:rFonts w:ascii="Garamond" w:hAnsi="Garamond"/>
          <w:sz w:val="22"/>
          <w:szCs w:val="22"/>
        </w:rPr>
        <w:t>16</w:t>
      </w:r>
      <w:r w:rsidR="00B5258C" w:rsidRPr="00A55F3A">
        <w:rPr>
          <w:rFonts w:ascii="Garamond" w:hAnsi="Garamond"/>
          <w:sz w:val="22"/>
          <w:szCs w:val="22"/>
        </w:rPr>
        <w:t xml:space="preserve"> February </w:t>
      </w:r>
      <w:r w:rsidRPr="00A55F3A">
        <w:rPr>
          <w:rFonts w:ascii="Garamond" w:hAnsi="Garamond"/>
          <w:sz w:val="22"/>
          <w:szCs w:val="22"/>
        </w:rPr>
        <w:t xml:space="preserve">2007 by the Tribunal of Bari might be the harbinger of a new line of authority. The decision was </w:t>
      </w:r>
      <w:r w:rsidR="00372A79" w:rsidRPr="00A55F3A">
        <w:rPr>
          <w:rFonts w:ascii="Garamond" w:hAnsi="Garamond"/>
          <w:sz w:val="22"/>
          <w:szCs w:val="22"/>
        </w:rPr>
        <w:t>promptly</w:t>
      </w:r>
      <w:r w:rsidR="003567BF" w:rsidRPr="00A55F3A">
        <w:rPr>
          <w:rFonts w:ascii="Garamond" w:hAnsi="Garamond"/>
          <w:sz w:val="22"/>
          <w:szCs w:val="22"/>
        </w:rPr>
        <w:t xml:space="preserve"> </w:t>
      </w:r>
      <w:r w:rsidRPr="00A55F3A">
        <w:rPr>
          <w:rFonts w:ascii="Garamond" w:hAnsi="Garamond"/>
          <w:sz w:val="22"/>
          <w:szCs w:val="22"/>
        </w:rPr>
        <w:t xml:space="preserve">confirmed </w:t>
      </w:r>
      <w:r w:rsidR="00B5258C" w:rsidRPr="00A55F3A">
        <w:rPr>
          <w:rFonts w:ascii="Garamond" w:hAnsi="Garamond"/>
          <w:sz w:val="22"/>
          <w:szCs w:val="22"/>
        </w:rPr>
        <w:t>in September of the same year</w:t>
      </w:r>
      <w:r w:rsidR="003567BF" w:rsidRPr="00A55F3A">
        <w:rPr>
          <w:rFonts w:ascii="Garamond" w:hAnsi="Garamond"/>
          <w:sz w:val="22"/>
          <w:szCs w:val="22"/>
        </w:rPr>
        <w:t xml:space="preserve"> </w:t>
      </w:r>
      <w:r w:rsidR="00A95AD6" w:rsidRPr="00A55F3A">
        <w:rPr>
          <w:rFonts w:ascii="Garamond" w:hAnsi="Garamond"/>
          <w:sz w:val="22"/>
          <w:szCs w:val="22"/>
        </w:rPr>
        <w:t xml:space="preserve">by </w:t>
      </w:r>
      <w:r w:rsidR="000E4C71" w:rsidRPr="00A55F3A">
        <w:rPr>
          <w:rFonts w:ascii="Garamond" w:hAnsi="Garamond"/>
          <w:sz w:val="22"/>
          <w:szCs w:val="22"/>
        </w:rPr>
        <w:t>the</w:t>
      </w:r>
      <w:r w:rsidRPr="00A55F3A">
        <w:rPr>
          <w:rFonts w:ascii="Garamond" w:hAnsi="Garamond"/>
          <w:sz w:val="22"/>
          <w:szCs w:val="22"/>
        </w:rPr>
        <w:t xml:space="preserve"> Tribunal of Turin</w:t>
      </w:r>
      <w:r w:rsidR="00372A79" w:rsidRPr="00A55F3A">
        <w:rPr>
          <w:rFonts w:ascii="Garamond" w:hAnsi="Garamond"/>
          <w:sz w:val="22"/>
          <w:szCs w:val="22"/>
        </w:rPr>
        <w:t xml:space="preserve"> in </w:t>
      </w:r>
      <w:r w:rsidR="00372A79" w:rsidRPr="00A55F3A">
        <w:rPr>
          <w:rFonts w:ascii="Garamond" w:hAnsi="Garamond"/>
          <w:i/>
          <w:sz w:val="22"/>
          <w:szCs w:val="22"/>
        </w:rPr>
        <w:t>Ciocchetti</w:t>
      </w:r>
      <w:r w:rsidR="00C10272" w:rsidRPr="00A55F3A">
        <w:rPr>
          <w:rFonts w:ascii="Garamond" w:hAnsi="Garamond"/>
          <w:sz w:val="22"/>
          <w:szCs w:val="22"/>
        </w:rPr>
        <w:t xml:space="preserve"> v </w:t>
      </w:r>
      <w:r w:rsidR="00372A79" w:rsidRPr="00A55F3A">
        <w:rPr>
          <w:rFonts w:ascii="Garamond" w:hAnsi="Garamond"/>
          <w:i/>
          <w:sz w:val="22"/>
          <w:szCs w:val="22"/>
        </w:rPr>
        <w:t xml:space="preserve">Fiat Auto </w:t>
      </w:r>
      <w:r w:rsidR="00372A79" w:rsidRPr="00A55F3A">
        <w:rPr>
          <w:rFonts w:ascii="Garamond" w:hAnsi="Garamond"/>
          <w:i/>
          <w:sz w:val="22"/>
          <w:szCs w:val="22"/>
        </w:rPr>
        <w:lastRenderedPageBreak/>
        <w:t>Financial Services</w:t>
      </w:r>
      <w:r w:rsidRPr="00A55F3A">
        <w:rPr>
          <w:rFonts w:ascii="Garamond" w:hAnsi="Garamond"/>
          <w:sz w:val="22"/>
          <w:szCs w:val="22"/>
        </w:rPr>
        <w:t>.</w:t>
      </w:r>
      <w:r w:rsidRPr="00A55F3A">
        <w:rPr>
          <w:rStyle w:val="FootnoteReference"/>
          <w:rFonts w:ascii="Garamond" w:eastAsia="BookAntiqua" w:hAnsi="Garamond"/>
          <w:sz w:val="22"/>
          <w:szCs w:val="22"/>
        </w:rPr>
        <w:footnoteReference w:id="60"/>
      </w:r>
      <w:r w:rsidRPr="00A55F3A">
        <w:rPr>
          <w:rFonts w:ascii="Garamond" w:hAnsi="Garamond"/>
          <w:sz w:val="22"/>
          <w:szCs w:val="22"/>
        </w:rPr>
        <w:t xml:space="preserve"> The </w:t>
      </w:r>
      <w:r w:rsidR="00AE5AD3" w:rsidRPr="00A55F3A">
        <w:rPr>
          <w:rFonts w:ascii="Garamond" w:hAnsi="Garamond"/>
          <w:sz w:val="22"/>
          <w:szCs w:val="22"/>
        </w:rPr>
        <w:t xml:space="preserve">Order  </w:t>
      </w:r>
      <w:r w:rsidRPr="00A55F3A">
        <w:rPr>
          <w:rFonts w:ascii="Garamond" w:hAnsi="Garamond"/>
          <w:sz w:val="22"/>
          <w:szCs w:val="22"/>
        </w:rPr>
        <w:t xml:space="preserve">was </w:t>
      </w:r>
      <w:r w:rsidR="00AE5AD3" w:rsidRPr="00A55F3A">
        <w:rPr>
          <w:rFonts w:ascii="Garamond" w:hAnsi="Garamond"/>
          <w:sz w:val="22"/>
          <w:szCs w:val="22"/>
        </w:rPr>
        <w:t xml:space="preserve"> made to decide </w:t>
      </w:r>
      <w:r w:rsidR="00EB781D" w:rsidRPr="00A55F3A">
        <w:rPr>
          <w:rFonts w:ascii="Garamond" w:hAnsi="Garamond"/>
          <w:sz w:val="22"/>
          <w:szCs w:val="22"/>
        </w:rPr>
        <w:t xml:space="preserve">an </w:t>
      </w:r>
      <w:r w:rsidRPr="00A55F3A">
        <w:rPr>
          <w:rFonts w:ascii="Garamond" w:hAnsi="Garamond"/>
          <w:sz w:val="22"/>
          <w:szCs w:val="22"/>
        </w:rPr>
        <w:t>ancillary issue in</w:t>
      </w:r>
      <w:r w:rsidR="000E4C71" w:rsidRPr="00A55F3A">
        <w:rPr>
          <w:rFonts w:ascii="Garamond" w:hAnsi="Garamond"/>
          <w:sz w:val="22"/>
          <w:szCs w:val="22"/>
        </w:rPr>
        <w:t xml:space="preserve"> an</w:t>
      </w:r>
      <w:r w:rsidRPr="00A55F3A">
        <w:rPr>
          <w:rFonts w:ascii="Garamond" w:hAnsi="Garamond"/>
          <w:sz w:val="22"/>
          <w:szCs w:val="22"/>
        </w:rPr>
        <w:t xml:space="preserve"> unfair dismissal case involv</w:t>
      </w:r>
      <w:r w:rsidR="00A66B12" w:rsidRPr="00A55F3A">
        <w:rPr>
          <w:rFonts w:ascii="Garamond" w:hAnsi="Garamond"/>
          <w:sz w:val="22"/>
          <w:szCs w:val="22"/>
        </w:rPr>
        <w:t>ing</w:t>
      </w:r>
      <w:r w:rsidRPr="00A55F3A">
        <w:rPr>
          <w:rFonts w:ascii="Garamond" w:hAnsi="Garamond"/>
          <w:sz w:val="22"/>
          <w:szCs w:val="22"/>
        </w:rPr>
        <w:t xml:space="preserve"> Mr Ciocchetti and his former employer</w:t>
      </w:r>
      <w:r w:rsidR="00A66B12" w:rsidRPr="00A55F3A">
        <w:rPr>
          <w:rFonts w:ascii="Garamond" w:hAnsi="Garamond"/>
          <w:sz w:val="22"/>
          <w:szCs w:val="22"/>
        </w:rPr>
        <w:t>,</w:t>
      </w:r>
      <w:r w:rsidRPr="00A55F3A">
        <w:rPr>
          <w:rFonts w:ascii="Garamond" w:hAnsi="Garamond"/>
          <w:sz w:val="22"/>
          <w:szCs w:val="22"/>
        </w:rPr>
        <w:t xml:space="preserve"> Fiat Auto Financial Services. The ancillary issue </w:t>
      </w:r>
      <w:r w:rsidR="00B5258C" w:rsidRPr="00A55F3A">
        <w:rPr>
          <w:rFonts w:ascii="Garamond" w:hAnsi="Garamond"/>
          <w:sz w:val="22"/>
          <w:szCs w:val="22"/>
        </w:rPr>
        <w:t>in this case involved the</w:t>
      </w:r>
      <w:r w:rsidR="003567BF" w:rsidRPr="00A55F3A">
        <w:rPr>
          <w:rFonts w:ascii="Garamond" w:hAnsi="Garamond"/>
          <w:sz w:val="22"/>
          <w:szCs w:val="22"/>
        </w:rPr>
        <w:t xml:space="preserve"> </w:t>
      </w:r>
      <w:r w:rsidRPr="00A55F3A">
        <w:rPr>
          <w:rFonts w:ascii="Garamond" w:hAnsi="Garamond"/>
          <w:sz w:val="22"/>
          <w:szCs w:val="22"/>
        </w:rPr>
        <w:t xml:space="preserve">admissibility of two </w:t>
      </w:r>
      <w:r w:rsidR="000F170E" w:rsidRPr="00A55F3A">
        <w:rPr>
          <w:rFonts w:ascii="Garamond" w:hAnsi="Garamond"/>
          <w:sz w:val="22"/>
          <w:szCs w:val="22"/>
        </w:rPr>
        <w:t>type</w:t>
      </w:r>
      <w:r w:rsidR="002E560F">
        <w:rPr>
          <w:rFonts w:ascii="Garamond" w:hAnsi="Garamond"/>
          <w:sz w:val="22"/>
          <w:szCs w:val="22"/>
        </w:rPr>
        <w:t>s</w:t>
      </w:r>
      <w:r w:rsidR="000F170E" w:rsidRPr="00A55F3A">
        <w:rPr>
          <w:rFonts w:ascii="Garamond" w:hAnsi="Garamond"/>
          <w:sz w:val="22"/>
          <w:szCs w:val="22"/>
        </w:rPr>
        <w:t xml:space="preserve">  </w:t>
      </w:r>
      <w:r w:rsidRPr="00A55F3A">
        <w:rPr>
          <w:rFonts w:ascii="Garamond" w:hAnsi="Garamond"/>
          <w:sz w:val="22"/>
          <w:szCs w:val="22"/>
        </w:rPr>
        <w:t xml:space="preserve">of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w:t>
      </w:r>
      <w:r w:rsidR="00AE5AD3" w:rsidRPr="00A55F3A">
        <w:rPr>
          <w:rFonts w:ascii="Garamond" w:hAnsi="Garamond"/>
          <w:sz w:val="22"/>
          <w:szCs w:val="22"/>
        </w:rPr>
        <w:t xml:space="preserve">records </w:t>
      </w:r>
      <w:r w:rsidR="00B033F2" w:rsidRPr="00A55F3A">
        <w:rPr>
          <w:rFonts w:ascii="Garamond" w:hAnsi="Garamond"/>
          <w:sz w:val="22"/>
          <w:szCs w:val="22"/>
        </w:rPr>
        <w:t xml:space="preserve"> </w:t>
      </w:r>
      <w:r w:rsidRPr="00A55F3A">
        <w:rPr>
          <w:rFonts w:ascii="Garamond" w:hAnsi="Garamond"/>
          <w:sz w:val="22"/>
          <w:szCs w:val="22"/>
        </w:rPr>
        <w:t xml:space="preserve">of private phone calls made using </w:t>
      </w:r>
      <w:r w:rsidR="00A66B12" w:rsidRPr="00A55F3A">
        <w:rPr>
          <w:rFonts w:ascii="Garamond" w:hAnsi="Garamond"/>
          <w:sz w:val="22"/>
          <w:szCs w:val="22"/>
        </w:rPr>
        <w:t xml:space="preserve">a </w:t>
      </w:r>
      <w:r w:rsidRPr="00A55F3A">
        <w:rPr>
          <w:rFonts w:ascii="Garamond" w:hAnsi="Garamond"/>
          <w:sz w:val="22"/>
          <w:szCs w:val="22"/>
        </w:rPr>
        <w:t>company mobile phone</w:t>
      </w:r>
      <w:r w:rsidR="00B5258C" w:rsidRPr="00A55F3A">
        <w:rPr>
          <w:rFonts w:ascii="Garamond" w:hAnsi="Garamond"/>
          <w:sz w:val="22"/>
          <w:szCs w:val="22"/>
        </w:rPr>
        <w:t>,</w:t>
      </w:r>
      <w:r w:rsidRPr="00A55F3A">
        <w:rPr>
          <w:rFonts w:ascii="Garamond" w:hAnsi="Garamond"/>
          <w:sz w:val="22"/>
          <w:szCs w:val="22"/>
        </w:rPr>
        <w:t xml:space="preserve"> and p</w:t>
      </w:r>
      <w:r w:rsidR="00B5258C" w:rsidRPr="00A55F3A">
        <w:rPr>
          <w:rFonts w:ascii="Garamond" w:hAnsi="Garamond"/>
          <w:sz w:val="22"/>
          <w:szCs w:val="22"/>
        </w:rPr>
        <w:t>ersonal computer data retrieved,</w:t>
      </w:r>
      <w:r w:rsidR="001C06A8" w:rsidRPr="00A55F3A">
        <w:rPr>
          <w:rFonts w:ascii="Garamond" w:hAnsi="Garamond"/>
          <w:sz w:val="22"/>
          <w:szCs w:val="22"/>
        </w:rPr>
        <w:t xml:space="preserve"> </w:t>
      </w:r>
      <w:r w:rsidRPr="00A55F3A">
        <w:rPr>
          <w:rFonts w:ascii="Garamond" w:hAnsi="Garamond"/>
          <w:sz w:val="22"/>
          <w:szCs w:val="22"/>
        </w:rPr>
        <w:t>again</w:t>
      </w:r>
      <w:r w:rsidR="00B5258C" w:rsidRPr="00A55F3A">
        <w:rPr>
          <w:rFonts w:ascii="Garamond" w:hAnsi="Garamond"/>
          <w:sz w:val="22"/>
          <w:szCs w:val="22"/>
        </w:rPr>
        <w:t>,</w:t>
      </w:r>
      <w:r w:rsidRPr="00A55F3A">
        <w:rPr>
          <w:rFonts w:ascii="Garamond" w:hAnsi="Garamond"/>
          <w:sz w:val="22"/>
          <w:szCs w:val="22"/>
        </w:rPr>
        <w:t xml:space="preserve"> in </w:t>
      </w:r>
      <w:r w:rsidR="00A66B12" w:rsidRPr="00A55F3A">
        <w:rPr>
          <w:rFonts w:ascii="Garamond" w:hAnsi="Garamond"/>
          <w:sz w:val="22"/>
          <w:szCs w:val="22"/>
        </w:rPr>
        <w:t xml:space="preserve">a </w:t>
      </w:r>
      <w:r w:rsidRPr="00A55F3A">
        <w:rPr>
          <w:rFonts w:ascii="Garamond" w:hAnsi="Garamond"/>
          <w:sz w:val="22"/>
          <w:szCs w:val="22"/>
        </w:rPr>
        <w:t>company laptop.</w:t>
      </w:r>
      <w:r w:rsidR="001C06A8" w:rsidRPr="00A55F3A">
        <w:rPr>
          <w:rStyle w:val="FootnoteReference"/>
          <w:rFonts w:ascii="Garamond" w:eastAsia="BookAntiqua" w:hAnsi="Garamond"/>
          <w:sz w:val="22"/>
          <w:szCs w:val="22"/>
        </w:rPr>
        <w:t xml:space="preserve"> </w:t>
      </w:r>
      <w:r w:rsidR="001C06A8" w:rsidRPr="00A55F3A">
        <w:rPr>
          <w:rStyle w:val="FootnoteReference"/>
          <w:rFonts w:ascii="Garamond" w:eastAsia="BookAntiqua" w:hAnsi="Garamond"/>
          <w:sz w:val="22"/>
          <w:szCs w:val="22"/>
        </w:rPr>
        <w:footnoteReference w:id="61"/>
      </w:r>
      <w:r w:rsidR="00B50D56" w:rsidRPr="00A55F3A">
        <w:rPr>
          <w:rFonts w:ascii="Garamond" w:hAnsi="Garamond"/>
          <w:sz w:val="22"/>
          <w:szCs w:val="22"/>
        </w:rPr>
        <w:t xml:space="preserve"> </w:t>
      </w:r>
      <w:r w:rsidR="001C06A8" w:rsidRPr="00A55F3A">
        <w:rPr>
          <w:rFonts w:ascii="Garamond" w:hAnsi="Garamond"/>
          <w:sz w:val="22"/>
          <w:szCs w:val="22"/>
        </w:rPr>
        <w:t>Italian law has recently introduce</w:t>
      </w:r>
      <w:r w:rsidR="006269A0" w:rsidRPr="00A55F3A">
        <w:rPr>
          <w:rFonts w:ascii="Garamond" w:hAnsi="Garamond"/>
          <w:sz w:val="22"/>
          <w:szCs w:val="22"/>
        </w:rPr>
        <w:t>d</w:t>
      </w:r>
      <w:r w:rsidR="001C06A8" w:rsidRPr="00A55F3A">
        <w:rPr>
          <w:rFonts w:ascii="Garamond" w:hAnsi="Garamond"/>
          <w:sz w:val="22"/>
          <w:szCs w:val="22"/>
        </w:rPr>
        <w:t xml:space="preserve"> a statutory qualification of</w:t>
      </w:r>
      <w:r w:rsidR="00B50D56" w:rsidRPr="00A55F3A">
        <w:rPr>
          <w:rFonts w:ascii="Garamond" w:hAnsi="Garamond"/>
          <w:sz w:val="22"/>
          <w:szCs w:val="22"/>
        </w:rPr>
        <w:t xml:space="preserve"> </w:t>
      </w:r>
      <w:r w:rsidR="001C06A8" w:rsidRPr="00A55F3A">
        <w:rPr>
          <w:rFonts w:ascii="Garamond" w:hAnsi="Garamond"/>
          <w:sz w:val="22"/>
          <w:szCs w:val="22"/>
        </w:rPr>
        <w:t>article 8 ECHR, the so</w:t>
      </w:r>
      <w:r w:rsidR="00EB781D" w:rsidRPr="00A55F3A">
        <w:rPr>
          <w:rFonts w:ascii="Garamond" w:hAnsi="Garamond"/>
          <w:sz w:val="22"/>
          <w:szCs w:val="22"/>
        </w:rPr>
        <w:t>-</w:t>
      </w:r>
      <w:r w:rsidR="001C06A8" w:rsidRPr="00A55F3A">
        <w:rPr>
          <w:rFonts w:ascii="Garamond" w:hAnsi="Garamond"/>
          <w:sz w:val="22"/>
          <w:szCs w:val="22"/>
        </w:rPr>
        <w:t>called Italian Personal Data Protection Code that provide</w:t>
      </w:r>
      <w:r w:rsidR="006269A0" w:rsidRPr="00A55F3A">
        <w:rPr>
          <w:rFonts w:ascii="Garamond" w:hAnsi="Garamond"/>
          <w:sz w:val="22"/>
          <w:szCs w:val="22"/>
        </w:rPr>
        <w:t>s</w:t>
      </w:r>
      <w:r w:rsidR="001C06A8" w:rsidRPr="00A55F3A">
        <w:rPr>
          <w:rFonts w:ascii="Garamond" w:hAnsi="Garamond"/>
          <w:sz w:val="22"/>
          <w:szCs w:val="22"/>
        </w:rPr>
        <w:t xml:space="preserve"> a specific regulation on how to manage</w:t>
      </w:r>
      <w:r w:rsidR="00B50D56" w:rsidRPr="00A55F3A">
        <w:rPr>
          <w:rFonts w:ascii="Garamond" w:hAnsi="Garamond"/>
          <w:sz w:val="22"/>
          <w:szCs w:val="22"/>
        </w:rPr>
        <w:t xml:space="preserve"> </w:t>
      </w:r>
      <w:r w:rsidR="001C06A8" w:rsidRPr="00A55F3A">
        <w:rPr>
          <w:rFonts w:ascii="Garamond" w:hAnsi="Garamond"/>
          <w:sz w:val="22"/>
          <w:szCs w:val="22"/>
        </w:rPr>
        <w:t>these type</w:t>
      </w:r>
      <w:r w:rsidR="006269A0" w:rsidRPr="00A55F3A">
        <w:rPr>
          <w:rFonts w:ascii="Garamond" w:hAnsi="Garamond"/>
          <w:sz w:val="22"/>
          <w:szCs w:val="22"/>
        </w:rPr>
        <w:t>s</w:t>
      </w:r>
      <w:r w:rsidR="001C06A8" w:rsidRPr="00A55F3A">
        <w:rPr>
          <w:rFonts w:ascii="Garamond" w:hAnsi="Garamond"/>
          <w:sz w:val="22"/>
          <w:szCs w:val="22"/>
        </w:rPr>
        <w:t xml:space="preserve"> of personal information.</w:t>
      </w:r>
      <w:r w:rsidR="00B50D56" w:rsidRPr="00A55F3A">
        <w:rPr>
          <w:rFonts w:ascii="Garamond" w:hAnsi="Garamond"/>
          <w:sz w:val="22"/>
          <w:szCs w:val="22"/>
        </w:rPr>
        <w:t xml:space="preserve"> </w:t>
      </w:r>
      <w:r w:rsidRPr="00A55F3A">
        <w:rPr>
          <w:rFonts w:ascii="Garamond" w:hAnsi="Garamond"/>
          <w:sz w:val="22"/>
          <w:szCs w:val="22"/>
        </w:rPr>
        <w:t xml:space="preserve">The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submitted on behalf of Fiat Auto Financial Services intended to prove that Mr Ciocchetti was in breach of his contractual obligations and that a disciplinary dismissal </w:t>
      </w:r>
      <w:r w:rsidR="000B1084" w:rsidRPr="00A55F3A">
        <w:rPr>
          <w:rFonts w:ascii="Garamond" w:hAnsi="Garamond"/>
          <w:sz w:val="22"/>
          <w:szCs w:val="22"/>
        </w:rPr>
        <w:t xml:space="preserve">for gross misconduct </w:t>
      </w:r>
      <w:r w:rsidRPr="00A55F3A">
        <w:rPr>
          <w:rFonts w:ascii="Garamond" w:hAnsi="Garamond"/>
          <w:sz w:val="22"/>
          <w:szCs w:val="22"/>
        </w:rPr>
        <w:t>was proportion</w:t>
      </w:r>
      <w:r w:rsidR="002E560F">
        <w:rPr>
          <w:rFonts w:ascii="Garamond" w:hAnsi="Garamond"/>
          <w:sz w:val="22"/>
          <w:szCs w:val="22"/>
        </w:rPr>
        <w:t>al</w:t>
      </w:r>
      <w:r w:rsidRPr="00A55F3A">
        <w:rPr>
          <w:rFonts w:ascii="Garamond" w:hAnsi="Garamond"/>
          <w:sz w:val="22"/>
          <w:szCs w:val="22"/>
        </w:rPr>
        <w:t xml:space="preserve"> to the breach. </w:t>
      </w:r>
      <w:r w:rsidR="002E560F">
        <w:rPr>
          <w:rFonts w:ascii="Garamond" w:hAnsi="Garamond"/>
          <w:sz w:val="22"/>
          <w:szCs w:val="22"/>
        </w:rPr>
        <w:t>C</w:t>
      </w:r>
      <w:r w:rsidRPr="00A55F3A">
        <w:rPr>
          <w:rFonts w:ascii="Garamond" w:hAnsi="Garamond"/>
          <w:sz w:val="22"/>
          <w:szCs w:val="22"/>
        </w:rPr>
        <w:t xml:space="preserve">ounsel for the former employee objected to the admissibility of the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w:t>
      </w:r>
      <w:r w:rsidR="00A66B12" w:rsidRPr="00A55F3A">
        <w:rPr>
          <w:rFonts w:ascii="Garamond" w:hAnsi="Garamond"/>
          <w:sz w:val="22"/>
          <w:szCs w:val="22"/>
        </w:rPr>
        <w:t>o</w:t>
      </w:r>
      <w:r w:rsidRPr="00A55F3A">
        <w:rPr>
          <w:rFonts w:ascii="Garamond" w:hAnsi="Garamond"/>
          <w:sz w:val="22"/>
          <w:szCs w:val="22"/>
        </w:rPr>
        <w:t>n several grounds. However, the court noted that restriction on the publicity of personal data, such a</w:t>
      </w:r>
      <w:r w:rsidR="00A66B12" w:rsidRPr="00A55F3A">
        <w:rPr>
          <w:rFonts w:ascii="Garamond" w:hAnsi="Garamond"/>
          <w:sz w:val="22"/>
          <w:szCs w:val="22"/>
        </w:rPr>
        <w:t>s</w:t>
      </w:r>
      <w:r w:rsidRPr="00A55F3A">
        <w:rPr>
          <w:rFonts w:ascii="Garamond" w:hAnsi="Garamond"/>
          <w:sz w:val="22"/>
          <w:szCs w:val="22"/>
        </w:rPr>
        <w:t xml:space="preserve"> phone call records, could not be applied in a situation in which one of the parties </w:t>
      </w:r>
      <w:r w:rsidR="000B1084" w:rsidRPr="00A55F3A">
        <w:rPr>
          <w:rFonts w:ascii="Garamond" w:hAnsi="Garamond"/>
          <w:sz w:val="22"/>
          <w:szCs w:val="22"/>
        </w:rPr>
        <w:t>sought</w:t>
      </w:r>
      <w:r w:rsidR="003567BF" w:rsidRPr="00A55F3A">
        <w:rPr>
          <w:rFonts w:ascii="Garamond" w:hAnsi="Garamond"/>
          <w:sz w:val="22"/>
          <w:szCs w:val="22"/>
        </w:rPr>
        <w:t xml:space="preserve"> </w:t>
      </w:r>
      <w:r w:rsidRPr="00A55F3A">
        <w:rPr>
          <w:rFonts w:ascii="Garamond" w:hAnsi="Garamond"/>
          <w:sz w:val="22"/>
          <w:szCs w:val="22"/>
        </w:rPr>
        <w:t>to defend a right</w:t>
      </w:r>
      <w:r w:rsidR="00B50D56" w:rsidRPr="00A55F3A">
        <w:rPr>
          <w:rFonts w:ascii="Garamond" w:hAnsi="Garamond"/>
          <w:sz w:val="22"/>
          <w:szCs w:val="22"/>
        </w:rPr>
        <w:t xml:space="preserve"> </w:t>
      </w:r>
      <w:r w:rsidR="001C06A8" w:rsidRPr="00A55F3A">
        <w:rPr>
          <w:rFonts w:ascii="Garamond" w:hAnsi="Garamond"/>
          <w:sz w:val="22"/>
          <w:szCs w:val="22"/>
        </w:rPr>
        <w:t xml:space="preserve">to privacy </w:t>
      </w:r>
      <w:r w:rsidRPr="00A55F3A">
        <w:rPr>
          <w:rFonts w:ascii="Garamond" w:hAnsi="Garamond"/>
          <w:sz w:val="22"/>
          <w:szCs w:val="22"/>
        </w:rPr>
        <w:t>(ex Legislative Decree n.196 30</w:t>
      </w:r>
      <w:r w:rsidR="00B5258C" w:rsidRPr="00A55F3A">
        <w:rPr>
          <w:rFonts w:ascii="Garamond" w:hAnsi="Garamond"/>
          <w:sz w:val="22"/>
          <w:szCs w:val="22"/>
        </w:rPr>
        <w:t xml:space="preserve"> June</w:t>
      </w:r>
      <w:r w:rsidR="003567BF" w:rsidRPr="00A55F3A">
        <w:rPr>
          <w:rFonts w:ascii="Garamond" w:hAnsi="Garamond"/>
          <w:sz w:val="22"/>
          <w:szCs w:val="22"/>
        </w:rPr>
        <w:t xml:space="preserve"> </w:t>
      </w:r>
      <w:r w:rsidR="00B5258C" w:rsidRPr="00A55F3A">
        <w:rPr>
          <w:rFonts w:ascii="Garamond" w:hAnsi="Garamond"/>
          <w:sz w:val="22"/>
          <w:szCs w:val="22"/>
        </w:rPr>
        <w:t>20</w:t>
      </w:r>
      <w:r w:rsidRPr="00A55F3A">
        <w:rPr>
          <w:rFonts w:ascii="Garamond" w:hAnsi="Garamond"/>
          <w:sz w:val="22"/>
          <w:szCs w:val="22"/>
        </w:rPr>
        <w:t xml:space="preserve">03 24 (f)). </w:t>
      </w:r>
    </w:p>
    <w:p w14:paraId="7895305A" w14:textId="71F29D7A"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It is </w:t>
      </w:r>
      <w:r w:rsidR="00DD18D5" w:rsidRPr="00A55F3A">
        <w:rPr>
          <w:rFonts w:ascii="Garamond" w:hAnsi="Garamond"/>
          <w:sz w:val="22"/>
          <w:szCs w:val="22"/>
        </w:rPr>
        <w:t>significant</w:t>
      </w:r>
      <w:r w:rsidRPr="00A55F3A">
        <w:rPr>
          <w:rFonts w:ascii="Garamond" w:hAnsi="Garamond"/>
          <w:sz w:val="22"/>
          <w:szCs w:val="22"/>
        </w:rPr>
        <w:t xml:space="preserve"> </w:t>
      </w:r>
      <w:r w:rsidR="00DD18D5" w:rsidRPr="00A55F3A">
        <w:rPr>
          <w:rFonts w:ascii="Garamond" w:hAnsi="Garamond"/>
          <w:sz w:val="22"/>
          <w:szCs w:val="22"/>
        </w:rPr>
        <w:t xml:space="preserve">for our </w:t>
      </w:r>
      <w:r w:rsidR="00A66B12" w:rsidRPr="00A55F3A">
        <w:rPr>
          <w:rFonts w:ascii="Garamond" w:hAnsi="Garamond"/>
          <w:sz w:val="22"/>
          <w:szCs w:val="22"/>
        </w:rPr>
        <w:t>analysis</w:t>
      </w:r>
      <w:r w:rsidRPr="00A55F3A">
        <w:rPr>
          <w:rFonts w:ascii="Garamond" w:hAnsi="Garamond"/>
          <w:sz w:val="22"/>
          <w:szCs w:val="22"/>
        </w:rPr>
        <w:t xml:space="preserve"> that Fiat was the legitimate owner of the phone call </w:t>
      </w:r>
      <w:r w:rsidR="00464146" w:rsidRPr="00A55F3A">
        <w:rPr>
          <w:rFonts w:ascii="Garamond" w:hAnsi="Garamond"/>
          <w:sz w:val="22"/>
          <w:szCs w:val="22"/>
        </w:rPr>
        <w:t xml:space="preserve">records </w:t>
      </w:r>
      <w:r w:rsidRPr="00A55F3A">
        <w:rPr>
          <w:rFonts w:ascii="Garamond" w:hAnsi="Garamond"/>
          <w:sz w:val="22"/>
          <w:szCs w:val="22"/>
        </w:rPr>
        <w:t>provided by a third party (</w:t>
      </w:r>
      <w:r w:rsidR="002E560F">
        <w:rPr>
          <w:rFonts w:ascii="Garamond" w:hAnsi="Garamond"/>
          <w:sz w:val="22"/>
          <w:szCs w:val="22"/>
        </w:rPr>
        <w:t>ie</w:t>
      </w:r>
      <w:r w:rsidRPr="00A55F3A">
        <w:rPr>
          <w:rFonts w:ascii="Garamond" w:hAnsi="Garamond"/>
          <w:sz w:val="22"/>
          <w:szCs w:val="22"/>
        </w:rPr>
        <w:t xml:space="preserve"> mobile phone provider) and intended to use such data to protect its right to terminate employment relations with </w:t>
      </w:r>
      <w:r w:rsidR="00DD18D5" w:rsidRPr="00A55F3A">
        <w:rPr>
          <w:rFonts w:ascii="Garamond" w:hAnsi="Garamond"/>
          <w:sz w:val="22"/>
          <w:szCs w:val="22"/>
        </w:rPr>
        <w:t>its</w:t>
      </w:r>
      <w:r w:rsidR="003567BF" w:rsidRPr="00A55F3A">
        <w:rPr>
          <w:rFonts w:ascii="Garamond" w:hAnsi="Garamond"/>
          <w:sz w:val="22"/>
          <w:szCs w:val="22"/>
        </w:rPr>
        <w:t xml:space="preserve"> </w:t>
      </w:r>
      <w:r w:rsidRPr="00A55F3A">
        <w:rPr>
          <w:rFonts w:ascii="Garamond" w:hAnsi="Garamond"/>
          <w:sz w:val="22"/>
          <w:szCs w:val="22"/>
        </w:rPr>
        <w:t xml:space="preserve">employee. </w:t>
      </w:r>
      <w:r w:rsidR="000B1084" w:rsidRPr="00A55F3A">
        <w:rPr>
          <w:rFonts w:ascii="Garamond" w:hAnsi="Garamond"/>
          <w:sz w:val="22"/>
          <w:szCs w:val="22"/>
        </w:rPr>
        <w:t xml:space="preserve">To reject the use of the </w:t>
      </w:r>
      <w:r w:rsidR="00464146" w:rsidRPr="00A55F3A">
        <w:rPr>
          <w:rFonts w:ascii="Garamond" w:hAnsi="Garamond"/>
          <w:sz w:val="22"/>
          <w:szCs w:val="22"/>
        </w:rPr>
        <w:t>records</w:t>
      </w:r>
      <w:r w:rsidRPr="00A55F3A">
        <w:rPr>
          <w:rFonts w:ascii="Garamond" w:hAnsi="Garamond"/>
          <w:sz w:val="22"/>
          <w:szCs w:val="22"/>
        </w:rPr>
        <w:t>, the argument purported on behalf of Mr Ciocchetti’s lawyer was particularly quixotic. According to Mr Ciocchetti’s solicitor</w:t>
      </w:r>
      <w:r w:rsidR="00B033F2" w:rsidRPr="00A55F3A">
        <w:rPr>
          <w:rFonts w:ascii="Garamond" w:hAnsi="Garamond"/>
          <w:sz w:val="22"/>
          <w:szCs w:val="22"/>
        </w:rPr>
        <w:t>,</w:t>
      </w:r>
      <w:r w:rsidRPr="00A55F3A">
        <w:rPr>
          <w:rFonts w:ascii="Garamond" w:hAnsi="Garamond"/>
          <w:sz w:val="22"/>
          <w:szCs w:val="22"/>
        </w:rPr>
        <w:t xml:space="preserve"> the </w:t>
      </w:r>
      <w:r w:rsidR="00464146" w:rsidRPr="00A55F3A">
        <w:rPr>
          <w:rFonts w:ascii="Garamond" w:hAnsi="Garamond"/>
          <w:sz w:val="22"/>
          <w:szCs w:val="22"/>
        </w:rPr>
        <w:t xml:space="preserve">records </w:t>
      </w:r>
      <w:r w:rsidRPr="00A55F3A">
        <w:rPr>
          <w:rFonts w:ascii="Garamond" w:hAnsi="Garamond"/>
          <w:sz w:val="22"/>
          <w:szCs w:val="22"/>
        </w:rPr>
        <w:t>of Mr Ciocchetti’s phone calls were to be excluded because some of the numbers were private. The court rejected Mr Ciocchetti’s argument since its supporting reason (</w:t>
      </w:r>
      <w:r w:rsidR="002E560F">
        <w:rPr>
          <w:rFonts w:ascii="Garamond" w:hAnsi="Garamond"/>
          <w:sz w:val="22"/>
          <w:szCs w:val="22"/>
        </w:rPr>
        <w:t>ie</w:t>
      </w:r>
      <w:r w:rsidRPr="00A55F3A">
        <w:rPr>
          <w:rFonts w:ascii="Garamond" w:hAnsi="Garamond"/>
          <w:sz w:val="22"/>
          <w:szCs w:val="22"/>
        </w:rPr>
        <w:t xml:space="preserve"> the phone was used for personal use) was exactly one</w:t>
      </w:r>
      <w:r w:rsidR="00A66B12" w:rsidRPr="00A55F3A">
        <w:rPr>
          <w:rFonts w:ascii="Garamond" w:hAnsi="Garamond"/>
          <w:sz w:val="22"/>
          <w:szCs w:val="22"/>
        </w:rPr>
        <w:t xml:space="preserve"> of</w:t>
      </w:r>
      <w:r w:rsidRPr="00A55F3A">
        <w:rPr>
          <w:rFonts w:ascii="Garamond" w:hAnsi="Garamond"/>
          <w:sz w:val="22"/>
          <w:szCs w:val="22"/>
        </w:rPr>
        <w:t xml:space="preserve"> the motivations that justified Fiat’s decision to sack Mr Ciocchetti. The </w:t>
      </w:r>
      <w:r w:rsidRPr="006A0B80">
        <w:rPr>
          <w:rFonts w:ascii="Garamond" w:hAnsi="Garamond"/>
          <w:sz w:val="22"/>
          <w:szCs w:val="22"/>
        </w:rPr>
        <w:t>bathos was</w:t>
      </w:r>
      <w:r w:rsidRPr="00D857B3">
        <w:rPr>
          <w:rFonts w:ascii="Garamond" w:hAnsi="Garamond"/>
          <w:sz w:val="22"/>
          <w:szCs w:val="22"/>
        </w:rPr>
        <w:t>,</w:t>
      </w:r>
      <w:r w:rsidRPr="00A55F3A">
        <w:rPr>
          <w:rFonts w:ascii="Garamond" w:hAnsi="Garamond"/>
          <w:sz w:val="22"/>
          <w:szCs w:val="22"/>
        </w:rPr>
        <w:t xml:space="preserve"> however, succeeded by a remarkable analysis of the</w:t>
      </w:r>
      <w:r w:rsidR="003567BF" w:rsidRPr="00A55F3A">
        <w:rPr>
          <w:rFonts w:ascii="Garamond" w:hAnsi="Garamond"/>
          <w:sz w:val="22"/>
          <w:szCs w:val="22"/>
        </w:rPr>
        <w:t xml:space="preserve"> </w:t>
      </w:r>
      <w:r w:rsidR="00B5258C" w:rsidRPr="00A55F3A">
        <w:rPr>
          <w:rFonts w:ascii="Garamond" w:hAnsi="Garamond"/>
          <w:sz w:val="22"/>
          <w:szCs w:val="22"/>
        </w:rPr>
        <w:t>private use of the company laptop</w:t>
      </w:r>
      <w:r w:rsidR="00DD18D5" w:rsidRPr="00A55F3A">
        <w:rPr>
          <w:rFonts w:ascii="Garamond" w:hAnsi="Garamond"/>
          <w:sz w:val="22"/>
          <w:szCs w:val="22"/>
        </w:rPr>
        <w:t xml:space="preserve">. </w:t>
      </w:r>
    </w:p>
    <w:p w14:paraId="56522CB4" w14:textId="1E2BC31E"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The issue of the improper use of the company laptop was different from the admissibility </w:t>
      </w:r>
      <w:r w:rsidR="00464146" w:rsidRPr="00A55F3A">
        <w:rPr>
          <w:rFonts w:ascii="Garamond" w:hAnsi="Garamond"/>
          <w:sz w:val="22"/>
          <w:szCs w:val="22"/>
        </w:rPr>
        <w:t xml:space="preserve">of </w:t>
      </w:r>
      <w:r w:rsidRPr="00A55F3A">
        <w:rPr>
          <w:rFonts w:ascii="Garamond" w:hAnsi="Garamond"/>
          <w:sz w:val="22"/>
          <w:szCs w:val="22"/>
        </w:rPr>
        <w:t>Mr Ciocchetti</w:t>
      </w:r>
      <w:r w:rsidR="00A66B12" w:rsidRPr="00A55F3A">
        <w:rPr>
          <w:rFonts w:ascii="Garamond" w:hAnsi="Garamond"/>
          <w:sz w:val="22"/>
          <w:szCs w:val="22"/>
        </w:rPr>
        <w:t>’s</w:t>
      </w:r>
      <w:r w:rsidRPr="00A55F3A">
        <w:rPr>
          <w:rFonts w:ascii="Garamond" w:hAnsi="Garamond"/>
          <w:sz w:val="22"/>
          <w:szCs w:val="22"/>
        </w:rPr>
        <w:t xml:space="preserve"> phone records in two distinctive areas. Firstly, personal use </w:t>
      </w:r>
      <w:r w:rsidR="00A66B12" w:rsidRPr="00A55F3A">
        <w:rPr>
          <w:rFonts w:ascii="Garamond" w:hAnsi="Garamond"/>
          <w:sz w:val="22"/>
          <w:szCs w:val="22"/>
        </w:rPr>
        <w:t>of</w:t>
      </w:r>
      <w:r w:rsidRPr="00A55F3A">
        <w:rPr>
          <w:rFonts w:ascii="Garamond" w:hAnsi="Garamond"/>
          <w:sz w:val="22"/>
          <w:szCs w:val="22"/>
        </w:rPr>
        <w:t xml:space="preserve"> Mr </w:t>
      </w:r>
      <w:r w:rsidRPr="00A55F3A">
        <w:rPr>
          <w:rFonts w:ascii="Garamond" w:hAnsi="Garamond"/>
          <w:sz w:val="22"/>
          <w:szCs w:val="22"/>
        </w:rPr>
        <w:lastRenderedPageBreak/>
        <w:t>Ciocchetti</w:t>
      </w:r>
      <w:r w:rsidR="00A66B12" w:rsidRPr="00A55F3A">
        <w:rPr>
          <w:rFonts w:ascii="Garamond" w:hAnsi="Garamond"/>
          <w:sz w:val="22"/>
          <w:szCs w:val="22"/>
        </w:rPr>
        <w:t>’s</w:t>
      </w:r>
      <w:r w:rsidRPr="00A55F3A">
        <w:rPr>
          <w:rFonts w:ascii="Garamond" w:hAnsi="Garamond"/>
          <w:sz w:val="22"/>
          <w:szCs w:val="22"/>
        </w:rPr>
        <w:t xml:space="preserve"> mobile phone could be </w:t>
      </w:r>
      <w:r w:rsidR="00464146" w:rsidRPr="00A55F3A">
        <w:rPr>
          <w:rFonts w:ascii="Garamond" w:hAnsi="Garamond"/>
          <w:sz w:val="22"/>
          <w:szCs w:val="22"/>
        </w:rPr>
        <w:t xml:space="preserve">documented </w:t>
      </w:r>
      <w:r w:rsidRPr="00A55F3A">
        <w:rPr>
          <w:rFonts w:ascii="Garamond" w:hAnsi="Garamond"/>
          <w:sz w:val="22"/>
          <w:szCs w:val="22"/>
        </w:rPr>
        <w:t>by Fiat Auto Financial Services by showing, for instance, that Mr Ciocchetti’s phone calls were directed to individuals who did not have a</w:t>
      </w:r>
      <w:r w:rsidR="004439BD" w:rsidRPr="00A55F3A">
        <w:rPr>
          <w:rFonts w:ascii="Garamond" w:hAnsi="Garamond"/>
          <w:sz w:val="22"/>
          <w:szCs w:val="22"/>
        </w:rPr>
        <w:t xml:space="preserve"> working relation with Fiat</w:t>
      </w:r>
      <w:r w:rsidRPr="00A55F3A">
        <w:rPr>
          <w:rFonts w:ascii="Garamond" w:hAnsi="Garamond"/>
          <w:sz w:val="22"/>
          <w:szCs w:val="22"/>
        </w:rPr>
        <w:t>. In this case</w:t>
      </w:r>
      <w:r w:rsidR="00464146" w:rsidRPr="00A55F3A">
        <w:rPr>
          <w:rFonts w:ascii="Garamond" w:hAnsi="Garamond"/>
          <w:sz w:val="22"/>
          <w:szCs w:val="22"/>
        </w:rPr>
        <w:t>,</w:t>
      </w:r>
      <w:r w:rsidRPr="00A55F3A">
        <w:rPr>
          <w:rFonts w:ascii="Garamond" w:hAnsi="Garamond"/>
          <w:sz w:val="22"/>
          <w:szCs w:val="22"/>
        </w:rPr>
        <w:t xml:space="preserve"> the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could show an improper use of Mr Ciocchetti</w:t>
      </w:r>
      <w:r w:rsidR="00A66B12" w:rsidRPr="00A55F3A">
        <w:rPr>
          <w:rFonts w:ascii="Garamond" w:hAnsi="Garamond"/>
          <w:sz w:val="22"/>
          <w:szCs w:val="22"/>
        </w:rPr>
        <w:t>’s</w:t>
      </w:r>
      <w:r w:rsidRPr="00A55F3A">
        <w:rPr>
          <w:rFonts w:ascii="Garamond" w:hAnsi="Garamond"/>
          <w:sz w:val="22"/>
          <w:szCs w:val="22"/>
        </w:rPr>
        <w:t xml:space="preserve"> phone (by deductive reasoning) without making public the phone number</w:t>
      </w:r>
      <w:r w:rsidR="00A66B12" w:rsidRPr="00A55F3A">
        <w:rPr>
          <w:rFonts w:ascii="Garamond" w:hAnsi="Garamond"/>
          <w:sz w:val="22"/>
          <w:szCs w:val="22"/>
        </w:rPr>
        <w:t>s</w:t>
      </w:r>
      <w:r w:rsidRPr="00A55F3A">
        <w:rPr>
          <w:rFonts w:ascii="Garamond" w:hAnsi="Garamond"/>
          <w:sz w:val="22"/>
          <w:szCs w:val="22"/>
        </w:rPr>
        <w:t xml:space="preserve"> called. </w:t>
      </w:r>
    </w:p>
    <w:p w14:paraId="43EFDEFA" w14:textId="57CD0CB8" w:rsidR="00605CE2" w:rsidRPr="00A55F3A" w:rsidRDefault="00DD18D5" w:rsidP="00A55F3A">
      <w:pPr>
        <w:pStyle w:val="Standard"/>
        <w:spacing w:line="480" w:lineRule="auto"/>
        <w:rPr>
          <w:rFonts w:ascii="Garamond" w:hAnsi="Garamond"/>
          <w:sz w:val="22"/>
          <w:szCs w:val="22"/>
        </w:rPr>
      </w:pPr>
      <w:r w:rsidRPr="00A55F3A">
        <w:rPr>
          <w:rFonts w:ascii="Garamond" w:hAnsi="Garamond"/>
          <w:sz w:val="22"/>
          <w:szCs w:val="22"/>
        </w:rPr>
        <w:t>Secondly, the files stored</w:t>
      </w:r>
      <w:r w:rsidR="00593D4F" w:rsidRPr="00A55F3A">
        <w:rPr>
          <w:rFonts w:ascii="Garamond" w:hAnsi="Garamond"/>
          <w:sz w:val="22"/>
          <w:szCs w:val="22"/>
        </w:rPr>
        <w:t xml:space="preserve"> </w:t>
      </w:r>
      <w:r w:rsidRPr="00A55F3A">
        <w:rPr>
          <w:rFonts w:ascii="Garamond" w:hAnsi="Garamond"/>
          <w:sz w:val="22"/>
          <w:szCs w:val="22"/>
        </w:rPr>
        <w:t>in Mr Ciocchetti’s laptop</w:t>
      </w:r>
      <w:r w:rsidR="00AB5488" w:rsidRPr="00A55F3A">
        <w:rPr>
          <w:rFonts w:ascii="Garamond" w:hAnsi="Garamond"/>
          <w:sz w:val="22"/>
          <w:szCs w:val="22"/>
        </w:rPr>
        <w:t xml:space="preserve"> (including some pornographic pictures) w</w:t>
      </w:r>
      <w:r w:rsidR="00A66B12" w:rsidRPr="00A55F3A">
        <w:rPr>
          <w:rFonts w:ascii="Garamond" w:hAnsi="Garamond"/>
          <w:sz w:val="22"/>
          <w:szCs w:val="22"/>
        </w:rPr>
        <w:t>ere</w:t>
      </w:r>
      <w:r w:rsidR="00593D4F" w:rsidRPr="00A55F3A">
        <w:rPr>
          <w:rFonts w:ascii="Garamond" w:hAnsi="Garamond"/>
          <w:sz w:val="22"/>
          <w:szCs w:val="22"/>
        </w:rPr>
        <w:t xml:space="preserve"> destroyed via an ancillary procedure triggered </w:t>
      </w:r>
      <w:r w:rsidR="00B5258C" w:rsidRPr="00A55F3A">
        <w:rPr>
          <w:rFonts w:ascii="Garamond" w:hAnsi="Garamond"/>
          <w:sz w:val="22"/>
          <w:szCs w:val="22"/>
        </w:rPr>
        <w:t>by</w:t>
      </w:r>
      <w:r w:rsidR="003567BF" w:rsidRPr="00A55F3A">
        <w:rPr>
          <w:rFonts w:ascii="Garamond" w:hAnsi="Garamond"/>
          <w:sz w:val="22"/>
          <w:szCs w:val="22"/>
        </w:rPr>
        <w:t xml:space="preserve"> </w:t>
      </w:r>
      <w:r w:rsidR="00593D4F" w:rsidRPr="00A55F3A">
        <w:rPr>
          <w:rFonts w:ascii="Garamond" w:hAnsi="Garamond"/>
          <w:sz w:val="22"/>
          <w:szCs w:val="22"/>
        </w:rPr>
        <w:t>Mr Ciocchetti’s request.</w:t>
      </w:r>
      <w:r w:rsidR="00593D4F" w:rsidRPr="00A55F3A">
        <w:rPr>
          <w:rStyle w:val="FootnoteReference"/>
          <w:rFonts w:ascii="Garamond" w:eastAsia="BookAntiqua" w:hAnsi="Garamond"/>
          <w:sz w:val="22"/>
          <w:szCs w:val="22"/>
        </w:rPr>
        <w:footnoteReference w:id="62"/>
      </w:r>
      <w:r w:rsidR="00593D4F" w:rsidRPr="00A55F3A">
        <w:rPr>
          <w:rFonts w:ascii="Garamond" w:hAnsi="Garamond"/>
          <w:sz w:val="22"/>
          <w:szCs w:val="22"/>
        </w:rPr>
        <w:t xml:space="preserve"> However, to support the claim that Mr Ciocchetti had misused his company laptop for personal use, Fiat sought to submit</w:t>
      </w:r>
      <w:r w:rsidR="000F170E" w:rsidRPr="00A55F3A">
        <w:rPr>
          <w:rFonts w:ascii="Garamond" w:hAnsi="Garamond"/>
          <w:sz w:val="22"/>
          <w:szCs w:val="22"/>
        </w:rPr>
        <w:t xml:space="preserve"> </w:t>
      </w:r>
      <w:r w:rsidR="00AE5AD3" w:rsidRPr="00A55F3A">
        <w:rPr>
          <w:rFonts w:ascii="Garamond" w:hAnsi="Garamond"/>
          <w:sz w:val="22"/>
          <w:szCs w:val="22"/>
        </w:rPr>
        <w:t>e</w:t>
      </w:r>
      <w:r w:rsidR="00291400" w:rsidRPr="00A55F3A">
        <w:rPr>
          <w:rFonts w:ascii="Garamond" w:hAnsi="Garamond"/>
          <w:sz w:val="22"/>
          <w:szCs w:val="22"/>
        </w:rPr>
        <w:t>vidence</w:t>
      </w:r>
      <w:r w:rsidR="00593D4F" w:rsidRPr="00A55F3A">
        <w:rPr>
          <w:rFonts w:ascii="Garamond" w:hAnsi="Garamond"/>
          <w:sz w:val="22"/>
          <w:szCs w:val="22"/>
        </w:rPr>
        <w:t xml:space="preserve"> that proved the existence of those pornographic pictures. In short, Fiat asked to submit </w:t>
      </w:r>
      <w:r w:rsidR="00AE5AD3" w:rsidRPr="00A55F3A">
        <w:rPr>
          <w:rFonts w:ascii="Garamond" w:hAnsi="Garamond"/>
          <w:sz w:val="22"/>
          <w:szCs w:val="22"/>
        </w:rPr>
        <w:t>e</w:t>
      </w:r>
      <w:r w:rsidR="00291400" w:rsidRPr="00A55F3A">
        <w:rPr>
          <w:rFonts w:ascii="Garamond" w:hAnsi="Garamond"/>
          <w:sz w:val="22"/>
          <w:szCs w:val="22"/>
        </w:rPr>
        <w:t>vidence</w:t>
      </w:r>
      <w:r w:rsidR="00593D4F" w:rsidRPr="00A55F3A">
        <w:rPr>
          <w:rFonts w:ascii="Garamond" w:hAnsi="Garamond"/>
          <w:sz w:val="22"/>
          <w:szCs w:val="22"/>
        </w:rPr>
        <w:t xml:space="preserve"> that flouted the ancillary procedures set to protect Mr Ciocchetti</w:t>
      </w:r>
      <w:r w:rsidRPr="00A55F3A">
        <w:rPr>
          <w:rFonts w:ascii="Garamond" w:hAnsi="Garamond"/>
          <w:sz w:val="22"/>
          <w:szCs w:val="22"/>
        </w:rPr>
        <w:t>’s privacy</w:t>
      </w:r>
      <w:r w:rsidR="003567BF" w:rsidRPr="00A55F3A">
        <w:rPr>
          <w:rFonts w:ascii="Garamond" w:hAnsi="Garamond"/>
          <w:sz w:val="22"/>
          <w:szCs w:val="22"/>
        </w:rPr>
        <w:t xml:space="preserve"> </w:t>
      </w:r>
      <w:r w:rsidR="00593D4F" w:rsidRPr="00A55F3A">
        <w:rPr>
          <w:rFonts w:ascii="Garamond" w:hAnsi="Garamond"/>
          <w:sz w:val="22"/>
          <w:szCs w:val="22"/>
        </w:rPr>
        <w:t>and had to be considered both illegitimate (in relation to the procedures that destroy</w:t>
      </w:r>
      <w:r w:rsidR="00A66B12" w:rsidRPr="00A55F3A">
        <w:rPr>
          <w:rFonts w:ascii="Garamond" w:hAnsi="Garamond"/>
          <w:sz w:val="22"/>
          <w:szCs w:val="22"/>
        </w:rPr>
        <w:t>ed</w:t>
      </w:r>
      <w:r w:rsidR="00593D4F" w:rsidRPr="00A55F3A">
        <w:rPr>
          <w:rFonts w:ascii="Garamond" w:hAnsi="Garamond"/>
          <w:sz w:val="22"/>
          <w:szCs w:val="22"/>
        </w:rPr>
        <w:t xml:space="preserve"> them) and in violation of an individual privacy (</w:t>
      </w:r>
      <w:r w:rsidR="00593D4F" w:rsidRPr="00A55F3A">
        <w:rPr>
          <w:rFonts w:ascii="Garamond" w:hAnsi="Garamond"/>
          <w:i/>
          <w:sz w:val="22"/>
          <w:szCs w:val="22"/>
        </w:rPr>
        <w:t>ex</w:t>
      </w:r>
      <w:r w:rsidR="00593D4F" w:rsidRPr="00A55F3A">
        <w:rPr>
          <w:rFonts w:ascii="Garamond" w:hAnsi="Garamond"/>
          <w:sz w:val="22"/>
          <w:szCs w:val="22"/>
        </w:rPr>
        <w:t xml:space="preserve"> article 140).</w:t>
      </w:r>
      <w:r w:rsidR="00593D4F" w:rsidRPr="00A55F3A">
        <w:rPr>
          <w:rStyle w:val="FootnoteReference"/>
          <w:rFonts w:ascii="Garamond" w:eastAsia="BookAntiqua" w:hAnsi="Garamond"/>
          <w:sz w:val="22"/>
          <w:szCs w:val="22"/>
        </w:rPr>
        <w:footnoteReference w:id="63"/>
      </w:r>
      <w:r w:rsidR="00593D4F" w:rsidRPr="00A55F3A">
        <w:rPr>
          <w:rFonts w:ascii="Garamond" w:hAnsi="Garamond"/>
          <w:sz w:val="22"/>
          <w:szCs w:val="22"/>
        </w:rPr>
        <w:t xml:space="preserve"> </w:t>
      </w:r>
    </w:p>
    <w:p w14:paraId="75947377" w14:textId="7CB397F7" w:rsidR="00DD18D5"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However, </w:t>
      </w:r>
      <w:r w:rsidR="00464146" w:rsidRPr="00A55F3A">
        <w:rPr>
          <w:rFonts w:ascii="Garamond" w:hAnsi="Garamond"/>
          <w:sz w:val="22"/>
          <w:szCs w:val="22"/>
        </w:rPr>
        <w:t xml:space="preserve">the </w:t>
      </w:r>
      <w:r w:rsidRPr="00A55F3A">
        <w:rPr>
          <w:rFonts w:ascii="Garamond" w:hAnsi="Garamond"/>
          <w:sz w:val="22"/>
          <w:szCs w:val="22"/>
        </w:rPr>
        <w:t xml:space="preserve">Tribunal of Torino decided to accept the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retrieved </w:t>
      </w:r>
      <w:r w:rsidR="00294D8F" w:rsidRPr="00A55F3A">
        <w:rPr>
          <w:rFonts w:ascii="Garamond" w:hAnsi="Garamond"/>
          <w:sz w:val="22"/>
          <w:szCs w:val="22"/>
        </w:rPr>
        <w:t>from</w:t>
      </w:r>
      <w:r w:rsidR="003567BF" w:rsidRPr="00A55F3A">
        <w:rPr>
          <w:rFonts w:ascii="Garamond" w:hAnsi="Garamond"/>
          <w:sz w:val="22"/>
          <w:szCs w:val="22"/>
        </w:rPr>
        <w:t xml:space="preserve"> </w:t>
      </w:r>
      <w:r w:rsidRPr="00A55F3A">
        <w:rPr>
          <w:rFonts w:ascii="Garamond" w:hAnsi="Garamond"/>
          <w:sz w:val="22"/>
          <w:szCs w:val="22"/>
        </w:rPr>
        <w:t>the laptop.</w:t>
      </w:r>
      <w:r w:rsidR="003567BF" w:rsidRPr="00A55F3A">
        <w:rPr>
          <w:rFonts w:ascii="Garamond" w:hAnsi="Garamond"/>
          <w:sz w:val="22"/>
          <w:szCs w:val="22"/>
        </w:rPr>
        <w:t xml:space="preserve"> </w:t>
      </w:r>
      <w:r w:rsidR="001C06A8" w:rsidRPr="00A55F3A">
        <w:rPr>
          <w:rFonts w:ascii="Garamond" w:hAnsi="Garamond"/>
          <w:sz w:val="22"/>
          <w:szCs w:val="22"/>
        </w:rPr>
        <w:t>T</w:t>
      </w:r>
      <w:r w:rsidR="0021438F" w:rsidRPr="00A55F3A">
        <w:rPr>
          <w:rFonts w:ascii="Garamond" w:hAnsi="Garamond"/>
          <w:sz w:val="22"/>
          <w:szCs w:val="22"/>
        </w:rPr>
        <w:t xml:space="preserve">he personal folder in the </w:t>
      </w:r>
      <w:r w:rsidR="00464146" w:rsidRPr="00A55F3A">
        <w:rPr>
          <w:rFonts w:ascii="Garamond" w:hAnsi="Garamond"/>
          <w:sz w:val="22"/>
          <w:szCs w:val="22"/>
        </w:rPr>
        <w:t>l</w:t>
      </w:r>
      <w:r w:rsidR="0021438F" w:rsidRPr="00A55F3A">
        <w:rPr>
          <w:rFonts w:ascii="Garamond" w:hAnsi="Garamond"/>
          <w:sz w:val="22"/>
          <w:szCs w:val="22"/>
        </w:rPr>
        <w:t>aptop</w:t>
      </w:r>
      <w:r w:rsidR="00B50D56" w:rsidRPr="00A55F3A">
        <w:rPr>
          <w:rFonts w:ascii="Garamond" w:hAnsi="Garamond"/>
          <w:sz w:val="22"/>
          <w:szCs w:val="22"/>
        </w:rPr>
        <w:t xml:space="preserve"> </w:t>
      </w:r>
      <w:r w:rsidR="0021438F" w:rsidRPr="00A55F3A">
        <w:rPr>
          <w:rFonts w:ascii="Garamond" w:hAnsi="Garamond"/>
          <w:sz w:val="22"/>
          <w:szCs w:val="22"/>
        </w:rPr>
        <w:t>in question</w:t>
      </w:r>
      <w:r w:rsidR="001C06A8" w:rsidRPr="00A55F3A">
        <w:rPr>
          <w:rFonts w:ascii="Garamond" w:hAnsi="Garamond"/>
          <w:sz w:val="22"/>
          <w:szCs w:val="22"/>
        </w:rPr>
        <w:t>, it is important to point out,</w:t>
      </w:r>
      <w:r w:rsidR="00B50D56" w:rsidRPr="00A55F3A">
        <w:rPr>
          <w:rFonts w:ascii="Garamond" w:hAnsi="Garamond"/>
          <w:sz w:val="22"/>
          <w:szCs w:val="22"/>
        </w:rPr>
        <w:t xml:space="preserve"> </w:t>
      </w:r>
      <w:r w:rsidR="0021438F" w:rsidRPr="00A55F3A">
        <w:rPr>
          <w:rFonts w:ascii="Garamond" w:hAnsi="Garamond"/>
          <w:sz w:val="22"/>
          <w:szCs w:val="22"/>
        </w:rPr>
        <w:t>was deleted and Fiat</w:t>
      </w:r>
      <w:r w:rsidR="003567BF" w:rsidRPr="00A55F3A">
        <w:rPr>
          <w:rFonts w:ascii="Garamond" w:hAnsi="Garamond"/>
          <w:sz w:val="22"/>
          <w:szCs w:val="22"/>
        </w:rPr>
        <w:t xml:space="preserve"> </w:t>
      </w:r>
      <w:r w:rsidR="0021438F" w:rsidRPr="00A55F3A">
        <w:rPr>
          <w:rFonts w:ascii="Garamond" w:hAnsi="Garamond"/>
          <w:sz w:val="22"/>
          <w:szCs w:val="22"/>
        </w:rPr>
        <w:t>demanded to submit traces of personal use (</w:t>
      </w:r>
      <w:r w:rsidR="00691E3E">
        <w:rPr>
          <w:rFonts w:ascii="Garamond" w:hAnsi="Garamond"/>
          <w:sz w:val="22"/>
          <w:szCs w:val="22"/>
        </w:rPr>
        <w:t xml:space="preserve">ie </w:t>
      </w:r>
      <w:r w:rsidR="0021438F" w:rsidRPr="00A55F3A">
        <w:rPr>
          <w:rFonts w:ascii="Garamond" w:hAnsi="Garamond"/>
          <w:sz w:val="22"/>
          <w:szCs w:val="22"/>
        </w:rPr>
        <w:t>indication of pornographic material being stored in the personal folder)</w:t>
      </w:r>
      <w:r w:rsidR="00DD18D5" w:rsidRPr="00A55F3A">
        <w:rPr>
          <w:rFonts w:ascii="Garamond" w:hAnsi="Garamond"/>
          <w:sz w:val="22"/>
          <w:szCs w:val="22"/>
        </w:rPr>
        <w:t>. In an</w:t>
      </w:r>
      <w:r w:rsidR="0021438F" w:rsidRPr="00A55F3A">
        <w:rPr>
          <w:rFonts w:ascii="Garamond" w:hAnsi="Garamond"/>
          <w:sz w:val="22"/>
          <w:szCs w:val="22"/>
        </w:rPr>
        <w:t xml:space="preserve"> </w:t>
      </w:r>
      <w:r w:rsidRPr="00A55F3A">
        <w:rPr>
          <w:rFonts w:ascii="Garamond" w:hAnsi="Garamond"/>
          <w:sz w:val="22"/>
          <w:szCs w:val="22"/>
        </w:rPr>
        <w:t>unusually long motivation (that included comparative analysis of the Italian and US legal systems)</w:t>
      </w:r>
      <w:r w:rsidR="00464146" w:rsidRPr="00A55F3A">
        <w:rPr>
          <w:rFonts w:ascii="Garamond" w:hAnsi="Garamond"/>
          <w:sz w:val="22"/>
          <w:szCs w:val="22"/>
        </w:rPr>
        <w:t>,</w:t>
      </w:r>
      <w:r w:rsidRPr="00A55F3A">
        <w:rPr>
          <w:rFonts w:ascii="Garamond" w:hAnsi="Garamond"/>
          <w:sz w:val="22"/>
          <w:szCs w:val="22"/>
        </w:rPr>
        <w:t xml:space="preserve"> the court explained</w:t>
      </w:r>
      <w:r w:rsidR="0021438F" w:rsidRPr="00A55F3A">
        <w:rPr>
          <w:rFonts w:ascii="Garamond" w:hAnsi="Garamond"/>
          <w:sz w:val="22"/>
          <w:szCs w:val="22"/>
        </w:rPr>
        <w:t>,</w:t>
      </w:r>
      <w:r w:rsidRPr="00A55F3A">
        <w:rPr>
          <w:rFonts w:ascii="Garamond" w:hAnsi="Garamond"/>
          <w:sz w:val="22"/>
          <w:szCs w:val="22"/>
        </w:rPr>
        <w:t xml:space="preserve"> </w:t>
      </w:r>
      <w:r w:rsidR="0021438F" w:rsidRPr="00A55F3A">
        <w:rPr>
          <w:rFonts w:ascii="Garamond" w:hAnsi="Garamond"/>
          <w:sz w:val="22"/>
          <w:szCs w:val="22"/>
        </w:rPr>
        <w:t>showing a distinctive acuity,</w:t>
      </w:r>
      <w:r w:rsidR="00A66B12" w:rsidRPr="00A55F3A">
        <w:rPr>
          <w:rFonts w:ascii="Garamond" w:hAnsi="Garamond"/>
          <w:sz w:val="22"/>
          <w:szCs w:val="22"/>
        </w:rPr>
        <w:t xml:space="preserve"> </w:t>
      </w:r>
      <w:r w:rsidRPr="00A55F3A">
        <w:rPr>
          <w:rFonts w:ascii="Garamond" w:hAnsi="Garamond"/>
          <w:sz w:val="22"/>
          <w:szCs w:val="22"/>
        </w:rPr>
        <w:t xml:space="preserve">that Italian civil procedures do not demand an aprioristic exclusion of </w:t>
      </w:r>
      <w:r w:rsidR="00291400" w:rsidRPr="00A55F3A">
        <w:rPr>
          <w:rFonts w:ascii="Garamond" w:hAnsi="Garamond"/>
          <w:sz w:val="22"/>
          <w:szCs w:val="22"/>
        </w:rPr>
        <w:t>IOE</w:t>
      </w:r>
      <w:r w:rsidRPr="00A55F3A">
        <w:rPr>
          <w:rFonts w:ascii="Garamond" w:hAnsi="Garamond"/>
          <w:sz w:val="22"/>
          <w:szCs w:val="22"/>
        </w:rPr>
        <w:t>.</w:t>
      </w:r>
      <w:r w:rsidRPr="00A55F3A">
        <w:rPr>
          <w:rStyle w:val="FootnoteReference"/>
          <w:rFonts w:ascii="Garamond" w:eastAsia="BookAntiqua" w:hAnsi="Garamond"/>
          <w:sz w:val="22"/>
          <w:szCs w:val="22"/>
        </w:rPr>
        <w:footnoteReference w:id="64"/>
      </w:r>
      <w:r w:rsidRPr="00A55F3A">
        <w:rPr>
          <w:rFonts w:ascii="Garamond" w:hAnsi="Garamond"/>
          <w:sz w:val="22"/>
          <w:szCs w:val="22"/>
        </w:rPr>
        <w:t xml:space="preserve"> The assessment of </w:t>
      </w:r>
      <w:r w:rsidR="0021438F" w:rsidRPr="00A55F3A">
        <w:rPr>
          <w:rFonts w:ascii="Garamond" w:hAnsi="Garamond"/>
          <w:sz w:val="22"/>
          <w:szCs w:val="22"/>
        </w:rPr>
        <w:t xml:space="preserve">the admissibility of </w:t>
      </w:r>
      <w:r w:rsidR="00291400" w:rsidRPr="00A55F3A">
        <w:rPr>
          <w:rFonts w:ascii="Garamond" w:hAnsi="Garamond"/>
          <w:sz w:val="22"/>
          <w:szCs w:val="22"/>
        </w:rPr>
        <w:t>IOE</w:t>
      </w:r>
      <w:r w:rsidR="007D2A52" w:rsidRPr="00A55F3A">
        <w:rPr>
          <w:rFonts w:ascii="Garamond" w:hAnsi="Garamond"/>
          <w:sz w:val="22"/>
          <w:szCs w:val="22"/>
        </w:rPr>
        <w:t>,</w:t>
      </w:r>
      <w:r w:rsidR="003567BF" w:rsidRPr="00A55F3A">
        <w:rPr>
          <w:rFonts w:ascii="Garamond" w:hAnsi="Garamond"/>
          <w:sz w:val="22"/>
          <w:szCs w:val="22"/>
        </w:rPr>
        <w:t xml:space="preserve"> </w:t>
      </w:r>
      <w:r w:rsidRPr="00A55F3A">
        <w:rPr>
          <w:rFonts w:ascii="Garamond" w:hAnsi="Garamond"/>
          <w:sz w:val="22"/>
          <w:szCs w:val="22"/>
        </w:rPr>
        <w:t xml:space="preserve">the Tribunal of Turin </w:t>
      </w:r>
      <w:r w:rsidR="007D2A52" w:rsidRPr="00A55F3A">
        <w:rPr>
          <w:rFonts w:ascii="Garamond" w:hAnsi="Garamond"/>
          <w:sz w:val="22"/>
          <w:szCs w:val="22"/>
        </w:rPr>
        <w:t>explains,</w:t>
      </w:r>
      <w:r w:rsidR="003567BF" w:rsidRPr="00A55F3A">
        <w:rPr>
          <w:rFonts w:ascii="Garamond" w:hAnsi="Garamond"/>
          <w:sz w:val="22"/>
          <w:szCs w:val="22"/>
        </w:rPr>
        <w:t xml:space="preserve"> </w:t>
      </w:r>
      <w:r w:rsidR="0021438F" w:rsidRPr="00A55F3A">
        <w:rPr>
          <w:rFonts w:ascii="Garamond" w:hAnsi="Garamond"/>
          <w:sz w:val="22"/>
          <w:szCs w:val="22"/>
        </w:rPr>
        <w:t>requires</w:t>
      </w:r>
      <w:r w:rsidR="003567BF" w:rsidRPr="00A55F3A">
        <w:rPr>
          <w:rFonts w:ascii="Garamond" w:hAnsi="Garamond"/>
          <w:sz w:val="22"/>
          <w:szCs w:val="22"/>
        </w:rPr>
        <w:t xml:space="preserve"> </w:t>
      </w:r>
      <w:r w:rsidRPr="00A55F3A">
        <w:rPr>
          <w:rFonts w:ascii="Garamond" w:hAnsi="Garamond"/>
          <w:sz w:val="22"/>
          <w:szCs w:val="22"/>
        </w:rPr>
        <w:t xml:space="preserve">an evaluation of the rights </w:t>
      </w:r>
      <w:r w:rsidR="0021438F" w:rsidRPr="00A55F3A">
        <w:rPr>
          <w:rFonts w:ascii="Garamond" w:hAnsi="Garamond"/>
          <w:sz w:val="22"/>
          <w:szCs w:val="22"/>
        </w:rPr>
        <w:t>engaged in the ancillary and main case</w:t>
      </w:r>
      <w:r w:rsidRPr="00A55F3A">
        <w:rPr>
          <w:rFonts w:ascii="Garamond" w:hAnsi="Garamond"/>
          <w:sz w:val="22"/>
          <w:szCs w:val="22"/>
        </w:rPr>
        <w:t xml:space="preserve">. For instance, in the early part of the </w:t>
      </w:r>
      <w:r w:rsidR="0021438F" w:rsidRPr="00A55F3A">
        <w:rPr>
          <w:rFonts w:ascii="Garamond" w:hAnsi="Garamond"/>
          <w:sz w:val="22"/>
          <w:szCs w:val="22"/>
        </w:rPr>
        <w:t>court decision</w:t>
      </w:r>
      <w:r w:rsidRPr="00A55F3A">
        <w:rPr>
          <w:rFonts w:ascii="Garamond" w:hAnsi="Garamond"/>
          <w:sz w:val="22"/>
          <w:szCs w:val="22"/>
        </w:rPr>
        <w:t>, the tribunal deliver</w:t>
      </w:r>
      <w:r w:rsidR="0021438F" w:rsidRPr="00A55F3A">
        <w:rPr>
          <w:rFonts w:ascii="Garamond" w:hAnsi="Garamond"/>
          <w:sz w:val="22"/>
          <w:szCs w:val="22"/>
        </w:rPr>
        <w:t>ed</w:t>
      </w:r>
      <w:r w:rsidRPr="00A55F3A">
        <w:rPr>
          <w:rFonts w:ascii="Garamond" w:hAnsi="Garamond"/>
          <w:sz w:val="22"/>
          <w:szCs w:val="22"/>
        </w:rPr>
        <w:t xml:space="preserve"> a well-articulated </w:t>
      </w:r>
      <w:r w:rsidR="0021438F" w:rsidRPr="00A55F3A">
        <w:rPr>
          <w:rFonts w:ascii="Garamond" w:hAnsi="Garamond"/>
          <w:sz w:val="22"/>
          <w:szCs w:val="22"/>
        </w:rPr>
        <w:t xml:space="preserve">analysis of </w:t>
      </w:r>
      <w:r w:rsidR="00A66B12" w:rsidRPr="00A55F3A">
        <w:rPr>
          <w:rFonts w:ascii="Garamond" w:hAnsi="Garamond"/>
          <w:sz w:val="22"/>
          <w:szCs w:val="22"/>
        </w:rPr>
        <w:t>Mr Ciocchetti’s</w:t>
      </w:r>
      <w:r w:rsidR="0021438F" w:rsidRPr="00A55F3A">
        <w:rPr>
          <w:rFonts w:ascii="Garamond" w:hAnsi="Garamond"/>
          <w:sz w:val="22"/>
          <w:szCs w:val="22"/>
        </w:rPr>
        <w:t xml:space="preserve"> </w:t>
      </w:r>
      <w:r w:rsidRPr="00A55F3A">
        <w:rPr>
          <w:rFonts w:ascii="Garamond" w:hAnsi="Garamond"/>
          <w:sz w:val="22"/>
          <w:szCs w:val="22"/>
        </w:rPr>
        <w:t>right to privacy.</w:t>
      </w:r>
      <w:r w:rsidRPr="00A55F3A">
        <w:rPr>
          <w:rStyle w:val="FootnoteReference"/>
          <w:rFonts w:ascii="Garamond" w:eastAsia="BookAntiqua" w:hAnsi="Garamond"/>
          <w:sz w:val="22"/>
          <w:szCs w:val="22"/>
        </w:rPr>
        <w:footnoteReference w:id="65"/>
      </w:r>
      <w:r w:rsidRPr="00A55F3A">
        <w:rPr>
          <w:rFonts w:ascii="Garamond" w:hAnsi="Garamond"/>
          <w:sz w:val="22"/>
          <w:szCs w:val="22"/>
        </w:rPr>
        <w:t xml:space="preserve"> However, </w:t>
      </w:r>
      <w:r w:rsidR="0021438F" w:rsidRPr="00A55F3A">
        <w:rPr>
          <w:rFonts w:ascii="Garamond" w:hAnsi="Garamond"/>
          <w:sz w:val="22"/>
          <w:szCs w:val="22"/>
        </w:rPr>
        <w:t xml:space="preserve">later in the </w:t>
      </w:r>
      <w:r w:rsidR="000B1084" w:rsidRPr="00A55F3A">
        <w:rPr>
          <w:rFonts w:ascii="Garamond" w:hAnsi="Garamond"/>
          <w:sz w:val="22"/>
          <w:szCs w:val="22"/>
        </w:rPr>
        <w:t>body of the decision</w:t>
      </w:r>
      <w:r w:rsidR="0021438F" w:rsidRPr="00A55F3A">
        <w:rPr>
          <w:rFonts w:ascii="Garamond" w:hAnsi="Garamond"/>
          <w:sz w:val="22"/>
          <w:szCs w:val="22"/>
        </w:rPr>
        <w:t>, the</w:t>
      </w:r>
      <w:r w:rsidRPr="00A55F3A">
        <w:rPr>
          <w:rFonts w:ascii="Garamond" w:hAnsi="Garamond"/>
          <w:sz w:val="22"/>
          <w:szCs w:val="22"/>
        </w:rPr>
        <w:t xml:space="preserve"> court </w:t>
      </w:r>
      <w:r w:rsidR="0021438F" w:rsidRPr="00A55F3A">
        <w:rPr>
          <w:rFonts w:ascii="Garamond" w:hAnsi="Garamond"/>
          <w:sz w:val="22"/>
          <w:szCs w:val="22"/>
        </w:rPr>
        <w:t xml:space="preserve">dwelled on the implications </w:t>
      </w:r>
      <w:r w:rsidR="007D2A52" w:rsidRPr="00A55F3A">
        <w:rPr>
          <w:rFonts w:ascii="Garamond" w:hAnsi="Garamond"/>
          <w:sz w:val="22"/>
          <w:szCs w:val="22"/>
        </w:rPr>
        <w:t>of the right of privacy in the</w:t>
      </w:r>
      <w:r w:rsidR="003567BF" w:rsidRPr="00A55F3A">
        <w:rPr>
          <w:rFonts w:ascii="Garamond" w:hAnsi="Garamond"/>
          <w:sz w:val="22"/>
          <w:szCs w:val="22"/>
        </w:rPr>
        <w:t xml:space="preserve"> </w:t>
      </w:r>
      <w:r w:rsidR="0021438F" w:rsidRPr="00A55F3A">
        <w:rPr>
          <w:rFonts w:ascii="Garamond" w:hAnsi="Garamond"/>
          <w:sz w:val="22"/>
          <w:szCs w:val="22"/>
        </w:rPr>
        <w:t>submission made by</w:t>
      </w:r>
      <w:r w:rsidR="003567BF" w:rsidRPr="00A55F3A">
        <w:rPr>
          <w:rFonts w:ascii="Garamond" w:hAnsi="Garamond"/>
          <w:sz w:val="22"/>
          <w:szCs w:val="22"/>
        </w:rPr>
        <w:t xml:space="preserve"> </w:t>
      </w:r>
      <w:r w:rsidRPr="00A55F3A">
        <w:rPr>
          <w:rFonts w:ascii="Garamond" w:hAnsi="Garamond"/>
          <w:sz w:val="22"/>
          <w:szCs w:val="22"/>
        </w:rPr>
        <w:t>Fiat Auto Financial Services</w:t>
      </w:r>
      <w:r w:rsidR="0021438F" w:rsidRPr="00A55F3A">
        <w:rPr>
          <w:rFonts w:ascii="Garamond" w:hAnsi="Garamond"/>
          <w:sz w:val="22"/>
          <w:szCs w:val="22"/>
        </w:rPr>
        <w:t xml:space="preserve"> </w:t>
      </w:r>
      <w:r w:rsidR="007D2A52" w:rsidRPr="00A55F3A">
        <w:rPr>
          <w:rFonts w:ascii="Garamond" w:hAnsi="Garamond"/>
          <w:sz w:val="22"/>
          <w:szCs w:val="22"/>
        </w:rPr>
        <w:t>(that is</w:t>
      </w:r>
      <w:r w:rsidR="00464146" w:rsidRPr="00A55F3A">
        <w:rPr>
          <w:rFonts w:ascii="Garamond" w:hAnsi="Garamond"/>
          <w:sz w:val="22"/>
          <w:szCs w:val="22"/>
        </w:rPr>
        <w:t>,</w:t>
      </w:r>
      <w:r w:rsidR="007D2A52" w:rsidRPr="00A55F3A">
        <w:rPr>
          <w:rFonts w:ascii="Garamond" w:hAnsi="Garamond"/>
          <w:sz w:val="22"/>
          <w:szCs w:val="22"/>
        </w:rPr>
        <w:t xml:space="preserve"> the</w:t>
      </w:r>
      <w:r w:rsidR="003567BF" w:rsidRPr="00A55F3A">
        <w:rPr>
          <w:rFonts w:ascii="Garamond" w:hAnsi="Garamond"/>
          <w:sz w:val="22"/>
          <w:szCs w:val="22"/>
        </w:rPr>
        <w:t xml:space="preserve"> </w:t>
      </w:r>
      <w:r w:rsidRPr="00A55F3A">
        <w:rPr>
          <w:rFonts w:ascii="Garamond" w:hAnsi="Garamond"/>
          <w:sz w:val="22"/>
          <w:szCs w:val="22"/>
        </w:rPr>
        <w:t>allegation of</w:t>
      </w:r>
      <w:r w:rsidR="000B1084" w:rsidRPr="00A55F3A">
        <w:rPr>
          <w:rFonts w:ascii="Garamond" w:hAnsi="Garamond"/>
          <w:sz w:val="22"/>
          <w:szCs w:val="22"/>
        </w:rPr>
        <w:t xml:space="preserve"> </w:t>
      </w:r>
      <w:r w:rsidRPr="00A55F3A">
        <w:rPr>
          <w:rFonts w:ascii="Garamond" w:hAnsi="Garamond"/>
          <w:sz w:val="22"/>
          <w:szCs w:val="22"/>
        </w:rPr>
        <w:t xml:space="preserve"> dishonest conduc</w:t>
      </w:r>
      <w:r w:rsidR="0021438F" w:rsidRPr="00A55F3A">
        <w:rPr>
          <w:rFonts w:ascii="Garamond" w:hAnsi="Garamond"/>
          <w:sz w:val="22"/>
          <w:szCs w:val="22"/>
        </w:rPr>
        <w:t xml:space="preserve">t </w:t>
      </w:r>
      <w:r w:rsidR="00A66B12" w:rsidRPr="00A55F3A">
        <w:rPr>
          <w:rFonts w:ascii="Garamond" w:hAnsi="Garamond"/>
          <w:sz w:val="22"/>
          <w:szCs w:val="22"/>
        </w:rPr>
        <w:t>by</w:t>
      </w:r>
      <w:r w:rsidR="0021438F" w:rsidRPr="00A55F3A">
        <w:rPr>
          <w:rFonts w:ascii="Garamond" w:hAnsi="Garamond"/>
          <w:sz w:val="22"/>
          <w:szCs w:val="22"/>
        </w:rPr>
        <w:t xml:space="preserve"> one of its employees</w:t>
      </w:r>
      <w:r w:rsidR="007D2A52" w:rsidRPr="00A55F3A">
        <w:rPr>
          <w:rFonts w:ascii="Garamond" w:hAnsi="Garamond"/>
          <w:sz w:val="22"/>
          <w:szCs w:val="22"/>
        </w:rPr>
        <w:t>)</w:t>
      </w:r>
      <w:r w:rsidRPr="00A55F3A">
        <w:rPr>
          <w:rFonts w:ascii="Garamond" w:hAnsi="Garamond"/>
          <w:sz w:val="22"/>
          <w:szCs w:val="22"/>
        </w:rPr>
        <w:t>.</w:t>
      </w:r>
      <w:r w:rsidRPr="00A55F3A">
        <w:rPr>
          <w:rStyle w:val="FootnoteReference"/>
          <w:rFonts w:ascii="Garamond" w:eastAsia="BookAntiqua" w:hAnsi="Garamond"/>
          <w:sz w:val="22"/>
          <w:szCs w:val="22"/>
        </w:rPr>
        <w:footnoteReference w:id="66"/>
      </w:r>
      <w:r w:rsidRPr="00A55F3A">
        <w:rPr>
          <w:rFonts w:ascii="Garamond" w:hAnsi="Garamond"/>
          <w:sz w:val="22"/>
          <w:szCs w:val="22"/>
        </w:rPr>
        <w:t xml:space="preserve"> </w:t>
      </w:r>
      <w:r w:rsidR="00AB5488" w:rsidRPr="00A55F3A">
        <w:rPr>
          <w:rFonts w:ascii="Garamond" w:hAnsi="Garamond"/>
          <w:sz w:val="22"/>
          <w:szCs w:val="22"/>
        </w:rPr>
        <w:t xml:space="preserve">The Tribunal </w:t>
      </w:r>
      <w:r w:rsidR="0021438F" w:rsidRPr="00A55F3A">
        <w:rPr>
          <w:rFonts w:ascii="Garamond" w:hAnsi="Garamond"/>
          <w:sz w:val="22"/>
          <w:szCs w:val="22"/>
        </w:rPr>
        <w:t xml:space="preserve">of Turin </w:t>
      </w:r>
      <w:r w:rsidR="00AB5488" w:rsidRPr="00A55F3A">
        <w:rPr>
          <w:rFonts w:ascii="Garamond" w:hAnsi="Garamond"/>
          <w:sz w:val="22"/>
          <w:szCs w:val="22"/>
        </w:rPr>
        <w:t xml:space="preserve">concluded </w:t>
      </w:r>
      <w:r w:rsidR="0021438F" w:rsidRPr="00A55F3A">
        <w:rPr>
          <w:rFonts w:ascii="Garamond" w:hAnsi="Garamond"/>
          <w:sz w:val="22"/>
          <w:szCs w:val="22"/>
        </w:rPr>
        <w:t xml:space="preserve">that </w:t>
      </w:r>
      <w:r w:rsidR="007D2A52" w:rsidRPr="00A55F3A">
        <w:rPr>
          <w:rFonts w:ascii="Garamond" w:hAnsi="Garamond"/>
          <w:sz w:val="22"/>
          <w:szCs w:val="22"/>
        </w:rPr>
        <w:t>the</w:t>
      </w:r>
      <w:r w:rsidR="0021438F" w:rsidRPr="00A55F3A">
        <w:rPr>
          <w:rFonts w:ascii="Garamond" w:hAnsi="Garamond"/>
          <w:sz w:val="22"/>
          <w:szCs w:val="22"/>
        </w:rPr>
        <w:t xml:space="preserve"> decision</w:t>
      </w:r>
      <w:r w:rsidR="007D2A52" w:rsidRPr="00A55F3A">
        <w:rPr>
          <w:rFonts w:ascii="Garamond" w:hAnsi="Garamond"/>
          <w:sz w:val="22"/>
          <w:szCs w:val="22"/>
        </w:rPr>
        <w:t xml:space="preserve"> of the </w:t>
      </w:r>
      <w:r w:rsidR="007D2A52" w:rsidRPr="00A55F3A">
        <w:rPr>
          <w:rFonts w:ascii="Garamond" w:hAnsi="Garamond"/>
          <w:sz w:val="22"/>
          <w:szCs w:val="22"/>
        </w:rPr>
        <w:lastRenderedPageBreak/>
        <w:t>preliminary issues</w:t>
      </w:r>
      <w:r w:rsidR="003567BF" w:rsidRPr="00A55F3A">
        <w:rPr>
          <w:rFonts w:ascii="Garamond" w:hAnsi="Garamond"/>
          <w:sz w:val="22"/>
          <w:szCs w:val="22"/>
        </w:rPr>
        <w:t xml:space="preserve"> </w:t>
      </w:r>
      <w:r w:rsidR="0021438F" w:rsidRPr="00A55F3A">
        <w:rPr>
          <w:rFonts w:ascii="Garamond" w:hAnsi="Garamond"/>
          <w:sz w:val="22"/>
          <w:szCs w:val="22"/>
        </w:rPr>
        <w:t>require</w:t>
      </w:r>
      <w:r w:rsidR="007D2A52" w:rsidRPr="00A55F3A">
        <w:rPr>
          <w:rFonts w:ascii="Garamond" w:hAnsi="Garamond"/>
          <w:sz w:val="22"/>
          <w:szCs w:val="22"/>
        </w:rPr>
        <w:t>s</w:t>
      </w:r>
      <w:r w:rsidR="0021438F" w:rsidRPr="00A55F3A">
        <w:rPr>
          <w:rFonts w:ascii="Garamond" w:hAnsi="Garamond"/>
          <w:sz w:val="22"/>
          <w:szCs w:val="22"/>
        </w:rPr>
        <w:t xml:space="preserve"> the</w:t>
      </w:r>
      <w:r w:rsidR="003567BF" w:rsidRPr="00A55F3A">
        <w:rPr>
          <w:rFonts w:ascii="Garamond" w:hAnsi="Garamond"/>
          <w:sz w:val="22"/>
          <w:szCs w:val="22"/>
        </w:rPr>
        <w:t xml:space="preserve"> </w:t>
      </w:r>
      <w:r w:rsidR="0021438F" w:rsidRPr="00A55F3A">
        <w:rPr>
          <w:rFonts w:ascii="Garamond" w:hAnsi="Garamond"/>
          <w:sz w:val="22"/>
          <w:szCs w:val="22"/>
        </w:rPr>
        <w:t>balancing of the</w:t>
      </w:r>
      <w:r w:rsidR="003567BF" w:rsidRPr="00A55F3A">
        <w:rPr>
          <w:rFonts w:ascii="Garamond" w:hAnsi="Garamond"/>
          <w:sz w:val="22"/>
          <w:szCs w:val="22"/>
        </w:rPr>
        <w:t xml:space="preserve"> </w:t>
      </w:r>
      <w:r w:rsidR="00AB5488" w:rsidRPr="00A55F3A">
        <w:rPr>
          <w:rFonts w:ascii="Garamond" w:hAnsi="Garamond"/>
          <w:sz w:val="22"/>
          <w:szCs w:val="22"/>
        </w:rPr>
        <w:t>violation of the right to privacy</w:t>
      </w:r>
      <w:r w:rsidR="003567BF" w:rsidRPr="00A55F3A">
        <w:rPr>
          <w:rFonts w:ascii="Garamond" w:hAnsi="Garamond"/>
          <w:sz w:val="22"/>
          <w:szCs w:val="22"/>
        </w:rPr>
        <w:t xml:space="preserve"> </w:t>
      </w:r>
      <w:r w:rsidR="00AB5488" w:rsidRPr="00A55F3A">
        <w:rPr>
          <w:rFonts w:ascii="Garamond" w:hAnsi="Garamond"/>
          <w:sz w:val="22"/>
          <w:szCs w:val="22"/>
        </w:rPr>
        <w:t xml:space="preserve">and the right to defend a claim in court. </w:t>
      </w:r>
    </w:p>
    <w:p w14:paraId="0A387413" w14:textId="0509928A" w:rsidR="00605CE2" w:rsidRPr="00A55F3A" w:rsidRDefault="0021438F" w:rsidP="00A55F3A">
      <w:pPr>
        <w:pStyle w:val="Standard"/>
        <w:spacing w:line="480" w:lineRule="auto"/>
        <w:rPr>
          <w:rFonts w:ascii="Garamond" w:hAnsi="Garamond"/>
          <w:sz w:val="22"/>
          <w:szCs w:val="22"/>
        </w:rPr>
      </w:pPr>
      <w:r w:rsidRPr="00A55F3A">
        <w:rPr>
          <w:rFonts w:ascii="Garamond" w:hAnsi="Garamond"/>
          <w:sz w:val="22"/>
          <w:szCs w:val="22"/>
        </w:rPr>
        <w:t xml:space="preserve">In </w:t>
      </w:r>
      <w:r w:rsidR="004439BD" w:rsidRPr="00A55F3A">
        <w:rPr>
          <w:rFonts w:ascii="Garamond" w:hAnsi="Garamond"/>
          <w:i/>
          <w:sz w:val="22"/>
          <w:szCs w:val="22"/>
        </w:rPr>
        <w:t>Ciocchetti</w:t>
      </w:r>
      <w:r w:rsidR="00C10272" w:rsidRPr="00A55F3A">
        <w:rPr>
          <w:rFonts w:ascii="Garamond" w:hAnsi="Garamond"/>
          <w:sz w:val="22"/>
          <w:szCs w:val="22"/>
        </w:rPr>
        <w:t xml:space="preserve"> v </w:t>
      </w:r>
      <w:r w:rsidR="004439BD" w:rsidRPr="00A55F3A">
        <w:rPr>
          <w:rFonts w:ascii="Garamond" w:hAnsi="Garamond"/>
          <w:i/>
          <w:sz w:val="22"/>
          <w:szCs w:val="22"/>
        </w:rPr>
        <w:t>Fiat Auto Financial Services</w:t>
      </w:r>
      <w:r w:rsidR="00464146" w:rsidRPr="00A55F3A">
        <w:rPr>
          <w:rFonts w:ascii="Garamond" w:hAnsi="Garamond"/>
          <w:i/>
          <w:sz w:val="22"/>
          <w:szCs w:val="22"/>
        </w:rPr>
        <w:t>,</w:t>
      </w:r>
      <w:r w:rsidR="004439BD" w:rsidRPr="00A55F3A">
        <w:rPr>
          <w:rFonts w:ascii="Garamond" w:hAnsi="Garamond"/>
          <w:sz w:val="22"/>
          <w:szCs w:val="22"/>
        </w:rPr>
        <w:t xml:space="preserve"> </w:t>
      </w:r>
      <w:r w:rsidR="000B1084" w:rsidRPr="00A55F3A">
        <w:rPr>
          <w:rFonts w:ascii="Garamond" w:hAnsi="Garamond"/>
          <w:sz w:val="22"/>
          <w:szCs w:val="22"/>
        </w:rPr>
        <w:t>the</w:t>
      </w:r>
      <w:r w:rsidR="003567BF" w:rsidRPr="00A55F3A">
        <w:rPr>
          <w:rFonts w:ascii="Garamond" w:hAnsi="Garamond"/>
          <w:sz w:val="22"/>
          <w:szCs w:val="22"/>
        </w:rPr>
        <w:t xml:space="preserve"> </w:t>
      </w:r>
      <w:r w:rsidRPr="00A55F3A">
        <w:rPr>
          <w:rFonts w:ascii="Garamond" w:hAnsi="Garamond"/>
          <w:sz w:val="22"/>
          <w:szCs w:val="22"/>
        </w:rPr>
        <w:t>court</w:t>
      </w:r>
      <w:r w:rsidR="003567BF" w:rsidRPr="00A55F3A">
        <w:rPr>
          <w:rFonts w:ascii="Garamond" w:hAnsi="Garamond"/>
          <w:sz w:val="22"/>
          <w:szCs w:val="22"/>
        </w:rPr>
        <w:t xml:space="preserve"> </w:t>
      </w:r>
      <w:r w:rsidR="00F60E23" w:rsidRPr="00A55F3A">
        <w:rPr>
          <w:rFonts w:ascii="Garamond" w:hAnsi="Garamond"/>
          <w:sz w:val="22"/>
          <w:szCs w:val="22"/>
        </w:rPr>
        <w:t>favored</w:t>
      </w:r>
      <w:r w:rsidR="00DD18D5" w:rsidRPr="00A55F3A">
        <w:rPr>
          <w:rFonts w:ascii="Garamond" w:hAnsi="Garamond"/>
          <w:sz w:val="22"/>
          <w:szCs w:val="22"/>
        </w:rPr>
        <w:t xml:space="preserve"> the la</w:t>
      </w:r>
      <w:r w:rsidR="00464146" w:rsidRPr="00A55F3A">
        <w:rPr>
          <w:rFonts w:ascii="Garamond" w:hAnsi="Garamond"/>
          <w:sz w:val="22"/>
          <w:szCs w:val="22"/>
        </w:rPr>
        <w:t>t</w:t>
      </w:r>
      <w:r w:rsidR="00DD18D5" w:rsidRPr="00A55F3A">
        <w:rPr>
          <w:rFonts w:ascii="Garamond" w:hAnsi="Garamond"/>
          <w:sz w:val="22"/>
          <w:szCs w:val="22"/>
        </w:rPr>
        <w:t>ter</w:t>
      </w:r>
      <w:r w:rsidR="00464146" w:rsidRPr="00A55F3A">
        <w:rPr>
          <w:rFonts w:ascii="Garamond" w:hAnsi="Garamond"/>
          <w:sz w:val="22"/>
          <w:szCs w:val="22"/>
        </w:rPr>
        <w:t>.</w:t>
      </w:r>
      <w:r w:rsidR="00DD18D5" w:rsidRPr="00A55F3A">
        <w:rPr>
          <w:rFonts w:ascii="Garamond" w:hAnsi="Garamond"/>
          <w:sz w:val="22"/>
          <w:szCs w:val="22"/>
        </w:rPr>
        <w:t xml:space="preserve"> </w:t>
      </w:r>
      <w:r w:rsidR="00464146" w:rsidRPr="00A55F3A">
        <w:rPr>
          <w:rFonts w:ascii="Garamond" w:hAnsi="Garamond"/>
          <w:sz w:val="22"/>
          <w:szCs w:val="22"/>
        </w:rPr>
        <w:t>I</w:t>
      </w:r>
      <w:r w:rsidR="00593D4F" w:rsidRPr="00A55F3A">
        <w:rPr>
          <w:rFonts w:ascii="Garamond" w:hAnsi="Garamond"/>
          <w:sz w:val="22"/>
          <w:szCs w:val="22"/>
        </w:rPr>
        <w:t>n the next section</w:t>
      </w:r>
      <w:r w:rsidR="00464146" w:rsidRPr="00A55F3A">
        <w:rPr>
          <w:rFonts w:ascii="Garamond" w:hAnsi="Garamond"/>
          <w:sz w:val="22"/>
          <w:szCs w:val="22"/>
        </w:rPr>
        <w:t>,</w:t>
      </w:r>
      <w:r w:rsidR="00593D4F" w:rsidRPr="00A55F3A">
        <w:rPr>
          <w:rFonts w:ascii="Garamond" w:hAnsi="Garamond"/>
          <w:sz w:val="22"/>
          <w:szCs w:val="22"/>
        </w:rPr>
        <w:t xml:space="preserve"> we will refer again to this aspect of the decision</w:t>
      </w:r>
      <w:r w:rsidR="00DD18D5" w:rsidRPr="00A55F3A">
        <w:rPr>
          <w:rFonts w:ascii="Garamond" w:hAnsi="Garamond"/>
          <w:sz w:val="22"/>
          <w:szCs w:val="22"/>
        </w:rPr>
        <w:t>,</w:t>
      </w:r>
      <w:r w:rsidR="00593D4F" w:rsidRPr="00A55F3A">
        <w:rPr>
          <w:rFonts w:ascii="Garamond" w:hAnsi="Garamond"/>
          <w:sz w:val="22"/>
          <w:szCs w:val="22"/>
        </w:rPr>
        <w:t xml:space="preserve"> but</w:t>
      </w:r>
      <w:r w:rsidR="00DD18D5" w:rsidRPr="00A55F3A">
        <w:rPr>
          <w:rFonts w:ascii="Garamond" w:hAnsi="Garamond"/>
          <w:sz w:val="22"/>
          <w:szCs w:val="22"/>
        </w:rPr>
        <w:t xml:space="preserve"> at this stage of the essay,</w:t>
      </w:r>
      <w:r w:rsidR="003567BF" w:rsidRPr="00A55F3A">
        <w:rPr>
          <w:rFonts w:ascii="Garamond" w:hAnsi="Garamond"/>
          <w:sz w:val="22"/>
          <w:szCs w:val="22"/>
        </w:rPr>
        <w:t xml:space="preserve"> </w:t>
      </w:r>
      <w:r w:rsidR="00593D4F" w:rsidRPr="00A55F3A">
        <w:rPr>
          <w:rFonts w:ascii="Garamond" w:hAnsi="Garamond"/>
          <w:sz w:val="22"/>
          <w:szCs w:val="22"/>
        </w:rPr>
        <w:t xml:space="preserve">it is important to </w:t>
      </w:r>
      <w:r w:rsidR="004439BD" w:rsidRPr="00A55F3A">
        <w:rPr>
          <w:rFonts w:ascii="Garamond" w:hAnsi="Garamond"/>
          <w:sz w:val="22"/>
          <w:szCs w:val="22"/>
        </w:rPr>
        <w:t>say</w:t>
      </w:r>
      <w:r w:rsidR="00B50D56" w:rsidRPr="00A55F3A">
        <w:rPr>
          <w:rFonts w:ascii="Garamond" w:hAnsi="Garamond"/>
          <w:sz w:val="22"/>
          <w:szCs w:val="22"/>
        </w:rPr>
        <w:t xml:space="preserve"> </w:t>
      </w:r>
      <w:r w:rsidR="00A66B12" w:rsidRPr="00A55F3A">
        <w:rPr>
          <w:rFonts w:ascii="Garamond" w:hAnsi="Garamond"/>
          <w:sz w:val="22"/>
          <w:szCs w:val="22"/>
        </w:rPr>
        <w:t>that</w:t>
      </w:r>
      <w:r w:rsidR="004439BD" w:rsidRPr="00A55F3A">
        <w:rPr>
          <w:rFonts w:ascii="Garamond" w:hAnsi="Garamond"/>
          <w:sz w:val="22"/>
          <w:szCs w:val="22"/>
        </w:rPr>
        <w:t>:</w:t>
      </w:r>
      <w:r w:rsidR="00A66B12" w:rsidRPr="00A55F3A">
        <w:rPr>
          <w:rFonts w:ascii="Garamond" w:hAnsi="Garamond"/>
          <w:sz w:val="22"/>
          <w:szCs w:val="22"/>
        </w:rPr>
        <w:t xml:space="preserve"> </w:t>
      </w:r>
      <w:r w:rsidR="00593D4F" w:rsidRPr="00A55F3A">
        <w:rPr>
          <w:rFonts w:ascii="Garamond" w:hAnsi="Garamond"/>
          <w:sz w:val="22"/>
          <w:szCs w:val="22"/>
        </w:rPr>
        <w:t xml:space="preserve">a difference between the balancing activity of </w:t>
      </w:r>
      <w:r w:rsidR="00A66B12" w:rsidRPr="00A55F3A">
        <w:rPr>
          <w:rFonts w:ascii="Garamond" w:hAnsi="Garamond"/>
          <w:sz w:val="22"/>
          <w:szCs w:val="22"/>
        </w:rPr>
        <w:t>the</w:t>
      </w:r>
      <w:r w:rsidR="00593D4F" w:rsidRPr="00A55F3A">
        <w:rPr>
          <w:rFonts w:ascii="Garamond" w:hAnsi="Garamond"/>
          <w:sz w:val="22"/>
          <w:szCs w:val="22"/>
        </w:rPr>
        <w:t xml:space="preserve"> Italian and the </w:t>
      </w:r>
      <w:r w:rsidR="00584F92" w:rsidRPr="00A55F3A">
        <w:rPr>
          <w:rFonts w:ascii="Garamond" w:hAnsi="Garamond"/>
          <w:sz w:val="22"/>
          <w:szCs w:val="22"/>
        </w:rPr>
        <w:t>Eng</w:t>
      </w:r>
      <w:r w:rsidR="00A66B12" w:rsidRPr="00A55F3A">
        <w:rPr>
          <w:rFonts w:ascii="Garamond" w:hAnsi="Garamond"/>
          <w:sz w:val="22"/>
          <w:szCs w:val="22"/>
        </w:rPr>
        <w:t>l</w:t>
      </w:r>
      <w:r w:rsidR="00584F92" w:rsidRPr="00A55F3A">
        <w:rPr>
          <w:rFonts w:ascii="Garamond" w:hAnsi="Garamond"/>
          <w:sz w:val="22"/>
          <w:szCs w:val="22"/>
        </w:rPr>
        <w:t xml:space="preserve">ish </w:t>
      </w:r>
      <w:r w:rsidR="00D13877">
        <w:rPr>
          <w:rFonts w:ascii="Garamond" w:hAnsi="Garamond"/>
          <w:sz w:val="22"/>
          <w:szCs w:val="22"/>
        </w:rPr>
        <w:t xml:space="preserve"> </w:t>
      </w:r>
      <w:r w:rsidR="00593D4F" w:rsidRPr="00A55F3A">
        <w:rPr>
          <w:rFonts w:ascii="Garamond" w:hAnsi="Garamond"/>
          <w:sz w:val="22"/>
          <w:szCs w:val="22"/>
        </w:rPr>
        <w:t xml:space="preserve">judges on the ancillary issue of </w:t>
      </w:r>
      <w:r w:rsidR="00291400" w:rsidRPr="00A55F3A">
        <w:rPr>
          <w:rFonts w:ascii="Garamond" w:hAnsi="Garamond"/>
          <w:sz w:val="22"/>
          <w:szCs w:val="22"/>
        </w:rPr>
        <w:t>IOE</w:t>
      </w:r>
      <w:r w:rsidR="00593D4F" w:rsidRPr="00A55F3A">
        <w:rPr>
          <w:rFonts w:ascii="Garamond" w:hAnsi="Garamond"/>
          <w:sz w:val="22"/>
          <w:szCs w:val="22"/>
        </w:rPr>
        <w:t xml:space="preserve"> is likely to produce the same results in main case</w:t>
      </w:r>
      <w:r w:rsidR="007879AB" w:rsidRPr="00A55F3A">
        <w:rPr>
          <w:rFonts w:ascii="Garamond" w:hAnsi="Garamond"/>
          <w:sz w:val="22"/>
          <w:szCs w:val="22"/>
        </w:rPr>
        <w:t>s</w:t>
      </w:r>
      <w:r w:rsidR="00593D4F" w:rsidRPr="00A55F3A">
        <w:rPr>
          <w:rFonts w:ascii="Garamond" w:hAnsi="Garamond"/>
          <w:sz w:val="22"/>
          <w:szCs w:val="22"/>
        </w:rPr>
        <w:t>. In other words</w:t>
      </w:r>
      <w:r w:rsidR="00464146" w:rsidRPr="00A55F3A">
        <w:rPr>
          <w:rFonts w:ascii="Garamond" w:hAnsi="Garamond"/>
          <w:sz w:val="22"/>
          <w:szCs w:val="22"/>
        </w:rPr>
        <w:t>,</w:t>
      </w:r>
      <w:r w:rsidR="00593D4F" w:rsidRPr="00A55F3A">
        <w:rPr>
          <w:rFonts w:ascii="Garamond" w:hAnsi="Garamond"/>
          <w:sz w:val="22"/>
          <w:szCs w:val="22"/>
        </w:rPr>
        <w:t xml:space="preserve"> </w:t>
      </w:r>
      <w:r w:rsidR="00291400" w:rsidRPr="00A55F3A">
        <w:rPr>
          <w:rFonts w:ascii="Garamond" w:hAnsi="Garamond"/>
          <w:sz w:val="22"/>
          <w:szCs w:val="22"/>
        </w:rPr>
        <w:t>IOE</w:t>
      </w:r>
      <w:r w:rsidR="00593D4F" w:rsidRPr="00A55F3A">
        <w:rPr>
          <w:rFonts w:ascii="Garamond" w:hAnsi="Garamond"/>
          <w:sz w:val="22"/>
          <w:szCs w:val="22"/>
        </w:rPr>
        <w:t xml:space="preserve"> that have a substantial bearing on the party’s ability to defend a cla</w:t>
      </w:r>
      <w:r w:rsidR="007D2A52" w:rsidRPr="00A55F3A">
        <w:rPr>
          <w:rFonts w:ascii="Garamond" w:hAnsi="Garamond"/>
          <w:sz w:val="22"/>
          <w:szCs w:val="22"/>
        </w:rPr>
        <w:t>im are likely to be accepted in both legal system</w:t>
      </w:r>
      <w:r w:rsidR="004439BD" w:rsidRPr="00A55F3A">
        <w:rPr>
          <w:rFonts w:ascii="Garamond" w:hAnsi="Garamond"/>
          <w:sz w:val="22"/>
          <w:szCs w:val="22"/>
        </w:rPr>
        <w:t>s</w:t>
      </w:r>
      <w:r w:rsidR="00593D4F" w:rsidRPr="00A55F3A">
        <w:rPr>
          <w:rFonts w:ascii="Garamond" w:hAnsi="Garamond"/>
          <w:sz w:val="22"/>
          <w:szCs w:val="22"/>
        </w:rPr>
        <w:t xml:space="preserve">. However, </w:t>
      </w:r>
      <w:r w:rsidR="000F170E" w:rsidRPr="00A55F3A">
        <w:rPr>
          <w:rFonts w:ascii="Garamond" w:hAnsi="Garamond"/>
          <w:sz w:val="22"/>
          <w:szCs w:val="22"/>
        </w:rPr>
        <w:t>an</w:t>
      </w:r>
      <w:r w:rsidR="00AE5AD3" w:rsidRPr="00A55F3A">
        <w:rPr>
          <w:rFonts w:ascii="Garamond" w:hAnsi="Garamond"/>
          <w:sz w:val="22"/>
          <w:szCs w:val="22"/>
        </w:rPr>
        <w:t xml:space="preserve">  e</w:t>
      </w:r>
      <w:r w:rsidR="00291400" w:rsidRPr="00A55F3A">
        <w:rPr>
          <w:rFonts w:ascii="Garamond" w:hAnsi="Garamond"/>
          <w:sz w:val="22"/>
          <w:szCs w:val="22"/>
        </w:rPr>
        <w:t>vidence</w:t>
      </w:r>
      <w:r w:rsidR="00593D4F" w:rsidRPr="00A55F3A">
        <w:rPr>
          <w:rFonts w:ascii="Garamond" w:hAnsi="Garamond"/>
          <w:sz w:val="22"/>
          <w:szCs w:val="22"/>
        </w:rPr>
        <w:t xml:space="preserve"> that help</w:t>
      </w:r>
      <w:r w:rsidR="00AE5AD3" w:rsidRPr="00A55F3A">
        <w:rPr>
          <w:rFonts w:ascii="Garamond" w:hAnsi="Garamond"/>
          <w:sz w:val="22"/>
          <w:szCs w:val="22"/>
        </w:rPr>
        <w:t>s</w:t>
      </w:r>
      <w:r w:rsidR="00593D4F" w:rsidRPr="00A55F3A">
        <w:rPr>
          <w:rFonts w:ascii="Garamond" w:hAnsi="Garamond"/>
          <w:sz w:val="22"/>
          <w:szCs w:val="22"/>
        </w:rPr>
        <w:t xml:space="preserve"> to clarify the facts of the case (but</w:t>
      </w:r>
      <w:r w:rsidR="003567BF" w:rsidRPr="00A55F3A">
        <w:rPr>
          <w:rFonts w:ascii="Garamond" w:hAnsi="Garamond"/>
          <w:sz w:val="22"/>
          <w:szCs w:val="22"/>
        </w:rPr>
        <w:t xml:space="preserve"> </w:t>
      </w:r>
      <w:r w:rsidR="000B1084" w:rsidRPr="00A55F3A">
        <w:rPr>
          <w:rFonts w:ascii="Garamond" w:hAnsi="Garamond"/>
          <w:sz w:val="22"/>
          <w:szCs w:val="22"/>
        </w:rPr>
        <w:t xml:space="preserve">that </w:t>
      </w:r>
      <w:r w:rsidR="00593D4F" w:rsidRPr="00A55F3A">
        <w:rPr>
          <w:rFonts w:ascii="Garamond" w:hAnsi="Garamond"/>
          <w:sz w:val="22"/>
          <w:szCs w:val="22"/>
        </w:rPr>
        <w:t xml:space="preserve">might not </w:t>
      </w:r>
      <w:r w:rsidR="000B1084" w:rsidRPr="00A55F3A">
        <w:rPr>
          <w:rFonts w:ascii="Garamond" w:hAnsi="Garamond"/>
          <w:sz w:val="22"/>
          <w:szCs w:val="22"/>
        </w:rPr>
        <w:t>help a</w:t>
      </w:r>
      <w:r w:rsidR="003567BF" w:rsidRPr="00A55F3A">
        <w:rPr>
          <w:rFonts w:ascii="Garamond" w:hAnsi="Garamond"/>
          <w:sz w:val="22"/>
          <w:szCs w:val="22"/>
        </w:rPr>
        <w:t xml:space="preserve"> </w:t>
      </w:r>
      <w:r w:rsidR="00593D4F" w:rsidRPr="00A55F3A">
        <w:rPr>
          <w:rFonts w:ascii="Garamond" w:hAnsi="Garamond"/>
          <w:sz w:val="22"/>
          <w:szCs w:val="22"/>
        </w:rPr>
        <w:t>party claim) might not</w:t>
      </w:r>
      <w:r w:rsidR="007879AB" w:rsidRPr="00A55F3A">
        <w:rPr>
          <w:rFonts w:ascii="Garamond" w:hAnsi="Garamond"/>
          <w:sz w:val="22"/>
          <w:szCs w:val="22"/>
        </w:rPr>
        <w:t xml:space="preserve"> be</w:t>
      </w:r>
      <w:r w:rsidR="00593D4F" w:rsidRPr="00A55F3A">
        <w:rPr>
          <w:rFonts w:ascii="Garamond" w:hAnsi="Garamond"/>
          <w:sz w:val="22"/>
          <w:szCs w:val="22"/>
        </w:rPr>
        <w:t xml:space="preserve"> allowed by Italian courts</w:t>
      </w:r>
      <w:r w:rsidR="00464146" w:rsidRPr="00A55F3A">
        <w:rPr>
          <w:rFonts w:ascii="Garamond" w:hAnsi="Garamond"/>
          <w:sz w:val="22"/>
          <w:szCs w:val="22"/>
        </w:rPr>
        <w:t>,</w:t>
      </w:r>
      <w:r w:rsidR="004439BD" w:rsidRPr="00A55F3A">
        <w:rPr>
          <w:rFonts w:ascii="Garamond" w:hAnsi="Garamond"/>
          <w:sz w:val="22"/>
          <w:szCs w:val="22"/>
        </w:rPr>
        <w:t xml:space="preserve"> and that might, in turn, increase the level of protection of those who have their rights violated. </w:t>
      </w:r>
    </w:p>
    <w:p w14:paraId="17BEC642" w14:textId="5B476863"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t xml:space="preserve">The Tribunal of Turin </w:t>
      </w:r>
      <w:r w:rsidR="00C75786" w:rsidRPr="00A55F3A">
        <w:rPr>
          <w:rFonts w:ascii="Garamond" w:hAnsi="Garamond"/>
          <w:sz w:val="22"/>
          <w:szCs w:val="22"/>
        </w:rPr>
        <w:t>justified</w:t>
      </w:r>
      <w:r w:rsidR="003567BF" w:rsidRPr="00A55F3A">
        <w:rPr>
          <w:rFonts w:ascii="Garamond" w:hAnsi="Garamond"/>
          <w:sz w:val="22"/>
          <w:szCs w:val="22"/>
        </w:rPr>
        <w:t xml:space="preserve"> </w:t>
      </w:r>
      <w:r w:rsidR="00C75786" w:rsidRPr="00A55F3A">
        <w:rPr>
          <w:rFonts w:ascii="Garamond" w:hAnsi="Garamond"/>
          <w:sz w:val="22"/>
          <w:szCs w:val="22"/>
        </w:rPr>
        <w:t>its decision by pro</w:t>
      </w:r>
      <w:r w:rsidR="002D48D2" w:rsidRPr="00A55F3A">
        <w:rPr>
          <w:rFonts w:ascii="Garamond" w:hAnsi="Garamond"/>
          <w:sz w:val="22"/>
          <w:szCs w:val="22"/>
        </w:rPr>
        <w:t>po</w:t>
      </w:r>
      <w:r w:rsidR="00C75786" w:rsidRPr="00A55F3A">
        <w:rPr>
          <w:rFonts w:ascii="Garamond" w:hAnsi="Garamond"/>
          <w:sz w:val="22"/>
          <w:szCs w:val="22"/>
        </w:rPr>
        <w:t>sing a fresh interpretation of the</w:t>
      </w:r>
      <w:r w:rsidR="003567BF" w:rsidRPr="00A55F3A">
        <w:rPr>
          <w:rFonts w:ascii="Garamond" w:hAnsi="Garamond"/>
          <w:sz w:val="22"/>
          <w:szCs w:val="22"/>
        </w:rPr>
        <w:t xml:space="preserve"> </w:t>
      </w:r>
      <w:r w:rsidR="00C75786" w:rsidRPr="00A55F3A">
        <w:rPr>
          <w:rFonts w:ascii="Garamond" w:hAnsi="Garamond"/>
          <w:sz w:val="22"/>
          <w:szCs w:val="22"/>
        </w:rPr>
        <w:t>Civil Procedures Code</w:t>
      </w:r>
      <w:r w:rsidRPr="00A55F3A">
        <w:rPr>
          <w:rFonts w:ascii="Garamond" w:hAnsi="Garamond"/>
          <w:sz w:val="22"/>
          <w:szCs w:val="22"/>
        </w:rPr>
        <w:t xml:space="preserve">. The court noted, for instance, that the Italian Parliament has not included a specific statutory limitation on the admissibility </w:t>
      </w:r>
      <w:r w:rsidR="002D48D2" w:rsidRPr="00A55F3A">
        <w:rPr>
          <w:rFonts w:ascii="Garamond" w:hAnsi="Garamond"/>
          <w:sz w:val="22"/>
          <w:szCs w:val="22"/>
        </w:rPr>
        <w:t xml:space="preserve">of </w:t>
      </w:r>
      <w:r w:rsidRPr="00A55F3A">
        <w:rPr>
          <w:rFonts w:ascii="Garamond" w:hAnsi="Garamond"/>
          <w:sz w:val="22"/>
          <w:szCs w:val="22"/>
        </w:rPr>
        <w:t>illegitimately obtained electronic data.</w:t>
      </w:r>
      <w:r w:rsidRPr="00A55F3A">
        <w:rPr>
          <w:rStyle w:val="FootnoteReference"/>
          <w:rFonts w:ascii="Garamond" w:eastAsia="BookAntiqua" w:hAnsi="Garamond"/>
          <w:sz w:val="22"/>
          <w:szCs w:val="22"/>
        </w:rPr>
        <w:footnoteReference w:id="67"/>
      </w:r>
      <w:r w:rsidR="003567BF" w:rsidRPr="00A55F3A">
        <w:rPr>
          <w:rFonts w:ascii="Garamond" w:hAnsi="Garamond"/>
          <w:sz w:val="22"/>
          <w:szCs w:val="22"/>
        </w:rPr>
        <w:t xml:space="preserve"> </w:t>
      </w:r>
      <w:r w:rsidR="002D48D2" w:rsidRPr="00A55F3A">
        <w:rPr>
          <w:rFonts w:ascii="Garamond" w:hAnsi="Garamond"/>
          <w:sz w:val="22"/>
          <w:szCs w:val="22"/>
        </w:rPr>
        <w:t>By making an argument from</w:t>
      </w:r>
      <w:r w:rsidR="00C75786" w:rsidRPr="00A55F3A">
        <w:rPr>
          <w:rFonts w:ascii="Garamond" w:hAnsi="Garamond"/>
          <w:sz w:val="22"/>
          <w:szCs w:val="22"/>
        </w:rPr>
        <w:t xml:space="preserve"> analogy,</w:t>
      </w:r>
      <w:r w:rsidR="003567BF" w:rsidRPr="00A55F3A">
        <w:rPr>
          <w:rFonts w:ascii="Garamond" w:hAnsi="Garamond"/>
          <w:sz w:val="22"/>
          <w:szCs w:val="22"/>
        </w:rPr>
        <w:t xml:space="preserve"> </w:t>
      </w:r>
      <w:r w:rsidR="00C75786" w:rsidRPr="00A55F3A">
        <w:rPr>
          <w:rFonts w:ascii="Garamond" w:hAnsi="Garamond"/>
          <w:sz w:val="22"/>
          <w:szCs w:val="22"/>
        </w:rPr>
        <w:t>the Tribunal</w:t>
      </w:r>
      <w:r w:rsidR="003567BF" w:rsidRPr="00A55F3A">
        <w:rPr>
          <w:rFonts w:ascii="Garamond" w:hAnsi="Garamond"/>
          <w:sz w:val="22"/>
          <w:szCs w:val="22"/>
        </w:rPr>
        <w:t xml:space="preserve"> </w:t>
      </w:r>
      <w:r w:rsidR="00C75786" w:rsidRPr="00A55F3A">
        <w:rPr>
          <w:rFonts w:ascii="Garamond" w:hAnsi="Garamond"/>
          <w:sz w:val="22"/>
          <w:szCs w:val="22"/>
        </w:rPr>
        <w:t xml:space="preserve">of Turin </w:t>
      </w:r>
      <w:r w:rsidR="007A6FE2" w:rsidRPr="00A55F3A">
        <w:rPr>
          <w:rFonts w:ascii="Garamond" w:hAnsi="Garamond"/>
          <w:sz w:val="22"/>
          <w:szCs w:val="22"/>
        </w:rPr>
        <w:t xml:space="preserve">explained that </w:t>
      </w:r>
      <w:r w:rsidRPr="00A55F3A">
        <w:rPr>
          <w:rFonts w:ascii="Garamond" w:hAnsi="Garamond"/>
          <w:sz w:val="22"/>
          <w:szCs w:val="22"/>
        </w:rPr>
        <w:t xml:space="preserve">Italian Criminal Law Procedures distinguish between </w:t>
      </w:r>
      <w:r w:rsidR="000F170E" w:rsidRPr="00A55F3A">
        <w:rPr>
          <w:rFonts w:ascii="Garamond" w:hAnsi="Garamond"/>
          <w:sz w:val="22"/>
          <w:szCs w:val="22"/>
        </w:rPr>
        <w:t xml:space="preserve">an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that have been retrieved in violation of specific procedural rules (that might be unacceptable) from </w:t>
      </w:r>
      <w:r w:rsidR="000F170E" w:rsidRPr="00A55F3A">
        <w:rPr>
          <w:rFonts w:ascii="Garamond" w:hAnsi="Garamond"/>
          <w:sz w:val="22"/>
          <w:szCs w:val="22"/>
        </w:rPr>
        <w:t xml:space="preserve">an </w:t>
      </w:r>
      <w:r w:rsidR="00291400" w:rsidRPr="00A55F3A">
        <w:rPr>
          <w:rFonts w:ascii="Garamond" w:hAnsi="Garamond"/>
          <w:sz w:val="22"/>
          <w:szCs w:val="22"/>
        </w:rPr>
        <w:t>IOE</w:t>
      </w:r>
      <w:r w:rsidRPr="00A55F3A">
        <w:rPr>
          <w:rFonts w:ascii="Garamond" w:hAnsi="Garamond"/>
          <w:sz w:val="22"/>
          <w:szCs w:val="22"/>
        </w:rPr>
        <w:t xml:space="preserve"> that have been found as a result of a generally illegitimate conduct which might be presented in court.</w:t>
      </w:r>
      <w:r w:rsidRPr="00A55F3A">
        <w:rPr>
          <w:rStyle w:val="FootnoteReference"/>
          <w:rFonts w:ascii="Garamond" w:eastAsia="BookAntiqua" w:hAnsi="Garamond"/>
          <w:sz w:val="22"/>
          <w:szCs w:val="22"/>
        </w:rPr>
        <w:footnoteReference w:id="68"/>
      </w:r>
      <w:r w:rsidRPr="00A55F3A">
        <w:rPr>
          <w:rFonts w:ascii="Garamond" w:hAnsi="Garamond"/>
          <w:sz w:val="22"/>
          <w:szCs w:val="22"/>
        </w:rPr>
        <w:t xml:space="preserve"> For instance</w:t>
      </w:r>
      <w:r w:rsidR="007A6FE2" w:rsidRPr="00A55F3A">
        <w:rPr>
          <w:rFonts w:ascii="Garamond" w:hAnsi="Garamond"/>
          <w:sz w:val="22"/>
          <w:szCs w:val="22"/>
        </w:rPr>
        <w:t>,</w:t>
      </w:r>
      <w:r w:rsidRPr="00A55F3A">
        <w:rPr>
          <w:rFonts w:ascii="Garamond" w:hAnsi="Garamond"/>
          <w:sz w:val="22"/>
          <w:szCs w:val="22"/>
        </w:rPr>
        <w:t xml:space="preserve"> </w:t>
      </w:r>
      <w:r w:rsidR="007A6FE2" w:rsidRPr="00A55F3A">
        <w:rPr>
          <w:rFonts w:ascii="Garamond" w:hAnsi="Garamond"/>
          <w:sz w:val="22"/>
          <w:szCs w:val="22"/>
        </w:rPr>
        <w:t>a</w:t>
      </w:r>
      <w:r w:rsidRPr="00A55F3A">
        <w:rPr>
          <w:rFonts w:ascii="Garamond" w:hAnsi="Garamond"/>
          <w:sz w:val="22"/>
          <w:szCs w:val="22"/>
        </w:rPr>
        <w:t xml:space="preserve"> bag full of cocaine found in an </w:t>
      </w:r>
      <w:r w:rsidR="007A6FE2" w:rsidRPr="00A55F3A">
        <w:rPr>
          <w:rFonts w:ascii="Garamond" w:hAnsi="Garamond"/>
          <w:sz w:val="22"/>
          <w:szCs w:val="22"/>
        </w:rPr>
        <w:t xml:space="preserve">illegally </w:t>
      </w:r>
      <w:r w:rsidRPr="00A55F3A">
        <w:rPr>
          <w:rFonts w:ascii="Garamond" w:hAnsi="Garamond"/>
          <w:sz w:val="22"/>
          <w:szCs w:val="22"/>
        </w:rPr>
        <w:t xml:space="preserve">confiscated </w:t>
      </w:r>
      <w:r w:rsidR="007A6FE2" w:rsidRPr="00A55F3A">
        <w:rPr>
          <w:rFonts w:ascii="Garamond" w:hAnsi="Garamond"/>
          <w:sz w:val="22"/>
          <w:szCs w:val="22"/>
        </w:rPr>
        <w:t xml:space="preserve">car </w:t>
      </w:r>
      <w:r w:rsidR="000B1084" w:rsidRPr="00A55F3A">
        <w:rPr>
          <w:rFonts w:ascii="Garamond" w:hAnsi="Garamond"/>
          <w:sz w:val="22"/>
          <w:szCs w:val="22"/>
        </w:rPr>
        <w:t>might</w:t>
      </w:r>
      <w:r w:rsidR="003567BF" w:rsidRPr="00A55F3A">
        <w:rPr>
          <w:rFonts w:ascii="Garamond" w:hAnsi="Garamond"/>
          <w:sz w:val="22"/>
          <w:szCs w:val="22"/>
        </w:rPr>
        <w:t xml:space="preserve"> </w:t>
      </w:r>
      <w:r w:rsidRPr="00A55F3A">
        <w:rPr>
          <w:rFonts w:ascii="Garamond" w:hAnsi="Garamond"/>
          <w:sz w:val="22"/>
          <w:szCs w:val="22"/>
        </w:rPr>
        <w:t xml:space="preserve">be used </w:t>
      </w:r>
      <w:r w:rsidR="000B1084" w:rsidRPr="00A55F3A">
        <w:rPr>
          <w:rFonts w:ascii="Garamond" w:hAnsi="Garamond"/>
          <w:sz w:val="22"/>
          <w:szCs w:val="22"/>
        </w:rPr>
        <w:t>to support a conviction</w:t>
      </w:r>
      <w:r w:rsidR="003567BF" w:rsidRPr="00A55F3A">
        <w:rPr>
          <w:rFonts w:ascii="Garamond" w:hAnsi="Garamond"/>
          <w:sz w:val="22"/>
          <w:szCs w:val="22"/>
        </w:rPr>
        <w:t xml:space="preserve"> </w:t>
      </w:r>
      <w:r w:rsidRPr="00A55F3A">
        <w:rPr>
          <w:rFonts w:ascii="Garamond" w:hAnsi="Garamond"/>
          <w:sz w:val="22"/>
          <w:szCs w:val="22"/>
        </w:rPr>
        <w:t>for trafficking of illegal substances.</w:t>
      </w:r>
      <w:r w:rsidR="007A6FE2" w:rsidRPr="00A55F3A">
        <w:rPr>
          <w:rFonts w:ascii="Garamond" w:hAnsi="Garamond"/>
          <w:sz w:val="22"/>
          <w:szCs w:val="22"/>
        </w:rPr>
        <w:t xml:space="preserve"> </w:t>
      </w:r>
      <w:r w:rsidR="007D2A52" w:rsidRPr="00A55F3A">
        <w:rPr>
          <w:rFonts w:ascii="Garamond" w:hAnsi="Garamond"/>
          <w:sz w:val="22"/>
          <w:szCs w:val="22"/>
        </w:rPr>
        <w:t>Furthermore,</w:t>
      </w:r>
      <w:r w:rsidR="003567BF" w:rsidRPr="00A55F3A">
        <w:rPr>
          <w:rFonts w:ascii="Garamond" w:hAnsi="Garamond"/>
          <w:sz w:val="22"/>
          <w:szCs w:val="22"/>
        </w:rPr>
        <w:t xml:space="preserve"> </w:t>
      </w:r>
      <w:r w:rsidR="007D2A52" w:rsidRPr="00A55F3A">
        <w:rPr>
          <w:rFonts w:ascii="Garamond" w:hAnsi="Garamond"/>
          <w:sz w:val="22"/>
          <w:szCs w:val="22"/>
        </w:rPr>
        <w:t xml:space="preserve">the </w:t>
      </w:r>
      <w:r w:rsidR="007A6FE2" w:rsidRPr="00A55F3A">
        <w:rPr>
          <w:rFonts w:ascii="Garamond" w:hAnsi="Garamond"/>
          <w:sz w:val="22"/>
          <w:szCs w:val="22"/>
        </w:rPr>
        <w:t>Italia</w:t>
      </w:r>
      <w:r w:rsidR="002D48D2" w:rsidRPr="00A55F3A">
        <w:rPr>
          <w:rFonts w:ascii="Garamond" w:hAnsi="Garamond"/>
          <w:sz w:val="22"/>
          <w:szCs w:val="22"/>
        </w:rPr>
        <w:t>n</w:t>
      </w:r>
      <w:r w:rsidR="007D2A52" w:rsidRPr="00A55F3A">
        <w:rPr>
          <w:rFonts w:ascii="Garamond" w:hAnsi="Garamond"/>
          <w:sz w:val="22"/>
          <w:szCs w:val="22"/>
        </w:rPr>
        <w:t xml:space="preserve"> civil p</w:t>
      </w:r>
      <w:r w:rsidRPr="00A55F3A">
        <w:rPr>
          <w:rFonts w:ascii="Garamond" w:hAnsi="Garamond"/>
          <w:sz w:val="22"/>
          <w:szCs w:val="22"/>
        </w:rPr>
        <w:t xml:space="preserve">rocedure </w:t>
      </w:r>
      <w:r w:rsidR="002D48D2" w:rsidRPr="00A55F3A">
        <w:rPr>
          <w:rFonts w:ascii="Garamond" w:hAnsi="Garamond"/>
          <w:sz w:val="22"/>
          <w:szCs w:val="22"/>
        </w:rPr>
        <w:t>include</w:t>
      </w:r>
      <w:r w:rsidR="002E560F">
        <w:rPr>
          <w:rFonts w:ascii="Garamond" w:hAnsi="Garamond"/>
          <w:sz w:val="22"/>
          <w:szCs w:val="22"/>
        </w:rPr>
        <w:t>s</w:t>
      </w:r>
      <w:r w:rsidR="003567BF" w:rsidRPr="00A55F3A">
        <w:rPr>
          <w:rFonts w:ascii="Garamond" w:hAnsi="Garamond"/>
          <w:sz w:val="22"/>
          <w:szCs w:val="22"/>
        </w:rPr>
        <w:t xml:space="preserve"> </w:t>
      </w:r>
      <w:r w:rsidRPr="00A55F3A">
        <w:rPr>
          <w:rFonts w:ascii="Garamond" w:hAnsi="Garamond"/>
          <w:sz w:val="22"/>
          <w:szCs w:val="22"/>
        </w:rPr>
        <w:t>specific limitations on the</w:t>
      </w:r>
      <w:r w:rsidR="000F170E" w:rsidRPr="00A55F3A">
        <w:rPr>
          <w:rFonts w:ascii="Garamond" w:hAnsi="Garamond"/>
          <w:sz w:val="22"/>
          <w:szCs w:val="22"/>
        </w:rPr>
        <w:t xml:space="preserve"> admissibility of  </w:t>
      </w:r>
      <w:r w:rsidR="00291400" w:rsidRPr="00A55F3A">
        <w:rPr>
          <w:rFonts w:ascii="Garamond" w:hAnsi="Garamond"/>
          <w:sz w:val="22"/>
          <w:szCs w:val="22"/>
        </w:rPr>
        <w:t>IOE</w:t>
      </w:r>
      <w:r w:rsidRPr="00A55F3A">
        <w:rPr>
          <w:rFonts w:ascii="Garamond" w:hAnsi="Garamond"/>
          <w:sz w:val="22"/>
          <w:szCs w:val="22"/>
        </w:rPr>
        <w:t xml:space="preserve"> (for instance</w:t>
      </w:r>
      <w:r w:rsidR="00870B0D" w:rsidRPr="00A55F3A">
        <w:rPr>
          <w:rFonts w:ascii="Garamond" w:hAnsi="Garamond"/>
          <w:sz w:val="22"/>
          <w:szCs w:val="22"/>
        </w:rPr>
        <w:t>,</w:t>
      </w:r>
      <w:r w:rsidRPr="00A55F3A">
        <w:rPr>
          <w:rFonts w:ascii="Garamond" w:hAnsi="Garamond"/>
          <w:sz w:val="22"/>
          <w:szCs w:val="22"/>
        </w:rPr>
        <w:t xml:space="preserve"> injurious statements could not be allowed in a trial)</w:t>
      </w:r>
      <w:r w:rsidRPr="00A55F3A">
        <w:rPr>
          <w:rStyle w:val="FootnoteReference"/>
          <w:rFonts w:ascii="Garamond" w:eastAsia="BookAntiqua" w:hAnsi="Garamond"/>
          <w:sz w:val="22"/>
          <w:szCs w:val="22"/>
        </w:rPr>
        <w:footnoteReference w:id="69"/>
      </w:r>
      <w:r w:rsidRPr="00A55F3A">
        <w:rPr>
          <w:rFonts w:ascii="Garamond" w:hAnsi="Garamond"/>
          <w:sz w:val="22"/>
          <w:szCs w:val="22"/>
        </w:rPr>
        <w:t xml:space="preserve"> </w:t>
      </w:r>
      <w:r w:rsidR="007A6FE2" w:rsidRPr="00A55F3A">
        <w:rPr>
          <w:rFonts w:ascii="Garamond" w:hAnsi="Garamond"/>
          <w:sz w:val="22"/>
          <w:szCs w:val="22"/>
        </w:rPr>
        <w:t xml:space="preserve">that </w:t>
      </w:r>
      <w:r w:rsidR="002D48D2" w:rsidRPr="00A55F3A">
        <w:rPr>
          <w:rFonts w:ascii="Garamond" w:hAnsi="Garamond"/>
          <w:sz w:val="22"/>
          <w:szCs w:val="22"/>
        </w:rPr>
        <w:t xml:space="preserve">are </w:t>
      </w:r>
      <w:r w:rsidR="007A6FE2" w:rsidRPr="00A55F3A">
        <w:rPr>
          <w:rFonts w:ascii="Garamond" w:hAnsi="Garamond"/>
          <w:sz w:val="22"/>
          <w:szCs w:val="22"/>
        </w:rPr>
        <w:t>analogous to the one</w:t>
      </w:r>
      <w:r w:rsidR="002D48D2" w:rsidRPr="00A55F3A">
        <w:rPr>
          <w:rFonts w:ascii="Garamond" w:hAnsi="Garamond"/>
          <w:sz w:val="22"/>
          <w:szCs w:val="22"/>
        </w:rPr>
        <w:t>s</w:t>
      </w:r>
      <w:r w:rsidR="007A6FE2" w:rsidRPr="00A55F3A">
        <w:rPr>
          <w:rFonts w:ascii="Garamond" w:hAnsi="Garamond"/>
          <w:sz w:val="22"/>
          <w:szCs w:val="22"/>
        </w:rPr>
        <w:t xml:space="preserve"> set in </w:t>
      </w:r>
      <w:r w:rsidR="002D48D2" w:rsidRPr="00A55F3A">
        <w:rPr>
          <w:rFonts w:ascii="Garamond" w:hAnsi="Garamond"/>
          <w:sz w:val="22"/>
          <w:szCs w:val="22"/>
        </w:rPr>
        <w:t xml:space="preserve">the </w:t>
      </w:r>
      <w:r w:rsidR="007A6FE2" w:rsidRPr="00A55F3A">
        <w:rPr>
          <w:rFonts w:ascii="Garamond" w:hAnsi="Garamond"/>
          <w:sz w:val="22"/>
          <w:szCs w:val="22"/>
        </w:rPr>
        <w:t>Criminal Procedure Code,</w:t>
      </w:r>
      <w:r w:rsidR="003567BF" w:rsidRPr="00A55F3A">
        <w:rPr>
          <w:rFonts w:ascii="Garamond" w:hAnsi="Garamond"/>
          <w:sz w:val="22"/>
          <w:szCs w:val="22"/>
        </w:rPr>
        <w:t xml:space="preserve"> </w:t>
      </w:r>
      <w:r w:rsidRPr="00A55F3A">
        <w:rPr>
          <w:rFonts w:ascii="Garamond" w:hAnsi="Garamond"/>
          <w:sz w:val="22"/>
          <w:szCs w:val="22"/>
        </w:rPr>
        <w:t xml:space="preserve">but do not have </w:t>
      </w:r>
      <w:r w:rsidR="00AB5488" w:rsidRPr="00A55F3A">
        <w:rPr>
          <w:rFonts w:ascii="Garamond" w:hAnsi="Garamond"/>
          <w:sz w:val="22"/>
          <w:szCs w:val="22"/>
        </w:rPr>
        <w:t>a specific regime</w:t>
      </w:r>
      <w:r w:rsidRPr="00A55F3A">
        <w:rPr>
          <w:rFonts w:ascii="Garamond" w:hAnsi="Garamond"/>
          <w:sz w:val="22"/>
          <w:szCs w:val="22"/>
        </w:rPr>
        <w:t xml:space="preserve"> for </w:t>
      </w:r>
      <w:r w:rsidR="000F170E" w:rsidRPr="00A55F3A">
        <w:rPr>
          <w:rFonts w:ascii="Garamond" w:hAnsi="Garamond"/>
          <w:sz w:val="22"/>
          <w:szCs w:val="22"/>
        </w:rPr>
        <w:t xml:space="preserve">an </w:t>
      </w:r>
      <w:r w:rsidRPr="00A55F3A">
        <w:rPr>
          <w:rFonts w:ascii="Garamond" w:hAnsi="Garamond"/>
          <w:sz w:val="22"/>
          <w:szCs w:val="22"/>
        </w:rPr>
        <w:t>evidence retrieved f</w:t>
      </w:r>
      <w:r w:rsidR="002D48D2" w:rsidRPr="00A55F3A">
        <w:rPr>
          <w:rFonts w:ascii="Garamond" w:hAnsi="Garamond"/>
          <w:sz w:val="22"/>
          <w:szCs w:val="22"/>
        </w:rPr>
        <w:t>ro</w:t>
      </w:r>
      <w:r w:rsidRPr="00A55F3A">
        <w:rPr>
          <w:rFonts w:ascii="Garamond" w:hAnsi="Garamond"/>
          <w:sz w:val="22"/>
          <w:szCs w:val="22"/>
        </w:rPr>
        <w:t>m electronic devices. It was,</w:t>
      </w:r>
      <w:r w:rsidR="004439BD" w:rsidRPr="00A55F3A">
        <w:rPr>
          <w:rFonts w:ascii="Garamond" w:hAnsi="Garamond"/>
          <w:sz w:val="22"/>
          <w:szCs w:val="22"/>
        </w:rPr>
        <w:t xml:space="preserve"> therefore,</w:t>
      </w:r>
      <w:r w:rsidR="00B50D56" w:rsidRPr="00A55F3A">
        <w:rPr>
          <w:rFonts w:ascii="Garamond" w:hAnsi="Garamond"/>
          <w:sz w:val="22"/>
          <w:szCs w:val="22"/>
        </w:rPr>
        <w:t xml:space="preserve"> </w:t>
      </w:r>
      <w:r w:rsidRPr="00A55F3A">
        <w:rPr>
          <w:rFonts w:ascii="Garamond" w:hAnsi="Garamond"/>
          <w:sz w:val="22"/>
          <w:szCs w:val="22"/>
        </w:rPr>
        <w:t xml:space="preserve">within the remit of the </w:t>
      </w:r>
      <w:r w:rsidR="004439BD" w:rsidRPr="00A55F3A">
        <w:rPr>
          <w:rFonts w:ascii="Garamond" w:hAnsi="Garamond"/>
          <w:sz w:val="22"/>
          <w:szCs w:val="22"/>
        </w:rPr>
        <w:t>Tribunal of Turin</w:t>
      </w:r>
      <w:r w:rsidR="00B50D56" w:rsidRPr="00A55F3A">
        <w:rPr>
          <w:rFonts w:ascii="Garamond" w:hAnsi="Garamond"/>
          <w:sz w:val="22"/>
          <w:szCs w:val="22"/>
        </w:rPr>
        <w:t xml:space="preserve"> </w:t>
      </w:r>
      <w:r w:rsidRPr="00A55F3A">
        <w:rPr>
          <w:rFonts w:ascii="Garamond" w:hAnsi="Garamond"/>
          <w:sz w:val="22"/>
          <w:szCs w:val="22"/>
        </w:rPr>
        <w:t xml:space="preserve">to evaluate the admissibility of </w:t>
      </w:r>
      <w:r w:rsidR="00291400" w:rsidRPr="00A55F3A">
        <w:rPr>
          <w:rFonts w:ascii="Garamond" w:hAnsi="Garamond"/>
          <w:sz w:val="22"/>
          <w:szCs w:val="22"/>
        </w:rPr>
        <w:t>IOE</w:t>
      </w:r>
      <w:r w:rsidRPr="00A55F3A">
        <w:rPr>
          <w:rFonts w:ascii="Garamond" w:hAnsi="Garamond"/>
          <w:sz w:val="22"/>
          <w:szCs w:val="22"/>
        </w:rPr>
        <w:t xml:space="preserve"> submitted by Fiat</w:t>
      </w:r>
      <w:r w:rsidR="00294D8F" w:rsidRPr="00A55F3A">
        <w:rPr>
          <w:rFonts w:ascii="Garamond" w:hAnsi="Garamond"/>
          <w:sz w:val="22"/>
          <w:szCs w:val="22"/>
        </w:rPr>
        <w:t>.</w:t>
      </w:r>
    </w:p>
    <w:p w14:paraId="1860B887" w14:textId="5E66BCED" w:rsidR="00605CE2" w:rsidRPr="00A55F3A" w:rsidRDefault="00593D4F" w:rsidP="00A55F3A">
      <w:pPr>
        <w:pStyle w:val="Standard"/>
        <w:spacing w:line="480" w:lineRule="auto"/>
        <w:rPr>
          <w:rFonts w:ascii="Garamond" w:hAnsi="Garamond"/>
          <w:sz w:val="22"/>
          <w:szCs w:val="22"/>
        </w:rPr>
      </w:pPr>
      <w:r w:rsidRPr="00A55F3A">
        <w:rPr>
          <w:rFonts w:ascii="Garamond" w:hAnsi="Garamond"/>
          <w:sz w:val="22"/>
          <w:szCs w:val="22"/>
        </w:rPr>
        <w:lastRenderedPageBreak/>
        <w:t>The important element of the case is the indication of</w:t>
      </w:r>
      <w:r w:rsidR="002D48D2" w:rsidRPr="00A55F3A">
        <w:rPr>
          <w:rFonts w:ascii="Garamond" w:hAnsi="Garamond"/>
          <w:sz w:val="22"/>
          <w:szCs w:val="22"/>
        </w:rPr>
        <w:t xml:space="preserve"> a</w:t>
      </w:r>
      <w:r w:rsidRPr="00A55F3A">
        <w:rPr>
          <w:rFonts w:ascii="Garamond" w:hAnsi="Garamond"/>
          <w:sz w:val="22"/>
          <w:szCs w:val="22"/>
        </w:rPr>
        <w:t xml:space="preserve"> new trajectory, so to speak, </w:t>
      </w:r>
      <w:r w:rsidR="002D48D2" w:rsidRPr="00A55F3A">
        <w:rPr>
          <w:rFonts w:ascii="Garamond" w:hAnsi="Garamond"/>
          <w:sz w:val="22"/>
          <w:szCs w:val="22"/>
        </w:rPr>
        <w:t>i</w:t>
      </w:r>
      <w:r w:rsidRPr="00A55F3A">
        <w:rPr>
          <w:rFonts w:ascii="Garamond" w:hAnsi="Garamond"/>
          <w:sz w:val="22"/>
          <w:szCs w:val="22"/>
        </w:rPr>
        <w:t xml:space="preserve">n the regime of the Italian </w:t>
      </w:r>
      <w:r w:rsidR="00291400" w:rsidRPr="00A55F3A">
        <w:rPr>
          <w:rFonts w:ascii="Garamond" w:hAnsi="Garamond"/>
          <w:sz w:val="22"/>
          <w:szCs w:val="22"/>
        </w:rPr>
        <w:t>IOE</w:t>
      </w:r>
      <w:r w:rsidRPr="00A55F3A">
        <w:rPr>
          <w:rFonts w:ascii="Garamond" w:hAnsi="Garamond"/>
          <w:sz w:val="22"/>
          <w:szCs w:val="22"/>
        </w:rPr>
        <w:t>. Italian tribunals, i</w:t>
      </w:r>
      <w:r w:rsidR="00294D8F" w:rsidRPr="00A55F3A">
        <w:rPr>
          <w:rFonts w:ascii="Garamond" w:hAnsi="Garamond"/>
          <w:sz w:val="22"/>
          <w:szCs w:val="22"/>
        </w:rPr>
        <w:t>f they</w:t>
      </w:r>
      <w:r w:rsidRPr="00A55F3A">
        <w:rPr>
          <w:rFonts w:ascii="Garamond" w:hAnsi="Garamond"/>
          <w:sz w:val="22"/>
          <w:szCs w:val="22"/>
        </w:rPr>
        <w:t xml:space="preserve"> were not explicitly prevented by Parliament, </w:t>
      </w:r>
      <w:r w:rsidR="002D48D2" w:rsidRPr="00A55F3A">
        <w:rPr>
          <w:rFonts w:ascii="Garamond" w:hAnsi="Garamond"/>
          <w:sz w:val="22"/>
          <w:szCs w:val="22"/>
        </w:rPr>
        <w:t xml:space="preserve">would </w:t>
      </w:r>
      <w:r w:rsidRPr="00A55F3A">
        <w:rPr>
          <w:rFonts w:ascii="Garamond" w:hAnsi="Garamond"/>
          <w:sz w:val="22"/>
          <w:szCs w:val="22"/>
        </w:rPr>
        <w:t xml:space="preserve">have </w:t>
      </w:r>
      <w:r w:rsidR="002D48D2" w:rsidRPr="00A55F3A">
        <w:rPr>
          <w:rFonts w:ascii="Garamond" w:hAnsi="Garamond"/>
          <w:sz w:val="22"/>
          <w:szCs w:val="22"/>
        </w:rPr>
        <w:t>the prerogative</w:t>
      </w:r>
      <w:r w:rsidRPr="00A55F3A">
        <w:rPr>
          <w:rFonts w:ascii="Garamond" w:hAnsi="Garamond"/>
          <w:sz w:val="22"/>
          <w:szCs w:val="22"/>
        </w:rPr>
        <w:t xml:space="preserve"> to evaluate the admissibility of </w:t>
      </w:r>
      <w:r w:rsidR="00291400" w:rsidRPr="00A55F3A">
        <w:rPr>
          <w:rFonts w:ascii="Garamond" w:hAnsi="Garamond"/>
          <w:sz w:val="22"/>
          <w:szCs w:val="22"/>
        </w:rPr>
        <w:t>IOE</w:t>
      </w:r>
      <w:r w:rsidRPr="00A55F3A">
        <w:rPr>
          <w:rFonts w:ascii="Garamond" w:hAnsi="Garamond"/>
          <w:sz w:val="22"/>
          <w:szCs w:val="22"/>
        </w:rPr>
        <w:t xml:space="preserve">, firstly on the basis of </w:t>
      </w:r>
      <w:r w:rsidR="007D2A52" w:rsidRPr="00A55F3A">
        <w:rPr>
          <w:rFonts w:ascii="Garamond" w:hAnsi="Garamond"/>
          <w:sz w:val="22"/>
          <w:szCs w:val="22"/>
        </w:rPr>
        <w:t>extension of the violation of</w:t>
      </w:r>
      <w:r w:rsidR="003567BF" w:rsidRPr="00A55F3A">
        <w:rPr>
          <w:rFonts w:ascii="Garamond" w:hAnsi="Garamond"/>
          <w:sz w:val="22"/>
          <w:szCs w:val="22"/>
        </w:rPr>
        <w:t xml:space="preserve"> </w:t>
      </w:r>
      <w:r w:rsidRPr="00A55F3A">
        <w:rPr>
          <w:rFonts w:ascii="Garamond" w:hAnsi="Garamond"/>
          <w:sz w:val="22"/>
          <w:szCs w:val="22"/>
        </w:rPr>
        <w:t>right</w:t>
      </w:r>
      <w:r w:rsidR="002D48D2" w:rsidRPr="00A55F3A">
        <w:rPr>
          <w:rFonts w:ascii="Garamond" w:hAnsi="Garamond"/>
          <w:sz w:val="22"/>
          <w:szCs w:val="22"/>
        </w:rPr>
        <w:t>s</w:t>
      </w:r>
      <w:r w:rsidR="00294D8F" w:rsidRPr="00A55F3A">
        <w:rPr>
          <w:rFonts w:ascii="Garamond" w:hAnsi="Garamond"/>
          <w:sz w:val="22"/>
          <w:szCs w:val="22"/>
        </w:rPr>
        <w:t xml:space="preserve"> </w:t>
      </w:r>
      <w:r w:rsidRPr="00A55F3A">
        <w:rPr>
          <w:rFonts w:ascii="Garamond" w:hAnsi="Garamond"/>
          <w:sz w:val="22"/>
          <w:szCs w:val="22"/>
        </w:rPr>
        <w:t xml:space="preserve">that have been engaged by </w:t>
      </w:r>
      <w:r w:rsidR="00294D8F" w:rsidRPr="00A55F3A">
        <w:rPr>
          <w:rFonts w:ascii="Garamond" w:hAnsi="Garamond"/>
          <w:sz w:val="22"/>
          <w:szCs w:val="22"/>
        </w:rPr>
        <w:t>an</w:t>
      </w:r>
      <w:r w:rsidR="003567BF" w:rsidRPr="00A55F3A">
        <w:rPr>
          <w:rFonts w:ascii="Garamond" w:hAnsi="Garamond"/>
          <w:sz w:val="22"/>
          <w:szCs w:val="22"/>
        </w:rPr>
        <w:t xml:space="preserve"> </w:t>
      </w:r>
      <w:r w:rsidRPr="00A55F3A">
        <w:rPr>
          <w:rFonts w:ascii="Garamond" w:hAnsi="Garamond"/>
          <w:sz w:val="22"/>
          <w:szCs w:val="22"/>
        </w:rPr>
        <w:t>illicit conduct</w:t>
      </w:r>
      <w:r w:rsidR="007D2A52" w:rsidRPr="00A55F3A">
        <w:rPr>
          <w:rFonts w:ascii="Garamond" w:hAnsi="Garamond"/>
          <w:sz w:val="22"/>
          <w:szCs w:val="22"/>
        </w:rPr>
        <w:t>,</w:t>
      </w:r>
      <w:r w:rsidR="003567BF" w:rsidRPr="00A55F3A">
        <w:rPr>
          <w:rFonts w:ascii="Garamond" w:hAnsi="Garamond"/>
          <w:sz w:val="22"/>
          <w:szCs w:val="22"/>
        </w:rPr>
        <w:t xml:space="preserve"> </w:t>
      </w:r>
      <w:r w:rsidRPr="00A55F3A">
        <w:rPr>
          <w:rFonts w:ascii="Garamond" w:hAnsi="Garamond"/>
          <w:sz w:val="22"/>
          <w:szCs w:val="22"/>
        </w:rPr>
        <w:t>and secondly</w:t>
      </w:r>
      <w:r w:rsidR="007D2A52" w:rsidRPr="00A55F3A">
        <w:rPr>
          <w:rFonts w:ascii="Garamond" w:hAnsi="Garamond"/>
          <w:sz w:val="22"/>
          <w:szCs w:val="22"/>
        </w:rPr>
        <w:t>,</w:t>
      </w:r>
      <w:r w:rsidRPr="00A55F3A">
        <w:rPr>
          <w:rFonts w:ascii="Garamond" w:hAnsi="Garamond"/>
          <w:sz w:val="22"/>
          <w:szCs w:val="22"/>
        </w:rPr>
        <w:t xml:space="preserve"> by assessing the potential effects of excluding</w:t>
      </w:r>
      <w:r w:rsidR="000F170E" w:rsidRPr="00A55F3A">
        <w:rPr>
          <w:rFonts w:ascii="Garamond" w:hAnsi="Garamond"/>
          <w:sz w:val="22"/>
          <w:szCs w:val="22"/>
        </w:rPr>
        <w:t xml:space="preserve"> an </w:t>
      </w:r>
      <w:r w:rsidRPr="00A55F3A">
        <w:rPr>
          <w:rFonts w:ascii="Garamond" w:hAnsi="Garamond"/>
          <w:sz w:val="22"/>
          <w:szCs w:val="22"/>
        </w:rPr>
        <w:t xml:space="preserve"> </w:t>
      </w:r>
      <w:r w:rsidR="00AE5AD3" w:rsidRPr="00A55F3A">
        <w:rPr>
          <w:rFonts w:ascii="Garamond" w:hAnsi="Garamond"/>
          <w:sz w:val="22"/>
          <w:szCs w:val="22"/>
        </w:rPr>
        <w:t>e</w:t>
      </w:r>
      <w:r w:rsidR="00291400" w:rsidRPr="00A55F3A">
        <w:rPr>
          <w:rFonts w:ascii="Garamond" w:hAnsi="Garamond"/>
          <w:sz w:val="22"/>
          <w:szCs w:val="22"/>
        </w:rPr>
        <w:t>vidence</w:t>
      </w:r>
      <w:r w:rsidRPr="00A55F3A">
        <w:rPr>
          <w:rFonts w:ascii="Garamond" w:hAnsi="Garamond"/>
          <w:sz w:val="22"/>
          <w:szCs w:val="22"/>
        </w:rPr>
        <w:t xml:space="preserve"> </w:t>
      </w:r>
      <w:r w:rsidR="00294D8F" w:rsidRPr="00A55F3A">
        <w:rPr>
          <w:rFonts w:ascii="Garamond" w:hAnsi="Garamond"/>
          <w:sz w:val="22"/>
          <w:szCs w:val="22"/>
        </w:rPr>
        <w:t>from</w:t>
      </w:r>
      <w:r w:rsidRPr="00A55F3A">
        <w:rPr>
          <w:rFonts w:ascii="Garamond" w:hAnsi="Garamond"/>
          <w:sz w:val="22"/>
          <w:szCs w:val="22"/>
        </w:rPr>
        <w:t xml:space="preserve"> the</w:t>
      </w:r>
      <w:r w:rsidR="003567BF" w:rsidRPr="00A55F3A">
        <w:rPr>
          <w:rFonts w:ascii="Garamond" w:hAnsi="Garamond"/>
          <w:sz w:val="22"/>
          <w:szCs w:val="22"/>
        </w:rPr>
        <w:t xml:space="preserve"> </w:t>
      </w:r>
      <w:r w:rsidR="00294D8F" w:rsidRPr="00A55F3A">
        <w:rPr>
          <w:rFonts w:ascii="Garamond" w:hAnsi="Garamond"/>
          <w:sz w:val="22"/>
          <w:szCs w:val="22"/>
        </w:rPr>
        <w:t>main</w:t>
      </w:r>
      <w:r w:rsidR="002D48D2" w:rsidRPr="00A55F3A">
        <w:rPr>
          <w:rFonts w:ascii="Garamond" w:hAnsi="Garamond"/>
          <w:sz w:val="22"/>
          <w:szCs w:val="22"/>
        </w:rPr>
        <w:t xml:space="preserve"> </w:t>
      </w:r>
      <w:r w:rsidRPr="00A55F3A">
        <w:rPr>
          <w:rFonts w:ascii="Garamond" w:hAnsi="Garamond"/>
          <w:sz w:val="22"/>
          <w:szCs w:val="22"/>
        </w:rPr>
        <w:t>trial. It is this new line of authority that tilts the Italian civil procedures in the same direction, albeit coming from</w:t>
      </w:r>
      <w:r w:rsidR="002D48D2" w:rsidRPr="00A55F3A">
        <w:rPr>
          <w:rFonts w:ascii="Garamond" w:hAnsi="Garamond"/>
          <w:sz w:val="22"/>
          <w:szCs w:val="22"/>
        </w:rPr>
        <w:t xml:space="preserve"> a</w:t>
      </w:r>
      <w:r w:rsidRPr="00A55F3A">
        <w:rPr>
          <w:rFonts w:ascii="Garamond" w:hAnsi="Garamond"/>
          <w:sz w:val="22"/>
          <w:szCs w:val="22"/>
        </w:rPr>
        <w:t xml:space="preserve"> different </w:t>
      </w:r>
      <w:r w:rsidR="007D2A52" w:rsidRPr="00A55F3A">
        <w:rPr>
          <w:rFonts w:ascii="Garamond" w:hAnsi="Garamond"/>
          <w:sz w:val="22"/>
          <w:szCs w:val="22"/>
        </w:rPr>
        <w:t>stance</w:t>
      </w:r>
      <w:r w:rsidRPr="00A55F3A">
        <w:rPr>
          <w:rFonts w:ascii="Garamond" w:hAnsi="Garamond"/>
          <w:sz w:val="22"/>
          <w:szCs w:val="22"/>
        </w:rPr>
        <w:t xml:space="preserve">, of the </w:t>
      </w:r>
      <w:r w:rsidR="00584F92" w:rsidRPr="00A55F3A">
        <w:rPr>
          <w:rFonts w:ascii="Garamond" w:hAnsi="Garamond"/>
          <w:sz w:val="22"/>
          <w:szCs w:val="22"/>
        </w:rPr>
        <w:t>Eng</w:t>
      </w:r>
      <w:r w:rsidR="002D48D2" w:rsidRPr="00A55F3A">
        <w:rPr>
          <w:rFonts w:ascii="Garamond" w:hAnsi="Garamond"/>
          <w:sz w:val="22"/>
          <w:szCs w:val="22"/>
        </w:rPr>
        <w:t xml:space="preserve">lish </w:t>
      </w:r>
      <w:r w:rsidR="00D13877">
        <w:rPr>
          <w:rFonts w:ascii="Garamond" w:hAnsi="Garamond"/>
          <w:sz w:val="22"/>
          <w:szCs w:val="22"/>
        </w:rPr>
        <w:t xml:space="preserve"> </w:t>
      </w:r>
      <w:r w:rsidRPr="00A55F3A">
        <w:rPr>
          <w:rFonts w:ascii="Garamond" w:hAnsi="Garamond"/>
          <w:sz w:val="22"/>
          <w:szCs w:val="22"/>
        </w:rPr>
        <w:t>jurisprudence</w:t>
      </w:r>
      <w:r w:rsidR="002D48D2" w:rsidRPr="00A55F3A">
        <w:rPr>
          <w:rFonts w:ascii="Garamond" w:hAnsi="Garamond"/>
          <w:sz w:val="22"/>
          <w:szCs w:val="22"/>
        </w:rPr>
        <w:t>.</w:t>
      </w:r>
    </w:p>
    <w:p w14:paraId="544334DA" w14:textId="30B65D8F" w:rsidR="00605CE2" w:rsidRPr="00A55F3A" w:rsidRDefault="008A20B9" w:rsidP="00A55F3A">
      <w:pPr>
        <w:pStyle w:val="Heading2"/>
        <w:spacing w:line="480" w:lineRule="auto"/>
        <w:jc w:val="center"/>
        <w:rPr>
          <w:rFonts w:ascii="Garamond" w:hAnsi="Garamond"/>
        </w:rPr>
      </w:pPr>
      <w:r w:rsidRPr="00A55F3A">
        <w:rPr>
          <w:rStyle w:val="Carpredefinitoparagrafo"/>
          <w:rFonts w:ascii="Garamond" w:hAnsi="Garamond" w:cs="Times New Roman"/>
        </w:rPr>
        <w:t xml:space="preserve">Some Reflections: </w:t>
      </w:r>
      <w:r w:rsidR="00593D4F" w:rsidRPr="00A55F3A">
        <w:rPr>
          <w:rStyle w:val="Carpredefinitoparagrafo"/>
          <w:rFonts w:ascii="Garamond" w:hAnsi="Garamond" w:cs="Times New Roman"/>
        </w:rPr>
        <w:t xml:space="preserve">Rights and </w:t>
      </w:r>
      <w:r w:rsidR="001B2ECC" w:rsidRPr="00A55F3A">
        <w:rPr>
          <w:rStyle w:val="Carpredefinitoparagrafo"/>
          <w:rFonts w:ascii="Garamond" w:hAnsi="Garamond" w:cs="Times New Roman"/>
        </w:rPr>
        <w:t>J</w:t>
      </w:r>
      <w:r w:rsidR="007853C8" w:rsidRPr="00A55F3A">
        <w:rPr>
          <w:rStyle w:val="Carpredefinitoparagrafo"/>
          <w:rFonts w:ascii="Garamond" w:hAnsi="Garamond" w:cs="Times New Roman"/>
        </w:rPr>
        <w:t xml:space="preserve">udicial Search </w:t>
      </w:r>
      <w:r w:rsidR="001B2ECC" w:rsidRPr="00A55F3A">
        <w:rPr>
          <w:rStyle w:val="Carpredefinitoparagrafo"/>
          <w:rFonts w:ascii="Garamond" w:hAnsi="Garamond" w:cs="Times New Roman"/>
        </w:rPr>
        <w:t>for</w:t>
      </w:r>
      <w:r w:rsidR="007853C8" w:rsidRPr="00A55F3A">
        <w:rPr>
          <w:rStyle w:val="Carpredefinitoparagrafo"/>
          <w:rFonts w:ascii="Garamond" w:hAnsi="Garamond" w:cs="Times New Roman"/>
        </w:rPr>
        <w:t xml:space="preserve"> the T</w:t>
      </w:r>
      <w:r w:rsidR="00593D4F" w:rsidRPr="00A55F3A">
        <w:rPr>
          <w:rStyle w:val="Carpredefinitoparagrafo"/>
          <w:rFonts w:ascii="Garamond" w:hAnsi="Garamond" w:cs="Times New Roman"/>
        </w:rPr>
        <w:t>ruth</w:t>
      </w:r>
    </w:p>
    <w:p w14:paraId="076B69F4" w14:textId="4E62783A" w:rsidR="00605CE2" w:rsidRPr="00A55F3A" w:rsidRDefault="00593D4F" w:rsidP="00A55F3A">
      <w:pPr>
        <w:pStyle w:val="Standard"/>
        <w:spacing w:line="480" w:lineRule="auto"/>
        <w:rPr>
          <w:rFonts w:ascii="Garamond" w:hAnsi="Garamond"/>
          <w:sz w:val="22"/>
          <w:szCs w:val="22"/>
        </w:rPr>
      </w:pPr>
      <w:r w:rsidRPr="00A55F3A">
        <w:rPr>
          <w:rStyle w:val="Carpredefinitoparagrafo"/>
          <w:rFonts w:ascii="Garamond" w:hAnsi="Garamond" w:cs="Times New Roman"/>
          <w:sz w:val="22"/>
          <w:szCs w:val="22"/>
        </w:rPr>
        <w:t xml:space="preserve">The Italian and the </w:t>
      </w:r>
      <w:r w:rsidR="00584F92" w:rsidRPr="00A55F3A">
        <w:rPr>
          <w:rStyle w:val="Carpredefinitoparagrafo"/>
          <w:rFonts w:ascii="Garamond" w:hAnsi="Garamond" w:cs="Times New Roman"/>
          <w:sz w:val="22"/>
          <w:szCs w:val="22"/>
        </w:rPr>
        <w:t>Eng</w:t>
      </w:r>
      <w:r w:rsidR="002D48D2" w:rsidRPr="00A55F3A">
        <w:rPr>
          <w:rStyle w:val="Carpredefinitoparagrafo"/>
          <w:rFonts w:ascii="Garamond" w:hAnsi="Garamond" w:cs="Times New Roman"/>
          <w:sz w:val="22"/>
          <w:szCs w:val="22"/>
        </w:rPr>
        <w:t xml:space="preserve">lish </w:t>
      </w:r>
      <w:r w:rsidR="00D13877">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civil procedures are expected to provide </w:t>
      </w:r>
      <w:r w:rsidR="00AB5488" w:rsidRPr="00A55F3A">
        <w:rPr>
          <w:rStyle w:val="Carpredefinitoparagrafo"/>
          <w:rFonts w:ascii="Garamond" w:hAnsi="Garamond" w:cs="Times New Roman"/>
          <w:sz w:val="22"/>
          <w:szCs w:val="22"/>
        </w:rPr>
        <w:t>a</w:t>
      </w:r>
      <w:r w:rsidRPr="00A55F3A">
        <w:rPr>
          <w:rStyle w:val="Carpredefinitoparagrafo"/>
          <w:rFonts w:ascii="Garamond" w:hAnsi="Garamond" w:cs="Times New Roman"/>
          <w:sz w:val="22"/>
          <w:szCs w:val="22"/>
        </w:rPr>
        <w:t xml:space="preserve"> legal structure for well-organized and accurate accommodation of conflicts. Part of such a legal framework is</w:t>
      </w:r>
      <w:r w:rsidR="002D48D2" w:rsidRPr="00A55F3A">
        <w:rPr>
          <w:rStyle w:val="Carpredefinitoparagrafo"/>
          <w:rFonts w:ascii="Garamond" w:hAnsi="Garamond" w:cs="Times New Roman"/>
          <w:sz w:val="22"/>
          <w:szCs w:val="22"/>
        </w:rPr>
        <w:t xml:space="preserve"> the</w:t>
      </w:r>
      <w:r w:rsidRPr="00A55F3A">
        <w:rPr>
          <w:rStyle w:val="Carpredefinitoparagrafo"/>
          <w:rFonts w:ascii="Garamond" w:hAnsi="Garamond" w:cs="Times New Roman"/>
          <w:sz w:val="22"/>
          <w:szCs w:val="22"/>
        </w:rPr>
        <w:t xml:space="preserve"> management of what </w:t>
      </w:r>
      <w:r w:rsidR="00AE5AD3" w:rsidRPr="00A55F3A">
        <w:rPr>
          <w:rStyle w:val="Carpredefinitoparagrafo"/>
          <w:rFonts w:ascii="Garamond" w:hAnsi="Garamond" w:cs="Times New Roman"/>
          <w:sz w:val="22"/>
          <w:szCs w:val="22"/>
        </w:rPr>
        <w:t>e</w:t>
      </w:r>
      <w:r w:rsidR="00291400" w:rsidRPr="00A55F3A">
        <w:rPr>
          <w:rStyle w:val="Carpredefinitoparagrafo"/>
          <w:rFonts w:ascii="Garamond" w:hAnsi="Garamond" w:cs="Times New Roman"/>
          <w:sz w:val="22"/>
          <w:szCs w:val="22"/>
        </w:rPr>
        <w:t>vidence</w:t>
      </w:r>
      <w:r w:rsidRPr="00A55F3A">
        <w:rPr>
          <w:rStyle w:val="Carpredefinitoparagrafo"/>
          <w:rFonts w:ascii="Garamond" w:hAnsi="Garamond" w:cs="Times New Roman"/>
          <w:sz w:val="22"/>
          <w:szCs w:val="22"/>
        </w:rPr>
        <w:t xml:space="preserve"> could be allowed in court. This essay has focused on the regimes of </w:t>
      </w:r>
      <w:r w:rsidR="00291400" w:rsidRPr="00A55F3A">
        <w:rPr>
          <w:rStyle w:val="Carpredefinitoparagrafo"/>
          <w:rFonts w:ascii="Garamond" w:hAnsi="Garamond" w:cs="Times New Roman"/>
          <w:sz w:val="22"/>
          <w:szCs w:val="22"/>
        </w:rPr>
        <w:t>IOE</w:t>
      </w:r>
      <w:r w:rsidRPr="00A55F3A">
        <w:rPr>
          <w:rStyle w:val="Carpredefinitoparagrafo"/>
          <w:rFonts w:ascii="Garamond" w:hAnsi="Garamond" w:cs="Times New Roman"/>
          <w:sz w:val="22"/>
          <w:szCs w:val="22"/>
        </w:rPr>
        <w:t xml:space="preserve"> and showed that Italian and English </w:t>
      </w:r>
      <w:r w:rsidR="00D13877">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jurisprudence</w:t>
      </w:r>
      <w:r w:rsidR="00C75786" w:rsidRPr="00A55F3A">
        <w:rPr>
          <w:rStyle w:val="Carpredefinitoparagrafo"/>
          <w:rFonts w:ascii="Garamond" w:hAnsi="Garamond" w:cs="Times New Roman"/>
          <w:sz w:val="22"/>
          <w:szCs w:val="22"/>
        </w:rPr>
        <w:t>s</w:t>
      </w:r>
      <w:r w:rsidRPr="00A55F3A">
        <w:rPr>
          <w:rStyle w:val="Carpredefinitoparagrafo"/>
          <w:rFonts w:ascii="Garamond" w:hAnsi="Garamond" w:cs="Times New Roman"/>
          <w:sz w:val="22"/>
          <w:szCs w:val="22"/>
        </w:rPr>
        <w:t xml:space="preserve"> are </w:t>
      </w:r>
      <w:r w:rsidR="00C75786" w:rsidRPr="00A55F3A">
        <w:rPr>
          <w:rStyle w:val="Carpredefinitoparagrafo"/>
          <w:rFonts w:ascii="Garamond" w:hAnsi="Garamond" w:cs="Times New Roman"/>
          <w:sz w:val="22"/>
          <w:szCs w:val="22"/>
        </w:rPr>
        <w:t>in a transitional phase.</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The combination </w:t>
      </w:r>
      <w:r w:rsidR="002D48D2" w:rsidRPr="00A55F3A">
        <w:rPr>
          <w:rStyle w:val="Carpredefinitoparagrafo"/>
          <w:rFonts w:ascii="Garamond" w:hAnsi="Garamond" w:cs="Times New Roman"/>
          <w:sz w:val="22"/>
          <w:szCs w:val="22"/>
        </w:rPr>
        <w:t xml:space="preserve">of the </w:t>
      </w:r>
      <w:r w:rsidRPr="00A55F3A">
        <w:rPr>
          <w:rStyle w:val="Carpredefinitoparagrafo"/>
          <w:rFonts w:ascii="Garamond" w:hAnsi="Garamond" w:cs="Times New Roman"/>
          <w:sz w:val="22"/>
          <w:szCs w:val="22"/>
        </w:rPr>
        <w:t xml:space="preserve">expansion of statutory rights and </w:t>
      </w:r>
      <w:r w:rsidR="004C6605" w:rsidRPr="00A55F3A">
        <w:rPr>
          <w:rStyle w:val="Carpredefinitoparagrafo"/>
          <w:rFonts w:ascii="Garamond" w:hAnsi="Garamond" w:cs="Times New Roman"/>
          <w:sz w:val="22"/>
          <w:szCs w:val="22"/>
        </w:rPr>
        <w:t xml:space="preserve">demand for </w:t>
      </w:r>
      <w:r w:rsidRPr="00A55F3A">
        <w:rPr>
          <w:rStyle w:val="Carpredefinitoparagrafo"/>
          <w:rFonts w:ascii="Garamond" w:hAnsi="Garamond" w:cs="Times New Roman"/>
          <w:sz w:val="22"/>
          <w:szCs w:val="22"/>
        </w:rPr>
        <w:t>economic efficiency are</w:t>
      </w:r>
      <w:r w:rsidR="004439BD" w:rsidRPr="00A55F3A">
        <w:rPr>
          <w:rStyle w:val="Carpredefinitoparagrafo"/>
          <w:rFonts w:ascii="Garamond" w:hAnsi="Garamond" w:cs="Times New Roman"/>
          <w:sz w:val="22"/>
          <w:szCs w:val="22"/>
        </w:rPr>
        <w:t>, and will continue to be,</w:t>
      </w:r>
      <w:r w:rsidR="00B50D56"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the most likely reasons for the two legal systems to change.</w:t>
      </w:r>
    </w:p>
    <w:p w14:paraId="571EFC82" w14:textId="6850CC41" w:rsidR="00605CE2" w:rsidRPr="00A55F3A" w:rsidRDefault="00593D4F" w:rsidP="00A55F3A">
      <w:pPr>
        <w:pStyle w:val="Standard"/>
        <w:spacing w:line="480" w:lineRule="auto"/>
        <w:rPr>
          <w:rFonts w:ascii="Garamond" w:hAnsi="Garamond"/>
          <w:sz w:val="22"/>
          <w:szCs w:val="22"/>
        </w:rPr>
      </w:pPr>
      <w:r w:rsidRPr="00A55F3A">
        <w:rPr>
          <w:rStyle w:val="Carpredefinitoparagrafo"/>
          <w:rFonts w:ascii="Garamond" w:hAnsi="Garamond" w:cs="Times New Roman"/>
          <w:sz w:val="22"/>
          <w:szCs w:val="22"/>
        </w:rPr>
        <w:t xml:space="preserve">For instance, the prerogative set in Rule </w:t>
      </w:r>
      <w:r w:rsidR="00584F92" w:rsidRPr="00A55F3A">
        <w:rPr>
          <w:rStyle w:val="Carpredefinitoparagrafo"/>
          <w:rFonts w:ascii="Garamond" w:hAnsi="Garamond" w:cs="Times New Roman"/>
          <w:sz w:val="22"/>
          <w:szCs w:val="22"/>
        </w:rPr>
        <w:t>32</w:t>
      </w:r>
      <w:r w:rsidR="004439BD" w:rsidRPr="00A55F3A">
        <w:rPr>
          <w:rStyle w:val="Carpredefinitoparagrafo"/>
          <w:rFonts w:ascii="Garamond" w:hAnsi="Garamond" w:cs="Times New Roman"/>
          <w:sz w:val="22"/>
          <w:szCs w:val="22"/>
        </w:rPr>
        <w:t>.1</w:t>
      </w:r>
      <w:r w:rsidR="00584F92" w:rsidRPr="00A55F3A">
        <w:rPr>
          <w:rStyle w:val="Carpredefinitoparagrafo"/>
          <w:rFonts w:ascii="Garamond" w:hAnsi="Garamond" w:cs="Times New Roman"/>
          <w:sz w:val="22"/>
          <w:szCs w:val="22"/>
        </w:rPr>
        <w:t xml:space="preserve"> (1)</w:t>
      </w:r>
      <w:r w:rsidRPr="00A55F3A">
        <w:rPr>
          <w:rStyle w:val="Carpredefinitoparagrafo"/>
          <w:rFonts w:ascii="Garamond" w:hAnsi="Garamond" w:cs="Times New Roman"/>
          <w:sz w:val="22"/>
          <w:szCs w:val="22"/>
        </w:rPr>
        <w:t xml:space="preserve">, as clarified in </w:t>
      </w:r>
      <w:r w:rsidRPr="00A55F3A">
        <w:rPr>
          <w:rStyle w:val="Carpredefinitoparagrafo"/>
          <w:rFonts w:ascii="Garamond" w:hAnsi="Garamond" w:cs="Times New Roman"/>
          <w:i/>
          <w:sz w:val="22"/>
          <w:szCs w:val="22"/>
        </w:rPr>
        <w:t>Johns</w:t>
      </w:r>
      <w:r w:rsidRPr="00A55F3A">
        <w:rPr>
          <w:rStyle w:val="Carpredefinitoparagrafo"/>
          <w:rFonts w:ascii="Garamond" w:hAnsi="Garamond" w:cs="Times New Roman"/>
          <w:sz w:val="22"/>
          <w:szCs w:val="22"/>
        </w:rPr>
        <w:t xml:space="preserve"> v </w:t>
      </w:r>
      <w:r w:rsidRPr="00A55F3A">
        <w:rPr>
          <w:rStyle w:val="Carpredefinitoparagrafo"/>
          <w:rFonts w:ascii="Garamond" w:hAnsi="Garamond" w:cs="Times New Roman"/>
          <w:i/>
          <w:sz w:val="22"/>
          <w:szCs w:val="22"/>
        </w:rPr>
        <w:t>University of</w:t>
      </w:r>
      <w:r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i/>
          <w:sz w:val="22"/>
          <w:szCs w:val="22"/>
        </w:rPr>
        <w:t>Warwick</w:t>
      </w:r>
      <w:r w:rsidRPr="00A55F3A">
        <w:rPr>
          <w:rStyle w:val="Carpredefinitoparagrafo"/>
          <w:rFonts w:ascii="Garamond" w:hAnsi="Garamond" w:cs="Times New Roman"/>
          <w:sz w:val="22"/>
          <w:szCs w:val="22"/>
        </w:rPr>
        <w:t xml:space="preserve">, allows </w:t>
      </w:r>
      <w:r w:rsidR="00584F92" w:rsidRPr="00A55F3A">
        <w:rPr>
          <w:rStyle w:val="Carpredefinitoparagrafo"/>
          <w:rFonts w:ascii="Garamond" w:hAnsi="Garamond" w:cs="Times New Roman"/>
          <w:sz w:val="22"/>
          <w:szCs w:val="22"/>
        </w:rPr>
        <w:t>Eng</w:t>
      </w:r>
      <w:r w:rsidR="002D48D2" w:rsidRPr="00A55F3A">
        <w:rPr>
          <w:rStyle w:val="Carpredefinitoparagrafo"/>
          <w:rFonts w:ascii="Garamond" w:hAnsi="Garamond" w:cs="Times New Roman"/>
          <w:sz w:val="22"/>
          <w:szCs w:val="22"/>
        </w:rPr>
        <w:t xml:space="preserve">lish </w:t>
      </w:r>
      <w:r w:rsidR="00D13877">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judges to evaluate the severity of a right violation </w:t>
      </w:r>
      <w:r w:rsidR="00F453DB" w:rsidRPr="00A55F3A">
        <w:rPr>
          <w:rStyle w:val="Carpredefinitoparagrafo"/>
          <w:rFonts w:ascii="Garamond" w:hAnsi="Garamond" w:cs="Times New Roman"/>
          <w:sz w:val="22"/>
          <w:szCs w:val="22"/>
        </w:rPr>
        <w:t xml:space="preserve">that occurred during the retrieval   of an </w:t>
      </w:r>
      <w:r w:rsidR="00291400" w:rsidRPr="00A55F3A">
        <w:rPr>
          <w:rStyle w:val="Carpredefinitoparagrafo"/>
          <w:rFonts w:ascii="Garamond" w:hAnsi="Garamond" w:cs="Times New Roman"/>
          <w:sz w:val="22"/>
          <w:szCs w:val="22"/>
        </w:rPr>
        <w:t>IOE</w:t>
      </w:r>
      <w:r w:rsidR="00055DA3" w:rsidRPr="00A55F3A">
        <w:rPr>
          <w:rStyle w:val="Carpredefinitoparagrafo"/>
          <w:rFonts w:ascii="Garamond" w:hAnsi="Garamond" w:cs="Times New Roman"/>
          <w:sz w:val="22"/>
          <w:szCs w:val="22"/>
        </w:rPr>
        <w:t>.</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The assessment of </w:t>
      </w:r>
      <w:r w:rsidR="002D48D2" w:rsidRPr="00A55F3A">
        <w:rPr>
          <w:rStyle w:val="Carpredefinitoparagrafo"/>
          <w:rFonts w:ascii="Garamond" w:hAnsi="Garamond" w:cs="Times New Roman"/>
          <w:sz w:val="22"/>
          <w:szCs w:val="22"/>
        </w:rPr>
        <w:t xml:space="preserve">the </w:t>
      </w:r>
      <w:r w:rsidRPr="00A55F3A">
        <w:rPr>
          <w:rStyle w:val="Carpredefinitoparagrafo"/>
          <w:rFonts w:ascii="Garamond" w:hAnsi="Garamond" w:cs="Times New Roman"/>
          <w:sz w:val="22"/>
          <w:szCs w:val="22"/>
        </w:rPr>
        <w:t>type</w:t>
      </w:r>
      <w:r w:rsidR="004C6605" w:rsidRPr="00A55F3A">
        <w:rPr>
          <w:rStyle w:val="Carpredefinitoparagrafo"/>
          <w:rFonts w:ascii="Garamond" w:hAnsi="Garamond" w:cs="Times New Roman"/>
          <w:sz w:val="22"/>
          <w:szCs w:val="22"/>
        </w:rPr>
        <w:t xml:space="preserve"> </w:t>
      </w:r>
      <w:r w:rsidR="002D48D2" w:rsidRPr="00A55F3A">
        <w:rPr>
          <w:rStyle w:val="Carpredefinitoparagrafo"/>
          <w:rFonts w:ascii="Garamond" w:hAnsi="Garamond" w:cs="Times New Roman"/>
          <w:sz w:val="22"/>
          <w:szCs w:val="22"/>
        </w:rPr>
        <w:t>of</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violation of rights in civil cases is still in its infancy</w:t>
      </w:r>
      <w:r w:rsidR="000368C3"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but it is likely to be progressively </w:t>
      </w:r>
      <w:r w:rsidR="00055DA3" w:rsidRPr="00A55F3A">
        <w:rPr>
          <w:rStyle w:val="Carpredefinitoparagrafo"/>
          <w:rFonts w:ascii="Garamond" w:hAnsi="Garamond" w:cs="Times New Roman"/>
          <w:sz w:val="22"/>
          <w:szCs w:val="22"/>
        </w:rPr>
        <w:t>clarified in subsequent case law</w:t>
      </w:r>
      <w:r w:rsidR="002D48D2"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It is, for instance, reasonable to expect that judges will be required to further qualify the</w:t>
      </w:r>
      <w:r w:rsidR="004439BD" w:rsidRPr="00A55F3A">
        <w:rPr>
          <w:rStyle w:val="Carpredefinitoparagrafo"/>
          <w:rFonts w:ascii="Garamond" w:hAnsi="Garamond" w:cs="Times New Roman"/>
          <w:sz w:val="22"/>
          <w:szCs w:val="22"/>
        </w:rPr>
        <w:t xml:space="preserve"> so</w:t>
      </w:r>
      <w:r w:rsidR="000368C3" w:rsidRPr="00A55F3A">
        <w:rPr>
          <w:rStyle w:val="Carpredefinitoparagrafo"/>
          <w:rFonts w:ascii="Garamond" w:hAnsi="Garamond" w:cs="Times New Roman"/>
          <w:sz w:val="22"/>
          <w:szCs w:val="22"/>
        </w:rPr>
        <w:t>-</w:t>
      </w:r>
      <w:r w:rsidR="004439BD" w:rsidRPr="00A55F3A">
        <w:rPr>
          <w:rStyle w:val="Carpredefinitoparagrafo"/>
          <w:rFonts w:ascii="Garamond" w:hAnsi="Garamond" w:cs="Times New Roman"/>
          <w:sz w:val="22"/>
          <w:szCs w:val="22"/>
        </w:rPr>
        <w:t>called</w:t>
      </w:r>
      <w:r w:rsidR="00B50D56" w:rsidRPr="00A55F3A">
        <w:rPr>
          <w:rStyle w:val="Carpredefinitoparagrafo"/>
          <w:rFonts w:ascii="Garamond" w:hAnsi="Garamond" w:cs="Times New Roman"/>
          <w:sz w:val="22"/>
          <w:szCs w:val="22"/>
        </w:rPr>
        <w:t xml:space="preserve"> </w:t>
      </w:r>
      <w:r w:rsidR="004439BD"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outrageous violation</w:t>
      </w:r>
      <w:r w:rsidR="007D2A52" w:rsidRPr="00A55F3A">
        <w:rPr>
          <w:rStyle w:val="Carpredefinitoparagrafo"/>
          <w:rFonts w:ascii="Garamond" w:hAnsi="Garamond" w:cs="Times New Roman"/>
          <w:sz w:val="22"/>
          <w:szCs w:val="22"/>
        </w:rPr>
        <w:t xml:space="preserve"> criterion</w:t>
      </w:r>
      <w:r w:rsidR="004439BD" w:rsidRPr="00A55F3A">
        <w:rPr>
          <w:rStyle w:val="Carpredefinitoparagrafo"/>
          <w:rFonts w:ascii="Garamond" w:hAnsi="Garamond" w:cs="Times New Roman"/>
          <w:sz w:val="22"/>
          <w:szCs w:val="22"/>
        </w:rPr>
        <w:t>’ in a way that increase</w:t>
      </w:r>
      <w:r w:rsidR="006269A0" w:rsidRPr="00A55F3A">
        <w:rPr>
          <w:rStyle w:val="Carpredefinitoparagrafo"/>
          <w:rFonts w:ascii="Garamond" w:hAnsi="Garamond" w:cs="Times New Roman"/>
          <w:sz w:val="22"/>
          <w:szCs w:val="22"/>
        </w:rPr>
        <w:t>s</w:t>
      </w:r>
      <w:r w:rsidR="004439BD" w:rsidRPr="00A55F3A">
        <w:rPr>
          <w:rStyle w:val="Carpredefinitoparagrafo"/>
          <w:rFonts w:ascii="Garamond" w:hAnsi="Garamond" w:cs="Times New Roman"/>
          <w:sz w:val="22"/>
          <w:szCs w:val="22"/>
        </w:rPr>
        <w:t xml:space="preserve"> the consideration for the victim of right violation. </w:t>
      </w:r>
    </w:p>
    <w:p w14:paraId="5DDAD621" w14:textId="561D1A78" w:rsidR="00605CE2" w:rsidRPr="00A55F3A" w:rsidRDefault="004C6605" w:rsidP="00A55F3A">
      <w:pPr>
        <w:pStyle w:val="Standard"/>
        <w:spacing w:line="480" w:lineRule="auto"/>
        <w:rPr>
          <w:rFonts w:ascii="Garamond" w:hAnsi="Garamond"/>
          <w:sz w:val="22"/>
          <w:szCs w:val="22"/>
        </w:rPr>
      </w:pPr>
      <w:r w:rsidRPr="00A55F3A">
        <w:rPr>
          <w:rStyle w:val="Carpredefinitoparagrafo"/>
          <w:rFonts w:ascii="Garamond" w:hAnsi="Garamond" w:cs="Times New Roman"/>
          <w:sz w:val="22"/>
          <w:szCs w:val="22"/>
        </w:rPr>
        <w:t>It is from the study</w:t>
      </w:r>
      <w:r w:rsidR="00593D4F" w:rsidRPr="00A55F3A">
        <w:rPr>
          <w:rStyle w:val="Carpredefinitoparagrafo"/>
          <w:rFonts w:ascii="Garamond" w:hAnsi="Garamond" w:cs="Times New Roman"/>
          <w:sz w:val="22"/>
          <w:szCs w:val="22"/>
        </w:rPr>
        <w:t xml:space="preserve"> of</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their</w:t>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differences</w:t>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 xml:space="preserve">that </w:t>
      </w:r>
      <w:r w:rsidR="00AB5488" w:rsidRPr="00A55F3A">
        <w:rPr>
          <w:rStyle w:val="Carpredefinitoparagrafo"/>
          <w:rFonts w:ascii="Garamond" w:hAnsi="Garamond" w:cs="Times New Roman"/>
          <w:sz w:val="22"/>
          <w:szCs w:val="22"/>
        </w:rPr>
        <w:t xml:space="preserve">the two systems might learn from their respective experiences. </w:t>
      </w:r>
      <w:r w:rsidR="00593D4F" w:rsidRPr="00A55F3A">
        <w:rPr>
          <w:rStyle w:val="Carpredefinitoparagrafo"/>
          <w:rFonts w:ascii="Garamond" w:hAnsi="Garamond" w:cs="Times New Roman"/>
          <w:sz w:val="22"/>
          <w:szCs w:val="22"/>
        </w:rPr>
        <w:t>For instance,</w:t>
      </w:r>
      <w:r w:rsidR="007D2A52" w:rsidRPr="00A55F3A">
        <w:rPr>
          <w:rStyle w:val="Carpredefinitoparagrafo"/>
          <w:rFonts w:ascii="Garamond" w:hAnsi="Garamond" w:cs="Times New Roman"/>
          <w:sz w:val="22"/>
          <w:szCs w:val="22"/>
        </w:rPr>
        <w:t xml:space="preserve"> </w:t>
      </w:r>
      <w:r w:rsidR="00584F92" w:rsidRPr="00A55F3A">
        <w:rPr>
          <w:rStyle w:val="Carpredefinitoparagrafo"/>
          <w:rFonts w:ascii="Garamond" w:hAnsi="Garamond" w:cs="Times New Roman"/>
          <w:sz w:val="22"/>
          <w:szCs w:val="22"/>
        </w:rPr>
        <w:t>Eng</w:t>
      </w:r>
      <w:r w:rsidR="002D48D2" w:rsidRPr="00A55F3A">
        <w:rPr>
          <w:rStyle w:val="Carpredefinitoparagrafo"/>
          <w:rFonts w:ascii="Garamond" w:hAnsi="Garamond" w:cs="Times New Roman"/>
          <w:sz w:val="22"/>
          <w:szCs w:val="22"/>
        </w:rPr>
        <w:t>l</w:t>
      </w:r>
      <w:r w:rsidR="00584F92" w:rsidRPr="00A55F3A">
        <w:rPr>
          <w:rStyle w:val="Carpredefinitoparagrafo"/>
          <w:rFonts w:ascii="Garamond" w:hAnsi="Garamond" w:cs="Times New Roman"/>
          <w:sz w:val="22"/>
          <w:szCs w:val="22"/>
        </w:rPr>
        <w:t xml:space="preserve">ish </w:t>
      </w:r>
      <w:r w:rsidR="00D13877">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jurisprudence might be enriched from the Italian familiarity with the practice</w:t>
      </w:r>
      <w:r w:rsidR="002D48D2" w:rsidRPr="00A55F3A">
        <w:rPr>
          <w:rStyle w:val="Carpredefinitoparagrafo"/>
          <w:rFonts w:ascii="Garamond" w:hAnsi="Garamond" w:cs="Times New Roman"/>
          <w:sz w:val="22"/>
          <w:szCs w:val="22"/>
        </w:rPr>
        <w:t xml:space="preserve"> of</w:t>
      </w:r>
      <w:r w:rsidR="00593D4F" w:rsidRPr="00A55F3A">
        <w:rPr>
          <w:rStyle w:val="Carpredefinitoparagrafo"/>
          <w:rFonts w:ascii="Garamond" w:hAnsi="Garamond" w:cs="Times New Roman"/>
          <w:sz w:val="22"/>
          <w:szCs w:val="22"/>
        </w:rPr>
        <w:t xml:space="preserve"> balancin</w:t>
      </w:r>
      <w:r w:rsidR="002D48D2" w:rsidRPr="00A55F3A">
        <w:rPr>
          <w:rStyle w:val="Carpredefinitoparagrafo"/>
          <w:rFonts w:ascii="Garamond" w:hAnsi="Garamond" w:cs="Times New Roman"/>
          <w:sz w:val="22"/>
          <w:szCs w:val="22"/>
        </w:rPr>
        <w:t>g statutory rights. Recall that</w:t>
      </w:r>
      <w:r w:rsidR="00593D4F" w:rsidRPr="00A55F3A">
        <w:rPr>
          <w:rStyle w:val="Carpredefinitoparagrafo"/>
          <w:rFonts w:ascii="Garamond" w:hAnsi="Garamond" w:cs="Times New Roman"/>
          <w:sz w:val="22"/>
          <w:szCs w:val="22"/>
        </w:rPr>
        <w:t xml:space="preserve"> in </w:t>
      </w:r>
      <w:r w:rsidR="004439BD" w:rsidRPr="00A55F3A">
        <w:rPr>
          <w:rFonts w:ascii="Garamond" w:eastAsia="BookAntiqua" w:hAnsi="Garamond"/>
          <w:i/>
          <w:sz w:val="22"/>
          <w:szCs w:val="22"/>
        </w:rPr>
        <w:t>Ciocchetti</w:t>
      </w:r>
      <w:r w:rsidR="00C10272" w:rsidRPr="00A55F3A">
        <w:rPr>
          <w:rFonts w:ascii="Garamond" w:eastAsia="BookAntiqua" w:hAnsi="Garamond"/>
          <w:sz w:val="22"/>
          <w:szCs w:val="22"/>
        </w:rPr>
        <w:t xml:space="preserve"> v </w:t>
      </w:r>
      <w:r w:rsidR="004439BD" w:rsidRPr="00A55F3A">
        <w:rPr>
          <w:rFonts w:ascii="Garamond" w:eastAsia="BookAntiqua" w:hAnsi="Garamond"/>
          <w:i/>
          <w:sz w:val="22"/>
          <w:szCs w:val="22"/>
        </w:rPr>
        <w:t>Fiat Auto Financial Services</w:t>
      </w:r>
      <w:r w:rsidR="004A62D8" w:rsidRPr="00A55F3A">
        <w:rPr>
          <w:rFonts w:ascii="Garamond" w:eastAsia="BookAntiqua" w:hAnsi="Garamond"/>
          <w:i/>
          <w:sz w:val="22"/>
          <w:szCs w:val="22"/>
        </w:rPr>
        <w:t>,</w:t>
      </w:r>
      <w:r w:rsidR="00593D4F" w:rsidRPr="00A55F3A">
        <w:rPr>
          <w:rStyle w:val="Carpredefinitoparagrafo"/>
          <w:rFonts w:ascii="Garamond" w:hAnsi="Garamond" w:cs="Times New Roman"/>
          <w:sz w:val="22"/>
          <w:szCs w:val="22"/>
        </w:rPr>
        <w:t xml:space="preserve"> the </w:t>
      </w:r>
      <w:r w:rsidR="004A62D8" w:rsidRPr="00A55F3A">
        <w:rPr>
          <w:rStyle w:val="Carpredefinitoparagrafo"/>
          <w:rFonts w:ascii="Garamond" w:hAnsi="Garamond" w:cs="Times New Roman"/>
          <w:sz w:val="22"/>
          <w:szCs w:val="22"/>
        </w:rPr>
        <w:t xml:space="preserve">Italian </w:t>
      </w:r>
      <w:r w:rsidR="00593D4F" w:rsidRPr="00A55F3A">
        <w:rPr>
          <w:rStyle w:val="Carpredefinitoparagrafo"/>
          <w:rFonts w:ascii="Garamond" w:hAnsi="Garamond" w:cs="Times New Roman"/>
          <w:sz w:val="22"/>
          <w:szCs w:val="22"/>
        </w:rPr>
        <w:t xml:space="preserve">Tribunal of Turin balanced the violation of </w:t>
      </w:r>
      <w:r w:rsidR="002D48D2" w:rsidRPr="00A55F3A">
        <w:rPr>
          <w:rStyle w:val="Carpredefinitoparagrafo"/>
          <w:rFonts w:ascii="Garamond" w:hAnsi="Garamond" w:cs="Times New Roman"/>
          <w:sz w:val="22"/>
          <w:szCs w:val="22"/>
        </w:rPr>
        <w:t>Mr Ciocchetti’s</w:t>
      </w:r>
      <w:r w:rsidR="00593D4F" w:rsidRPr="00A55F3A">
        <w:rPr>
          <w:rStyle w:val="Carpredefinitoparagrafo"/>
          <w:rFonts w:ascii="Garamond" w:hAnsi="Garamond" w:cs="Times New Roman"/>
          <w:sz w:val="22"/>
          <w:szCs w:val="22"/>
        </w:rPr>
        <w:t xml:space="preserve"> right to privacy with</w:t>
      </w:r>
      <w:r w:rsidR="002D48D2" w:rsidRPr="00A55F3A">
        <w:rPr>
          <w:rStyle w:val="Carpredefinitoparagrafo"/>
          <w:rFonts w:ascii="Garamond" w:hAnsi="Garamond" w:cs="Times New Roman"/>
          <w:sz w:val="22"/>
          <w:szCs w:val="22"/>
        </w:rPr>
        <w:t xml:space="preserve"> the</w:t>
      </w:r>
      <w:r w:rsidR="00593D4F" w:rsidRPr="00A55F3A">
        <w:rPr>
          <w:rStyle w:val="Carpredefinitoparagrafo"/>
          <w:rFonts w:ascii="Garamond" w:hAnsi="Garamond" w:cs="Times New Roman"/>
          <w:sz w:val="22"/>
          <w:szCs w:val="22"/>
        </w:rPr>
        <w:t xml:space="preserve"> potential negative impact on Fiat’s right to defend its claim in court. The </w:t>
      </w:r>
      <w:r w:rsidR="00593D4F" w:rsidRPr="00A55F3A">
        <w:rPr>
          <w:rStyle w:val="Carpredefinitoparagrafo"/>
          <w:rFonts w:ascii="Garamond" w:hAnsi="Garamond" w:cs="Times New Roman"/>
          <w:sz w:val="22"/>
          <w:szCs w:val="22"/>
        </w:rPr>
        <w:lastRenderedPageBreak/>
        <w:t xml:space="preserve">advantage of this practice, by way of comparison </w:t>
      </w:r>
      <w:r w:rsidR="004A62D8" w:rsidRPr="00A55F3A">
        <w:rPr>
          <w:rStyle w:val="Carpredefinitoparagrafo"/>
          <w:rFonts w:ascii="Garamond" w:hAnsi="Garamond" w:cs="Times New Roman"/>
          <w:sz w:val="22"/>
          <w:szCs w:val="22"/>
        </w:rPr>
        <w:t xml:space="preserve">to </w:t>
      </w:r>
      <w:r w:rsidR="00593D4F" w:rsidRPr="00A55F3A">
        <w:rPr>
          <w:rStyle w:val="Carpredefinitoparagrafo"/>
          <w:rFonts w:ascii="Garamond" w:hAnsi="Garamond" w:cs="Times New Roman"/>
          <w:sz w:val="22"/>
          <w:szCs w:val="22"/>
        </w:rPr>
        <w:t xml:space="preserve">the reliance on the criterion </w:t>
      </w:r>
      <w:r w:rsidR="002D48D2" w:rsidRPr="00A55F3A">
        <w:rPr>
          <w:rStyle w:val="Carpredefinitoparagrafo"/>
          <w:rFonts w:ascii="Garamond" w:hAnsi="Garamond" w:cs="Times New Roman"/>
          <w:sz w:val="22"/>
          <w:szCs w:val="22"/>
        </w:rPr>
        <w:t xml:space="preserve">of </w:t>
      </w:r>
      <w:r w:rsidR="007D2A52"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outrageous violation</w:t>
      </w:r>
      <w:r w:rsidR="007D2A52"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 xml:space="preserve"> adopted in </w:t>
      </w:r>
      <w:r w:rsidR="003711AD" w:rsidRPr="00A55F3A">
        <w:rPr>
          <w:rStyle w:val="Carpredefinitoparagrafo"/>
          <w:rFonts w:ascii="Garamond" w:hAnsi="Garamond" w:cs="Times New Roman"/>
          <w:i/>
          <w:sz w:val="22"/>
          <w:szCs w:val="22"/>
        </w:rPr>
        <w:t>Jones</w:t>
      </w:r>
      <w:r w:rsidR="00C10272" w:rsidRPr="00A55F3A">
        <w:rPr>
          <w:rStyle w:val="Carpredefinitoparagrafo"/>
          <w:rFonts w:ascii="Garamond" w:hAnsi="Garamond" w:cs="Times New Roman"/>
          <w:sz w:val="22"/>
          <w:szCs w:val="22"/>
        </w:rPr>
        <w:t xml:space="preserve"> v </w:t>
      </w:r>
      <w:r w:rsidR="003711AD" w:rsidRPr="00A55F3A">
        <w:rPr>
          <w:rStyle w:val="Carpredefinitoparagrafo"/>
          <w:rFonts w:ascii="Garamond" w:hAnsi="Garamond" w:cs="Times New Roman"/>
          <w:i/>
          <w:sz w:val="22"/>
          <w:szCs w:val="22"/>
        </w:rPr>
        <w:t>University of Warwick</w:t>
      </w:r>
      <w:r w:rsidR="00593D4F" w:rsidRPr="00A55F3A">
        <w:rPr>
          <w:rStyle w:val="Carpredefinitoparagrafo"/>
          <w:rFonts w:ascii="Garamond" w:hAnsi="Garamond" w:cs="Times New Roman"/>
          <w:sz w:val="22"/>
          <w:szCs w:val="22"/>
        </w:rPr>
        <w:t>, is an increase</w:t>
      </w:r>
      <w:r w:rsidR="002D48D2" w:rsidRPr="00A55F3A">
        <w:rPr>
          <w:rStyle w:val="Carpredefinitoparagrafo"/>
          <w:rFonts w:ascii="Garamond" w:hAnsi="Garamond" w:cs="Times New Roman"/>
          <w:sz w:val="22"/>
          <w:szCs w:val="22"/>
        </w:rPr>
        <w:t>d</w:t>
      </w:r>
      <w:r w:rsidR="00593D4F" w:rsidRPr="00A55F3A">
        <w:rPr>
          <w:rStyle w:val="Carpredefinitoparagrafo"/>
          <w:rFonts w:ascii="Garamond" w:hAnsi="Garamond" w:cs="Times New Roman"/>
          <w:sz w:val="22"/>
          <w:szCs w:val="22"/>
        </w:rPr>
        <w:t xml:space="preserve"> consideration of </w:t>
      </w:r>
      <w:r w:rsidR="002D48D2" w:rsidRPr="00A55F3A">
        <w:rPr>
          <w:rStyle w:val="Carpredefinitoparagrafo"/>
          <w:rFonts w:ascii="Garamond" w:hAnsi="Garamond" w:cs="Times New Roman"/>
          <w:sz w:val="22"/>
          <w:szCs w:val="22"/>
        </w:rPr>
        <w:t>Mr Ciocchetti’s privacy</w:t>
      </w:r>
      <w:r w:rsidR="00593D4F" w:rsidRPr="00A55F3A">
        <w:rPr>
          <w:rStyle w:val="Carpredefinitoparagrafo"/>
          <w:rFonts w:ascii="Garamond" w:hAnsi="Garamond" w:cs="Times New Roman"/>
          <w:sz w:val="22"/>
          <w:szCs w:val="22"/>
        </w:rPr>
        <w:t xml:space="preserve">. The Tribunal of Torino accepted, for instance, only the limitation </w:t>
      </w:r>
      <w:r w:rsidR="002D48D2" w:rsidRPr="00A55F3A">
        <w:rPr>
          <w:rStyle w:val="Carpredefinitoparagrafo"/>
          <w:rFonts w:ascii="Garamond" w:hAnsi="Garamond" w:cs="Times New Roman"/>
          <w:sz w:val="22"/>
          <w:szCs w:val="22"/>
        </w:rPr>
        <w:t xml:space="preserve">of </w:t>
      </w:r>
      <w:r w:rsidR="00AB5488" w:rsidRPr="00A55F3A">
        <w:rPr>
          <w:rStyle w:val="Carpredefinitoparagrafo"/>
          <w:rFonts w:ascii="Garamond" w:hAnsi="Garamond" w:cs="Times New Roman"/>
          <w:sz w:val="22"/>
          <w:szCs w:val="22"/>
        </w:rPr>
        <w:t>Mr</w:t>
      </w:r>
      <w:r w:rsidR="00593D4F" w:rsidRPr="00A55F3A">
        <w:rPr>
          <w:rStyle w:val="Carpredefinitoparagrafo"/>
          <w:rFonts w:ascii="Garamond" w:hAnsi="Garamond" w:cs="Times New Roman"/>
          <w:sz w:val="22"/>
          <w:szCs w:val="22"/>
        </w:rPr>
        <w:t xml:space="preserve"> Ciocchetti’s right to privacy that allowed Fiat Auto to prepare a reasonable defense of it</w:t>
      </w:r>
      <w:r w:rsidR="002D48D2" w:rsidRPr="00A55F3A">
        <w:rPr>
          <w:rStyle w:val="Carpredefinitoparagrafo"/>
          <w:rFonts w:ascii="Garamond" w:hAnsi="Garamond" w:cs="Times New Roman"/>
          <w:sz w:val="22"/>
          <w:szCs w:val="22"/>
        </w:rPr>
        <w:t xml:space="preserve">s claim in court. In practice, </w:t>
      </w:r>
      <w:r w:rsidR="00593D4F" w:rsidRPr="00A55F3A">
        <w:rPr>
          <w:rStyle w:val="Carpredefinitoparagrafo"/>
          <w:rFonts w:ascii="Garamond" w:hAnsi="Garamond" w:cs="Times New Roman"/>
          <w:sz w:val="22"/>
          <w:szCs w:val="22"/>
        </w:rPr>
        <w:t xml:space="preserve">the Tribunal of Torino allowed the </w:t>
      </w:r>
      <w:r w:rsidR="00AE5AD3" w:rsidRPr="00A55F3A">
        <w:rPr>
          <w:rStyle w:val="Carpredefinitoparagrafo"/>
          <w:rFonts w:ascii="Garamond" w:hAnsi="Garamond" w:cs="Times New Roman"/>
          <w:sz w:val="22"/>
          <w:szCs w:val="22"/>
        </w:rPr>
        <w:t>e</w:t>
      </w:r>
      <w:r w:rsidR="00291400" w:rsidRPr="00A55F3A">
        <w:rPr>
          <w:rStyle w:val="Carpredefinitoparagrafo"/>
          <w:rFonts w:ascii="Garamond" w:hAnsi="Garamond" w:cs="Times New Roman"/>
          <w:sz w:val="22"/>
          <w:szCs w:val="22"/>
        </w:rPr>
        <w:t>vidence</w:t>
      </w:r>
      <w:r w:rsidR="00593D4F" w:rsidRPr="00A55F3A">
        <w:rPr>
          <w:rStyle w:val="Carpredefinitoparagrafo"/>
          <w:rFonts w:ascii="Garamond" w:hAnsi="Garamond" w:cs="Times New Roman"/>
          <w:sz w:val="22"/>
          <w:szCs w:val="22"/>
        </w:rPr>
        <w:t xml:space="preserve"> that proved a private use of the company laptop (</w:t>
      </w:r>
      <w:r w:rsidR="00691E3E">
        <w:rPr>
          <w:rStyle w:val="Carpredefinitoparagrafo"/>
          <w:rFonts w:ascii="Garamond" w:hAnsi="Garamond" w:cs="Times New Roman"/>
          <w:sz w:val="22"/>
          <w:szCs w:val="22"/>
        </w:rPr>
        <w:t xml:space="preserve">ie </w:t>
      </w:r>
      <w:r w:rsidR="007D2A52" w:rsidRPr="00A55F3A">
        <w:rPr>
          <w:rStyle w:val="Carpredefinitoparagrafo"/>
          <w:rFonts w:ascii="Garamond" w:hAnsi="Garamond" w:cs="Times New Roman"/>
          <w:sz w:val="22"/>
          <w:szCs w:val="22"/>
        </w:rPr>
        <w:t>traces</w:t>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 xml:space="preserve">of </w:t>
      </w:r>
      <w:r w:rsidRPr="00A55F3A">
        <w:rPr>
          <w:rStyle w:val="Carpredefinitoparagrafo"/>
          <w:rFonts w:ascii="Garamond" w:hAnsi="Garamond" w:cs="Times New Roman"/>
          <w:sz w:val="22"/>
          <w:szCs w:val="22"/>
        </w:rPr>
        <w:t>pornographic material</w:t>
      </w:r>
      <w:r w:rsidR="00593D4F" w:rsidRPr="00A55F3A">
        <w:rPr>
          <w:rStyle w:val="Carpredefinitoparagrafo"/>
          <w:rFonts w:ascii="Garamond" w:hAnsi="Garamond" w:cs="Times New Roman"/>
          <w:sz w:val="22"/>
          <w:szCs w:val="22"/>
        </w:rPr>
        <w:t xml:space="preserve"> </w:t>
      </w:r>
      <w:r w:rsidR="004439BD" w:rsidRPr="00A55F3A">
        <w:rPr>
          <w:rStyle w:val="Carpredefinitoparagrafo"/>
          <w:rFonts w:ascii="Garamond" w:hAnsi="Garamond" w:cs="Times New Roman"/>
          <w:sz w:val="22"/>
          <w:szCs w:val="22"/>
        </w:rPr>
        <w:t xml:space="preserve">in the </w:t>
      </w:r>
      <w:r w:rsidR="00593D4F" w:rsidRPr="00A55F3A">
        <w:rPr>
          <w:rStyle w:val="Carpredefinitoparagrafo"/>
          <w:rFonts w:ascii="Garamond" w:hAnsi="Garamond" w:cs="Times New Roman"/>
          <w:sz w:val="22"/>
          <w:szCs w:val="22"/>
        </w:rPr>
        <w:t>private folder</w:t>
      </w:r>
      <w:r w:rsidR="007D2A52" w:rsidRPr="00A55F3A">
        <w:rPr>
          <w:rStyle w:val="Carpredefinitoparagrafo"/>
          <w:rFonts w:ascii="Garamond" w:hAnsi="Garamond" w:cs="Times New Roman"/>
          <w:sz w:val="22"/>
          <w:szCs w:val="22"/>
        </w:rPr>
        <w:t xml:space="preserve"> </w:t>
      </w:r>
      <w:r w:rsidR="004439BD" w:rsidRPr="00A55F3A">
        <w:rPr>
          <w:rStyle w:val="Carpredefinitoparagrafo"/>
          <w:rFonts w:ascii="Garamond" w:hAnsi="Garamond" w:cs="Times New Roman"/>
          <w:sz w:val="22"/>
          <w:szCs w:val="22"/>
        </w:rPr>
        <w:t>of the company laptop</w:t>
      </w:r>
      <w:r w:rsidR="00593D4F" w:rsidRPr="00A55F3A">
        <w:rPr>
          <w:rStyle w:val="Carpredefinitoparagrafo"/>
          <w:rFonts w:ascii="Garamond" w:hAnsi="Garamond" w:cs="Times New Roman"/>
          <w:sz w:val="22"/>
          <w:szCs w:val="22"/>
        </w:rPr>
        <w:t>) that supported the decision to dismiss a dishonest employee</w:t>
      </w:r>
      <w:r w:rsidR="004A62D8"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 xml:space="preserve"> not a substantive</w:t>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 xml:space="preserve">analysis of the type of </w:t>
      </w:r>
      <w:r w:rsidR="00AE5AD3" w:rsidRPr="00A55F3A">
        <w:rPr>
          <w:rStyle w:val="Carpredefinitoparagrafo"/>
          <w:rFonts w:ascii="Garamond" w:hAnsi="Garamond" w:cs="Times New Roman"/>
          <w:sz w:val="22"/>
          <w:szCs w:val="22"/>
        </w:rPr>
        <w:t>e</w:t>
      </w:r>
      <w:r w:rsidR="00291400" w:rsidRPr="00A55F3A">
        <w:rPr>
          <w:rStyle w:val="Carpredefinitoparagrafo"/>
          <w:rFonts w:ascii="Garamond" w:hAnsi="Garamond" w:cs="Times New Roman"/>
          <w:sz w:val="22"/>
          <w:szCs w:val="22"/>
        </w:rPr>
        <w:t>vidence</w:t>
      </w:r>
      <w:r w:rsidR="00593D4F" w:rsidRPr="00A55F3A">
        <w:rPr>
          <w:rStyle w:val="Carpredefinitoparagrafo"/>
          <w:rFonts w:ascii="Garamond" w:hAnsi="Garamond" w:cs="Times New Roman"/>
          <w:sz w:val="22"/>
          <w:szCs w:val="22"/>
        </w:rPr>
        <w:t xml:space="preserve">. </w:t>
      </w:r>
    </w:p>
    <w:p w14:paraId="599F3C2B" w14:textId="5B6850B1" w:rsidR="00605CE2" w:rsidRPr="00A55F3A" w:rsidRDefault="00593D4F" w:rsidP="00A55F3A">
      <w:pPr>
        <w:pStyle w:val="Standard"/>
        <w:spacing w:line="480" w:lineRule="auto"/>
        <w:rPr>
          <w:rFonts w:ascii="Garamond" w:hAnsi="Garamond"/>
          <w:sz w:val="22"/>
          <w:szCs w:val="22"/>
        </w:rPr>
      </w:pPr>
      <w:r w:rsidRPr="00A55F3A">
        <w:rPr>
          <w:rStyle w:val="Carpredefinitoparagrafo"/>
          <w:rFonts w:ascii="Garamond" w:hAnsi="Garamond" w:cs="Times New Roman"/>
          <w:sz w:val="22"/>
          <w:szCs w:val="22"/>
        </w:rPr>
        <w:t xml:space="preserve">The differences between the </w:t>
      </w:r>
      <w:r w:rsidR="00584F92" w:rsidRPr="00A55F3A">
        <w:rPr>
          <w:rStyle w:val="Carpredefinitoparagrafo"/>
          <w:rFonts w:ascii="Garamond" w:hAnsi="Garamond" w:cs="Times New Roman"/>
          <w:sz w:val="22"/>
          <w:szCs w:val="22"/>
        </w:rPr>
        <w:t>Eng</w:t>
      </w:r>
      <w:r w:rsidR="002D48D2" w:rsidRPr="00A55F3A">
        <w:rPr>
          <w:rStyle w:val="Carpredefinitoparagrafo"/>
          <w:rFonts w:ascii="Garamond" w:hAnsi="Garamond" w:cs="Times New Roman"/>
          <w:sz w:val="22"/>
          <w:szCs w:val="22"/>
        </w:rPr>
        <w:t>l</w:t>
      </w:r>
      <w:r w:rsidR="00584F92" w:rsidRPr="00A55F3A">
        <w:rPr>
          <w:rStyle w:val="Carpredefinitoparagrafo"/>
          <w:rFonts w:ascii="Garamond" w:hAnsi="Garamond" w:cs="Times New Roman"/>
          <w:sz w:val="22"/>
          <w:szCs w:val="22"/>
        </w:rPr>
        <w:t xml:space="preserve">ish </w:t>
      </w:r>
      <w:r w:rsidR="00D13877">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and the Italian assessment process is a matter of degree and, as mentioned earl</w:t>
      </w:r>
      <w:r w:rsidR="004A62D8" w:rsidRPr="00A55F3A">
        <w:rPr>
          <w:rStyle w:val="Carpredefinitoparagrafo"/>
          <w:rFonts w:ascii="Garamond" w:hAnsi="Garamond" w:cs="Times New Roman"/>
          <w:sz w:val="22"/>
          <w:szCs w:val="22"/>
        </w:rPr>
        <w:t>ier</w:t>
      </w:r>
      <w:r w:rsidRPr="00A55F3A">
        <w:rPr>
          <w:rStyle w:val="Carpredefinitoparagrafo"/>
          <w:rFonts w:ascii="Garamond" w:hAnsi="Garamond" w:cs="Times New Roman"/>
          <w:sz w:val="22"/>
          <w:szCs w:val="22"/>
        </w:rPr>
        <w:t xml:space="preserve">, the main decision </w:t>
      </w:r>
      <w:r w:rsidR="002D48D2" w:rsidRPr="00A55F3A">
        <w:rPr>
          <w:rStyle w:val="Carpredefinitoparagrafo"/>
          <w:rFonts w:ascii="Garamond" w:hAnsi="Garamond" w:cs="Times New Roman"/>
          <w:sz w:val="22"/>
          <w:szCs w:val="22"/>
        </w:rPr>
        <w:t xml:space="preserve">in </w:t>
      </w:r>
      <w:r w:rsidRPr="00A55F3A">
        <w:rPr>
          <w:rStyle w:val="Carpredefinitoparagrafo"/>
          <w:rFonts w:ascii="Garamond" w:hAnsi="Garamond" w:cs="Times New Roman"/>
          <w:i/>
          <w:sz w:val="22"/>
          <w:szCs w:val="22"/>
        </w:rPr>
        <w:t>Ciocchetti</w:t>
      </w:r>
      <w:r w:rsidRPr="00A55F3A">
        <w:rPr>
          <w:rStyle w:val="Carpredefinitoparagrafo"/>
          <w:rFonts w:ascii="Garamond" w:hAnsi="Garamond" w:cs="Times New Roman"/>
          <w:sz w:val="22"/>
          <w:szCs w:val="22"/>
        </w:rPr>
        <w:t xml:space="preserve"> v </w:t>
      </w:r>
      <w:r w:rsidRPr="00A55F3A">
        <w:rPr>
          <w:rStyle w:val="Carpredefinitoparagrafo"/>
          <w:rFonts w:ascii="Garamond" w:hAnsi="Garamond" w:cs="Times New Roman"/>
          <w:i/>
          <w:sz w:val="22"/>
          <w:szCs w:val="22"/>
        </w:rPr>
        <w:t>Fiat Auto</w:t>
      </w:r>
      <w:r w:rsidRPr="00A55F3A">
        <w:rPr>
          <w:rStyle w:val="Carpredefinitoparagrafo"/>
          <w:rFonts w:ascii="Garamond" w:hAnsi="Garamond" w:cs="Times New Roman"/>
          <w:sz w:val="22"/>
          <w:szCs w:val="22"/>
        </w:rPr>
        <w:t xml:space="preserve"> might have been the same in </w:t>
      </w:r>
      <w:r w:rsidR="007D2A52" w:rsidRPr="00A55F3A">
        <w:rPr>
          <w:rStyle w:val="Carpredefinitoparagrafo"/>
          <w:rFonts w:ascii="Garamond" w:hAnsi="Garamond" w:cs="Times New Roman"/>
          <w:sz w:val="22"/>
          <w:szCs w:val="22"/>
        </w:rPr>
        <w:t>English</w:t>
      </w:r>
      <w:r w:rsidR="003567BF" w:rsidRPr="00A55F3A">
        <w:rPr>
          <w:rStyle w:val="Carpredefinitoparagrafo"/>
          <w:rFonts w:ascii="Garamond" w:hAnsi="Garamond" w:cs="Times New Roman"/>
          <w:sz w:val="22"/>
          <w:szCs w:val="22"/>
        </w:rPr>
        <w:t xml:space="preserve"> </w:t>
      </w:r>
      <w:r w:rsidR="007D2A52" w:rsidRPr="00A55F3A">
        <w:rPr>
          <w:rStyle w:val="Carpredefinitoparagrafo"/>
          <w:rFonts w:ascii="Garamond" w:hAnsi="Garamond" w:cs="Times New Roman"/>
          <w:sz w:val="22"/>
          <w:szCs w:val="22"/>
        </w:rPr>
        <w:t>or</w:t>
      </w:r>
      <w:r w:rsidR="003567BF" w:rsidRPr="00A55F3A">
        <w:rPr>
          <w:rStyle w:val="Carpredefinitoparagrafo"/>
          <w:rFonts w:ascii="Garamond" w:hAnsi="Garamond" w:cs="Times New Roman"/>
          <w:sz w:val="22"/>
          <w:szCs w:val="22"/>
        </w:rPr>
        <w:t xml:space="preserve"> </w:t>
      </w:r>
      <w:r w:rsidR="007D2A52" w:rsidRPr="00A55F3A">
        <w:rPr>
          <w:rStyle w:val="Carpredefinitoparagrafo"/>
          <w:rFonts w:ascii="Garamond" w:hAnsi="Garamond" w:cs="Times New Roman"/>
          <w:sz w:val="22"/>
          <w:szCs w:val="22"/>
        </w:rPr>
        <w:t>Welsh court</w:t>
      </w:r>
      <w:r w:rsidRPr="00A55F3A">
        <w:rPr>
          <w:rStyle w:val="Carpredefinitoparagrafo"/>
          <w:rFonts w:ascii="Garamond" w:hAnsi="Garamond" w:cs="Times New Roman"/>
          <w:sz w:val="22"/>
          <w:szCs w:val="22"/>
        </w:rPr>
        <w:t>. However, there are strong indications</w:t>
      </w:r>
      <w:r w:rsidR="002D48D2"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from a comparison of the two </w:t>
      </w:r>
      <w:r w:rsidR="00AB5488" w:rsidRPr="00A55F3A">
        <w:rPr>
          <w:rStyle w:val="Carpredefinitoparagrafo"/>
          <w:rFonts w:ascii="Garamond" w:hAnsi="Garamond" w:cs="Times New Roman"/>
          <w:sz w:val="22"/>
          <w:szCs w:val="22"/>
        </w:rPr>
        <w:t>regimes</w:t>
      </w:r>
      <w:r w:rsidRPr="00A55F3A">
        <w:rPr>
          <w:rStyle w:val="Carpredefinitoparagrafo"/>
          <w:rFonts w:ascii="Garamond" w:hAnsi="Garamond" w:cs="Times New Roman"/>
          <w:sz w:val="22"/>
          <w:szCs w:val="22"/>
        </w:rPr>
        <w:t xml:space="preserve"> of </w:t>
      </w:r>
      <w:r w:rsidR="00291400" w:rsidRPr="00A55F3A">
        <w:rPr>
          <w:rStyle w:val="Carpredefinitoparagrafo"/>
          <w:rFonts w:ascii="Garamond" w:hAnsi="Garamond" w:cs="Times New Roman"/>
          <w:sz w:val="22"/>
          <w:szCs w:val="22"/>
        </w:rPr>
        <w:t>IOE</w:t>
      </w:r>
      <w:r w:rsidR="002D48D2"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that a balancing </w:t>
      </w:r>
      <w:r w:rsidR="002D48D2" w:rsidRPr="00A55F3A">
        <w:rPr>
          <w:rStyle w:val="Carpredefinitoparagrafo"/>
          <w:rFonts w:ascii="Garamond" w:hAnsi="Garamond" w:cs="Times New Roman"/>
          <w:sz w:val="22"/>
          <w:szCs w:val="22"/>
        </w:rPr>
        <w:t xml:space="preserve">of </w:t>
      </w:r>
      <w:r w:rsidRPr="00A55F3A">
        <w:rPr>
          <w:rStyle w:val="Carpredefinitoparagrafo"/>
          <w:rFonts w:ascii="Garamond" w:hAnsi="Garamond" w:cs="Times New Roman"/>
          <w:sz w:val="22"/>
          <w:szCs w:val="22"/>
        </w:rPr>
        <w:t xml:space="preserve">Ciocchetti’s privacy has received a </w:t>
      </w:r>
      <w:r w:rsidR="004439BD" w:rsidRPr="00A55F3A">
        <w:rPr>
          <w:rStyle w:val="Carpredefinitoparagrafo"/>
          <w:rFonts w:ascii="Garamond" w:hAnsi="Garamond" w:cs="Times New Roman"/>
          <w:sz w:val="22"/>
          <w:szCs w:val="22"/>
        </w:rPr>
        <w:t>higher</w:t>
      </w:r>
      <w:r w:rsidRPr="00A55F3A">
        <w:rPr>
          <w:rStyle w:val="Carpredefinitoparagrafo"/>
          <w:rFonts w:ascii="Garamond" w:hAnsi="Garamond" w:cs="Times New Roman"/>
          <w:sz w:val="22"/>
          <w:szCs w:val="22"/>
        </w:rPr>
        <w:t xml:space="preserve"> level of protection without interfering with the fair adjudication of the main issue of the case. </w:t>
      </w:r>
    </w:p>
    <w:p w14:paraId="056B008D" w14:textId="6F4BFF6F" w:rsidR="00605CE2" w:rsidRPr="00A55F3A" w:rsidRDefault="00424093" w:rsidP="00A55F3A">
      <w:pPr>
        <w:pStyle w:val="Standard"/>
        <w:spacing w:line="480" w:lineRule="auto"/>
        <w:rPr>
          <w:rFonts w:ascii="Garamond" w:hAnsi="Garamond"/>
          <w:sz w:val="22"/>
          <w:szCs w:val="22"/>
        </w:rPr>
      </w:pPr>
      <w:r w:rsidRPr="00A55F3A">
        <w:rPr>
          <w:rStyle w:val="Carpredefinitoparagrafo"/>
          <w:rFonts w:ascii="Garamond" w:hAnsi="Garamond" w:cs="Times New Roman"/>
          <w:sz w:val="22"/>
          <w:szCs w:val="22"/>
        </w:rPr>
        <w:t>The</w:t>
      </w:r>
      <w:r w:rsidR="00593D4F" w:rsidRPr="00A55F3A">
        <w:rPr>
          <w:rStyle w:val="Carpredefinitoparagrafo"/>
          <w:rFonts w:ascii="Garamond" w:hAnsi="Garamond" w:cs="Times New Roman"/>
          <w:sz w:val="22"/>
          <w:szCs w:val="22"/>
        </w:rPr>
        <w:t xml:space="preserve"> practice </w:t>
      </w:r>
      <w:r w:rsidRPr="00A55F3A">
        <w:rPr>
          <w:rStyle w:val="Carpredefinitoparagrafo"/>
          <w:rFonts w:ascii="Garamond" w:hAnsi="Garamond" w:cs="Times New Roman"/>
          <w:sz w:val="22"/>
          <w:szCs w:val="22"/>
        </w:rPr>
        <w:t xml:space="preserve">of </w:t>
      </w:r>
      <w:r w:rsidR="00593D4F" w:rsidRPr="00A55F3A">
        <w:rPr>
          <w:rStyle w:val="Carpredefinitoparagrafo"/>
          <w:rFonts w:ascii="Garamond" w:hAnsi="Garamond" w:cs="Times New Roman"/>
          <w:sz w:val="22"/>
          <w:szCs w:val="22"/>
        </w:rPr>
        <w:t>balanc</w:t>
      </w:r>
      <w:r w:rsidRPr="00A55F3A">
        <w:rPr>
          <w:rStyle w:val="Carpredefinitoparagrafo"/>
          <w:rFonts w:ascii="Garamond" w:hAnsi="Garamond" w:cs="Times New Roman"/>
          <w:sz w:val="22"/>
          <w:szCs w:val="22"/>
        </w:rPr>
        <w:t>ing</w:t>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the requirement of justice</w:t>
      </w:r>
      <w:r w:rsidR="007D2A52"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 xml:space="preserve"> without making rights </w:t>
      </w:r>
      <w:r w:rsidRPr="00A55F3A">
        <w:rPr>
          <w:rStyle w:val="Carpredefinitoparagrafo"/>
          <w:rFonts w:ascii="Garamond" w:hAnsi="Garamond" w:cs="Times New Roman"/>
          <w:sz w:val="22"/>
          <w:szCs w:val="22"/>
        </w:rPr>
        <w:t xml:space="preserve">semantic structure with </w:t>
      </w:r>
      <w:r w:rsidR="00593D4F" w:rsidRPr="00A55F3A">
        <w:rPr>
          <w:rStyle w:val="Carpredefinitoparagrafo"/>
          <w:rFonts w:ascii="Garamond" w:hAnsi="Garamond" w:cs="Times New Roman"/>
          <w:sz w:val="22"/>
          <w:szCs w:val="22"/>
        </w:rPr>
        <w:t>hollow</w:t>
      </w:r>
      <w:r w:rsidRPr="00A55F3A">
        <w:rPr>
          <w:rStyle w:val="Carpredefinitoparagrafo"/>
          <w:rFonts w:ascii="Garamond" w:hAnsi="Garamond" w:cs="Times New Roman"/>
          <w:sz w:val="22"/>
          <w:szCs w:val="22"/>
        </w:rPr>
        <w:t xml:space="preserve"> substance</w:t>
      </w:r>
      <w:r w:rsidR="007D2A52" w:rsidRPr="00A55F3A">
        <w:rPr>
          <w:rStyle w:val="Carpredefinitoparagrafo"/>
          <w:rFonts w:ascii="Garamond" w:hAnsi="Garamond" w:cs="Times New Roman"/>
          <w:sz w:val="22"/>
          <w:szCs w:val="22"/>
        </w:rPr>
        <w:t>,</w:t>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 xml:space="preserve">might be quite attractive to the </w:t>
      </w:r>
      <w:r w:rsidR="00584F92" w:rsidRPr="00A55F3A">
        <w:rPr>
          <w:rStyle w:val="Carpredefinitoparagrafo"/>
          <w:rFonts w:ascii="Garamond" w:hAnsi="Garamond" w:cs="Times New Roman"/>
          <w:sz w:val="22"/>
          <w:szCs w:val="22"/>
        </w:rPr>
        <w:t>Eng</w:t>
      </w:r>
      <w:r w:rsidR="006647D8" w:rsidRPr="00A55F3A">
        <w:rPr>
          <w:rStyle w:val="Carpredefinitoparagrafo"/>
          <w:rFonts w:ascii="Garamond" w:hAnsi="Garamond" w:cs="Times New Roman"/>
          <w:sz w:val="22"/>
          <w:szCs w:val="22"/>
        </w:rPr>
        <w:t>l</w:t>
      </w:r>
      <w:r w:rsidR="00584F92" w:rsidRPr="00A55F3A">
        <w:rPr>
          <w:rStyle w:val="Carpredefinitoparagrafo"/>
          <w:rFonts w:ascii="Garamond" w:hAnsi="Garamond" w:cs="Times New Roman"/>
          <w:sz w:val="22"/>
          <w:szCs w:val="22"/>
        </w:rPr>
        <w:t xml:space="preserve">ish </w:t>
      </w:r>
      <w:r w:rsidR="00D13877">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jurisprudence. For instance</w:t>
      </w:r>
      <w:r w:rsidRPr="00A55F3A">
        <w:rPr>
          <w:rStyle w:val="Carpredefinitoparagrafo"/>
          <w:rFonts w:ascii="Garamond" w:hAnsi="Garamond" w:cs="Times New Roman"/>
          <w:sz w:val="22"/>
          <w:szCs w:val="22"/>
        </w:rPr>
        <w:t>,</w:t>
      </w:r>
      <w:r w:rsidR="00593D4F" w:rsidRPr="00A55F3A">
        <w:rPr>
          <w:rStyle w:val="Carpredefinitoparagrafo"/>
          <w:rFonts w:ascii="Garamond" w:hAnsi="Garamond" w:cs="Times New Roman"/>
          <w:sz w:val="22"/>
          <w:szCs w:val="22"/>
        </w:rPr>
        <w:t xml:space="preserve"> in</w:t>
      </w:r>
      <w:r w:rsidR="006647D8" w:rsidRPr="00A55F3A">
        <w:rPr>
          <w:rStyle w:val="Carpredefinitoparagrafo"/>
          <w:rFonts w:ascii="Garamond" w:hAnsi="Garamond" w:cs="Times New Roman"/>
          <w:sz w:val="22"/>
          <w:szCs w:val="22"/>
        </w:rPr>
        <w:t xml:space="preserve"> a</w:t>
      </w:r>
      <w:r w:rsidR="00593D4F" w:rsidRPr="00A55F3A">
        <w:rPr>
          <w:rStyle w:val="Carpredefinitoparagrafo"/>
          <w:rFonts w:ascii="Garamond" w:hAnsi="Garamond" w:cs="Times New Roman"/>
          <w:sz w:val="22"/>
          <w:szCs w:val="22"/>
        </w:rPr>
        <w:t xml:space="preserve"> speculative analysis of what might have been the effect</w:t>
      </w:r>
      <w:r w:rsidR="006647D8" w:rsidRPr="00A55F3A">
        <w:rPr>
          <w:rStyle w:val="Carpredefinitoparagrafo"/>
          <w:rFonts w:ascii="Garamond" w:hAnsi="Garamond" w:cs="Times New Roman"/>
          <w:sz w:val="22"/>
          <w:szCs w:val="22"/>
        </w:rPr>
        <w:t xml:space="preserve"> of</w:t>
      </w:r>
      <w:r w:rsidR="00593D4F" w:rsidRPr="00A55F3A">
        <w:rPr>
          <w:rStyle w:val="Carpredefinitoparagrafo"/>
          <w:rFonts w:ascii="Garamond" w:hAnsi="Garamond" w:cs="Times New Roman"/>
          <w:sz w:val="22"/>
          <w:szCs w:val="22"/>
        </w:rPr>
        <w:t xml:space="preserve"> balancing</w:t>
      </w:r>
      <w:r w:rsidR="006647D8" w:rsidRPr="00A55F3A">
        <w:rPr>
          <w:rStyle w:val="Carpredefinitoparagrafo"/>
          <w:rFonts w:ascii="Garamond" w:hAnsi="Garamond" w:cs="Times New Roman"/>
          <w:sz w:val="22"/>
          <w:szCs w:val="22"/>
        </w:rPr>
        <w:t xml:space="preserve"> Miss Jones’ </w:t>
      </w:r>
      <w:r w:rsidR="00593D4F" w:rsidRPr="00A55F3A">
        <w:rPr>
          <w:rStyle w:val="Carpredefinitoparagrafo"/>
          <w:rFonts w:ascii="Garamond" w:hAnsi="Garamond" w:cs="Times New Roman"/>
          <w:sz w:val="22"/>
          <w:szCs w:val="22"/>
        </w:rPr>
        <w:t xml:space="preserve">right to </w:t>
      </w:r>
      <w:r w:rsidR="004C6605" w:rsidRPr="00A55F3A">
        <w:rPr>
          <w:rStyle w:val="Carpredefinitoparagrafo"/>
          <w:rFonts w:ascii="Garamond" w:hAnsi="Garamond" w:cs="Times New Roman"/>
          <w:sz w:val="22"/>
          <w:szCs w:val="22"/>
        </w:rPr>
        <w:t>privacy</w:t>
      </w:r>
      <w:r w:rsidR="00593D4F" w:rsidRPr="00A55F3A">
        <w:rPr>
          <w:rStyle w:val="Carpredefinitoparagrafo"/>
          <w:rFonts w:ascii="Garamond" w:hAnsi="Garamond" w:cs="Times New Roman"/>
          <w:sz w:val="22"/>
          <w:szCs w:val="22"/>
        </w:rPr>
        <w:t xml:space="preserve"> with the right of the University of Warwick to defen</w:t>
      </w:r>
      <w:r w:rsidR="006647D8" w:rsidRPr="00A55F3A">
        <w:rPr>
          <w:rStyle w:val="Carpredefinitoparagrafo"/>
          <w:rFonts w:ascii="Garamond" w:hAnsi="Garamond" w:cs="Times New Roman"/>
          <w:sz w:val="22"/>
          <w:szCs w:val="22"/>
        </w:rPr>
        <w:t>d</w:t>
      </w:r>
      <w:r w:rsidR="00593D4F" w:rsidRPr="00A55F3A">
        <w:rPr>
          <w:rStyle w:val="Carpredefinitoparagrafo"/>
          <w:rFonts w:ascii="Garamond" w:hAnsi="Garamond" w:cs="Times New Roman"/>
          <w:sz w:val="22"/>
          <w:szCs w:val="22"/>
        </w:rPr>
        <w:t xml:space="preserve"> its claims in court, </w:t>
      </w:r>
      <w:r w:rsidRPr="00A55F3A">
        <w:rPr>
          <w:rStyle w:val="Carpredefinitoparagrafo"/>
          <w:rFonts w:ascii="Garamond" w:hAnsi="Garamond" w:cs="Times New Roman"/>
          <w:sz w:val="22"/>
          <w:szCs w:val="22"/>
        </w:rPr>
        <w:t xml:space="preserve">the improperly obtained </w:t>
      </w:r>
      <w:r w:rsidR="00593D4F" w:rsidRPr="00A55F3A">
        <w:rPr>
          <w:rStyle w:val="Carpredefinitoparagrafo"/>
          <w:rFonts w:ascii="Garamond" w:hAnsi="Garamond" w:cs="Times New Roman"/>
          <w:sz w:val="22"/>
          <w:szCs w:val="22"/>
        </w:rPr>
        <w:t xml:space="preserve">video </w:t>
      </w:r>
      <w:r w:rsidR="00AE5AD3" w:rsidRPr="00A55F3A">
        <w:rPr>
          <w:rStyle w:val="Carpredefinitoparagrafo"/>
          <w:rFonts w:ascii="Garamond" w:hAnsi="Garamond" w:cs="Times New Roman"/>
          <w:sz w:val="22"/>
          <w:szCs w:val="22"/>
        </w:rPr>
        <w:t>e</w:t>
      </w:r>
      <w:r w:rsidR="00291400" w:rsidRPr="00A55F3A">
        <w:rPr>
          <w:rStyle w:val="Carpredefinitoparagrafo"/>
          <w:rFonts w:ascii="Garamond" w:hAnsi="Garamond" w:cs="Times New Roman"/>
          <w:sz w:val="22"/>
          <w:szCs w:val="22"/>
        </w:rPr>
        <w:t>vidence</w:t>
      </w:r>
      <w:r w:rsidR="00593D4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might be reviewed only by</w:t>
      </w:r>
      <w:r w:rsidR="003567BF" w:rsidRPr="00A55F3A">
        <w:rPr>
          <w:rStyle w:val="Carpredefinitoparagrafo"/>
          <w:rFonts w:ascii="Garamond" w:hAnsi="Garamond" w:cs="Times New Roman"/>
          <w:sz w:val="22"/>
          <w:szCs w:val="22"/>
        </w:rPr>
        <w:t xml:space="preserve"> </w:t>
      </w:r>
      <w:r w:rsidR="00593D4F" w:rsidRPr="00A55F3A">
        <w:rPr>
          <w:rStyle w:val="Carpredefinitoparagrafo"/>
          <w:rFonts w:ascii="Garamond" w:hAnsi="Garamond" w:cs="Times New Roman"/>
          <w:sz w:val="22"/>
          <w:szCs w:val="22"/>
        </w:rPr>
        <w:t>medical experts</w:t>
      </w:r>
      <w:r w:rsidRPr="00A55F3A">
        <w:rPr>
          <w:rStyle w:val="Carpredefinitoparagrafo"/>
          <w:rFonts w:ascii="Garamond" w:hAnsi="Garamond" w:cs="Times New Roman"/>
          <w:sz w:val="22"/>
          <w:szCs w:val="22"/>
        </w:rPr>
        <w:t xml:space="preserve"> (appointed by the</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parties and/or by the court). Obviously</w:t>
      </w:r>
      <w:r w:rsidR="00CB49BA"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havin</w:t>
      </w:r>
      <w:r w:rsidR="006647D8" w:rsidRPr="00A55F3A">
        <w:rPr>
          <w:rStyle w:val="Carpredefinitoparagrafo"/>
          <w:rFonts w:ascii="Garamond" w:hAnsi="Garamond" w:cs="Times New Roman"/>
          <w:sz w:val="22"/>
          <w:szCs w:val="22"/>
        </w:rPr>
        <w:t xml:space="preserve">g experts viewing the </w:t>
      </w:r>
      <w:r w:rsidR="00AE5AD3" w:rsidRPr="00A55F3A">
        <w:rPr>
          <w:rStyle w:val="Carpredefinitoparagrafo"/>
          <w:rFonts w:ascii="Garamond" w:hAnsi="Garamond" w:cs="Times New Roman"/>
          <w:sz w:val="22"/>
          <w:szCs w:val="22"/>
        </w:rPr>
        <w:t>e</w:t>
      </w:r>
      <w:r w:rsidR="00291400" w:rsidRPr="00A55F3A">
        <w:rPr>
          <w:rStyle w:val="Carpredefinitoparagrafo"/>
          <w:rFonts w:ascii="Garamond" w:hAnsi="Garamond" w:cs="Times New Roman"/>
          <w:sz w:val="22"/>
          <w:szCs w:val="22"/>
        </w:rPr>
        <w:t>vidence</w:t>
      </w:r>
      <w:r w:rsidRPr="00A55F3A">
        <w:rPr>
          <w:rStyle w:val="Carpredefinitoparagrafo"/>
          <w:rFonts w:ascii="Garamond" w:hAnsi="Garamond" w:cs="Times New Roman"/>
          <w:sz w:val="22"/>
          <w:szCs w:val="22"/>
        </w:rPr>
        <w:t xml:space="preserve"> would not compensate for a violation of article 8</w:t>
      </w:r>
      <w:r w:rsidR="00CB49BA" w:rsidRPr="00A55F3A">
        <w:rPr>
          <w:rStyle w:val="Carpredefinitoparagrafo"/>
          <w:rFonts w:ascii="Garamond" w:hAnsi="Garamond" w:cs="Times New Roman"/>
          <w:sz w:val="22"/>
          <w:szCs w:val="22"/>
        </w:rPr>
        <w:t>,</w:t>
      </w:r>
      <w:r w:rsidR="00B50D56"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but it</w:t>
      </w:r>
      <w:r w:rsidR="00593D4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might reduce, albeit only to a degree, the level of publicity of the </w:t>
      </w:r>
      <w:r w:rsidR="004439BD" w:rsidRPr="00A55F3A">
        <w:rPr>
          <w:rStyle w:val="Carpredefinitoparagrafo"/>
          <w:rFonts w:ascii="Garamond" w:hAnsi="Garamond" w:cs="Times New Roman"/>
          <w:sz w:val="22"/>
          <w:szCs w:val="22"/>
        </w:rPr>
        <w:t xml:space="preserve">submitted </w:t>
      </w:r>
      <w:r w:rsidR="00291400" w:rsidRPr="00A55F3A">
        <w:rPr>
          <w:rStyle w:val="Carpredefinitoparagrafo"/>
          <w:rFonts w:ascii="Garamond" w:hAnsi="Garamond" w:cs="Times New Roman"/>
          <w:sz w:val="22"/>
          <w:szCs w:val="22"/>
        </w:rPr>
        <w:t>IOE</w:t>
      </w:r>
      <w:r w:rsidR="0014634D" w:rsidRPr="00A55F3A">
        <w:rPr>
          <w:rStyle w:val="Carpredefinitoparagrafo"/>
          <w:rFonts w:ascii="Garamond" w:hAnsi="Garamond" w:cs="Times New Roman"/>
          <w:sz w:val="22"/>
          <w:szCs w:val="22"/>
        </w:rPr>
        <w:t xml:space="preserve">. Such </w:t>
      </w:r>
      <w:r w:rsidR="000F52A9" w:rsidRPr="00A55F3A">
        <w:rPr>
          <w:rStyle w:val="Carpredefinitoparagrafo"/>
          <w:rFonts w:ascii="Garamond" w:hAnsi="Garamond" w:cs="Times New Roman"/>
          <w:sz w:val="22"/>
          <w:szCs w:val="22"/>
        </w:rPr>
        <w:t>care for the right of Miss Jo</w:t>
      </w:r>
      <w:r w:rsidR="006269A0" w:rsidRPr="00A55F3A">
        <w:rPr>
          <w:rStyle w:val="Carpredefinitoparagrafo"/>
          <w:rFonts w:ascii="Garamond" w:hAnsi="Garamond" w:cs="Times New Roman"/>
          <w:sz w:val="22"/>
          <w:szCs w:val="22"/>
        </w:rPr>
        <w:t>ne</w:t>
      </w:r>
      <w:r w:rsidR="000F52A9" w:rsidRPr="00A55F3A">
        <w:rPr>
          <w:rStyle w:val="Carpredefinitoparagrafo"/>
          <w:rFonts w:ascii="Garamond" w:hAnsi="Garamond" w:cs="Times New Roman"/>
          <w:sz w:val="22"/>
          <w:szCs w:val="22"/>
        </w:rPr>
        <w:t>s</w:t>
      </w:r>
      <w:r w:rsidR="0014634D" w:rsidRPr="00A55F3A">
        <w:rPr>
          <w:rStyle w:val="Carpredefinitoparagrafo"/>
          <w:rFonts w:ascii="Garamond" w:hAnsi="Garamond" w:cs="Times New Roman"/>
          <w:sz w:val="22"/>
          <w:szCs w:val="22"/>
        </w:rPr>
        <w:t xml:space="preserve"> might not have an effect on </w:t>
      </w:r>
      <w:r w:rsidR="004C6605" w:rsidRPr="00A55F3A">
        <w:rPr>
          <w:rStyle w:val="Carpredefinitoparagrafo"/>
          <w:rFonts w:ascii="Garamond" w:hAnsi="Garamond" w:cs="Times New Roman"/>
          <w:sz w:val="22"/>
          <w:szCs w:val="22"/>
        </w:rPr>
        <w:t>how the case was decide</w:t>
      </w:r>
      <w:r w:rsidR="006269A0" w:rsidRPr="00A55F3A">
        <w:rPr>
          <w:rStyle w:val="Carpredefinitoparagrafo"/>
          <w:rFonts w:ascii="Garamond" w:hAnsi="Garamond" w:cs="Times New Roman"/>
          <w:sz w:val="22"/>
          <w:szCs w:val="22"/>
        </w:rPr>
        <w:t>d</w:t>
      </w:r>
      <w:r w:rsidR="0014634D" w:rsidRPr="00A55F3A">
        <w:rPr>
          <w:rStyle w:val="Carpredefinitoparagrafo"/>
          <w:rFonts w:ascii="Garamond" w:hAnsi="Garamond" w:cs="Times New Roman"/>
          <w:sz w:val="22"/>
          <w:szCs w:val="22"/>
        </w:rPr>
        <w:t>.</w:t>
      </w:r>
      <w:r w:rsidR="003567BF" w:rsidRPr="00A55F3A">
        <w:rPr>
          <w:rStyle w:val="Carpredefinitoparagrafo"/>
          <w:rFonts w:ascii="Garamond" w:hAnsi="Garamond" w:cs="Times New Roman"/>
          <w:sz w:val="22"/>
          <w:szCs w:val="22"/>
        </w:rPr>
        <w:t xml:space="preserve"> </w:t>
      </w:r>
      <w:r w:rsidR="0014634D" w:rsidRPr="00A55F3A">
        <w:rPr>
          <w:rStyle w:val="Carpredefinitoparagrafo"/>
          <w:rFonts w:ascii="Garamond" w:hAnsi="Garamond" w:cs="Times New Roman"/>
          <w:sz w:val="22"/>
          <w:szCs w:val="22"/>
        </w:rPr>
        <w:t xml:space="preserve">Miss </w:t>
      </w:r>
      <w:r w:rsidR="003711AD" w:rsidRPr="00A55F3A">
        <w:rPr>
          <w:rStyle w:val="Carpredefinitoparagrafo"/>
          <w:rFonts w:ascii="Garamond" w:hAnsi="Garamond" w:cs="Times New Roman"/>
          <w:sz w:val="22"/>
          <w:szCs w:val="22"/>
        </w:rPr>
        <w:t>Jones</w:t>
      </w:r>
      <w:r w:rsidR="006647D8" w:rsidRPr="00A55F3A">
        <w:rPr>
          <w:rStyle w:val="Carpredefinitoparagrafo"/>
          <w:rFonts w:ascii="Garamond" w:hAnsi="Garamond" w:cs="Times New Roman"/>
          <w:sz w:val="22"/>
          <w:szCs w:val="22"/>
        </w:rPr>
        <w:t xml:space="preserve"> has claimed to have permanent </w:t>
      </w:r>
      <w:r w:rsidR="0014634D" w:rsidRPr="00A55F3A">
        <w:rPr>
          <w:rStyle w:val="Carpredefinitoparagrafo"/>
          <w:rFonts w:ascii="Garamond" w:hAnsi="Garamond" w:cs="Times New Roman"/>
          <w:sz w:val="22"/>
          <w:szCs w:val="22"/>
        </w:rPr>
        <w:t xml:space="preserve">disability </w:t>
      </w:r>
      <w:r w:rsidR="004C6605" w:rsidRPr="00A55F3A">
        <w:rPr>
          <w:rStyle w:val="Carpredefinitoparagrafo"/>
          <w:rFonts w:ascii="Garamond" w:hAnsi="Garamond" w:cs="Times New Roman"/>
          <w:sz w:val="22"/>
          <w:szCs w:val="22"/>
        </w:rPr>
        <w:t>that</w:t>
      </w:r>
      <w:r w:rsidR="003567BF" w:rsidRPr="00A55F3A">
        <w:rPr>
          <w:rStyle w:val="Carpredefinitoparagrafo"/>
          <w:rFonts w:ascii="Garamond" w:hAnsi="Garamond" w:cs="Times New Roman"/>
          <w:sz w:val="22"/>
          <w:szCs w:val="22"/>
        </w:rPr>
        <w:t xml:space="preserve"> </w:t>
      </w:r>
      <w:r w:rsidR="006647D8" w:rsidRPr="00A55F3A">
        <w:rPr>
          <w:rStyle w:val="Carpredefinitoparagrafo"/>
          <w:rFonts w:ascii="Garamond" w:hAnsi="Garamond" w:cs="Times New Roman"/>
          <w:sz w:val="22"/>
          <w:szCs w:val="22"/>
        </w:rPr>
        <w:t>was</w:t>
      </w:r>
      <w:r w:rsidR="0014634D" w:rsidRPr="00A55F3A">
        <w:rPr>
          <w:rStyle w:val="Carpredefinitoparagrafo"/>
          <w:rFonts w:ascii="Garamond" w:hAnsi="Garamond" w:cs="Times New Roman"/>
          <w:sz w:val="22"/>
          <w:szCs w:val="22"/>
        </w:rPr>
        <w:t xml:space="preserve"> contested by the University of Warwick.</w:t>
      </w:r>
      <w:r w:rsidR="003567BF" w:rsidRPr="00A55F3A">
        <w:rPr>
          <w:rStyle w:val="Carpredefinitoparagrafo"/>
          <w:rFonts w:ascii="Garamond" w:hAnsi="Garamond" w:cs="Times New Roman"/>
          <w:sz w:val="22"/>
          <w:szCs w:val="22"/>
        </w:rPr>
        <w:t xml:space="preserve"> </w:t>
      </w:r>
      <w:r w:rsidR="0014634D" w:rsidRPr="00A55F3A">
        <w:rPr>
          <w:rStyle w:val="Carpredefinitoparagrafo"/>
          <w:rFonts w:ascii="Garamond" w:hAnsi="Garamond" w:cs="Times New Roman"/>
          <w:sz w:val="22"/>
          <w:szCs w:val="22"/>
        </w:rPr>
        <w:t>The exten</w:t>
      </w:r>
      <w:r w:rsidR="006647D8" w:rsidRPr="00A55F3A">
        <w:rPr>
          <w:rStyle w:val="Carpredefinitoparagrafo"/>
          <w:rFonts w:ascii="Garamond" w:hAnsi="Garamond" w:cs="Times New Roman"/>
          <w:sz w:val="22"/>
          <w:szCs w:val="22"/>
        </w:rPr>
        <w:t>t</w:t>
      </w:r>
      <w:r w:rsidR="0014634D" w:rsidRPr="00A55F3A">
        <w:rPr>
          <w:rStyle w:val="Carpredefinitoparagrafo"/>
          <w:rFonts w:ascii="Garamond" w:hAnsi="Garamond" w:cs="Times New Roman"/>
          <w:sz w:val="22"/>
          <w:szCs w:val="22"/>
        </w:rPr>
        <w:t xml:space="preserve"> of her injuries</w:t>
      </w:r>
      <w:r w:rsidR="006647D8" w:rsidRPr="00A55F3A">
        <w:rPr>
          <w:rStyle w:val="Carpredefinitoparagrafo"/>
          <w:rFonts w:ascii="Garamond" w:hAnsi="Garamond" w:cs="Times New Roman"/>
          <w:sz w:val="22"/>
          <w:szCs w:val="22"/>
        </w:rPr>
        <w:t xml:space="preserve">, </w:t>
      </w:r>
      <w:r w:rsidR="000F52A9" w:rsidRPr="00A55F3A">
        <w:rPr>
          <w:rStyle w:val="Carpredefinitoparagrafo"/>
          <w:rFonts w:ascii="Garamond" w:hAnsi="Garamond" w:cs="Times New Roman"/>
          <w:sz w:val="22"/>
          <w:szCs w:val="22"/>
        </w:rPr>
        <w:t xml:space="preserve">which she might have </w:t>
      </w:r>
      <w:r w:rsidR="006647D8" w:rsidRPr="00A55F3A">
        <w:rPr>
          <w:rStyle w:val="Carpredefinitoparagrafo"/>
          <w:rFonts w:ascii="Garamond" w:hAnsi="Garamond" w:cs="Times New Roman"/>
          <w:sz w:val="22"/>
          <w:szCs w:val="22"/>
        </w:rPr>
        <w:t>dishonestly inflated</w:t>
      </w:r>
      <w:r w:rsidR="0014634D" w:rsidRPr="00A55F3A">
        <w:rPr>
          <w:rStyle w:val="Carpredefinitoparagrafo"/>
          <w:rFonts w:ascii="Garamond" w:hAnsi="Garamond" w:cs="Times New Roman"/>
          <w:sz w:val="22"/>
          <w:szCs w:val="22"/>
        </w:rPr>
        <w:t>, could</w:t>
      </w:r>
      <w:r w:rsidR="003567BF" w:rsidRPr="00A55F3A">
        <w:rPr>
          <w:rStyle w:val="Carpredefinitoparagrafo"/>
          <w:rFonts w:ascii="Garamond" w:hAnsi="Garamond" w:cs="Times New Roman"/>
          <w:sz w:val="22"/>
          <w:szCs w:val="22"/>
        </w:rPr>
        <w:t xml:space="preserve"> </w:t>
      </w:r>
      <w:r w:rsidR="0014634D" w:rsidRPr="00A55F3A">
        <w:rPr>
          <w:rStyle w:val="Carpredefinitoparagrafo"/>
          <w:rFonts w:ascii="Garamond" w:hAnsi="Garamond" w:cs="Times New Roman"/>
          <w:sz w:val="22"/>
          <w:szCs w:val="22"/>
        </w:rPr>
        <w:t>be clarified</w:t>
      </w:r>
      <w:r w:rsidR="003567BF" w:rsidRPr="00A55F3A">
        <w:rPr>
          <w:rStyle w:val="Carpredefinitoparagrafo"/>
          <w:rFonts w:ascii="Garamond" w:hAnsi="Garamond" w:cs="Times New Roman"/>
          <w:sz w:val="22"/>
          <w:szCs w:val="22"/>
        </w:rPr>
        <w:t xml:space="preserve"> </w:t>
      </w:r>
      <w:r w:rsidR="0014634D" w:rsidRPr="00A55F3A">
        <w:rPr>
          <w:rStyle w:val="Carpredefinitoparagrafo"/>
          <w:rFonts w:ascii="Garamond" w:hAnsi="Garamond" w:cs="Times New Roman"/>
          <w:sz w:val="22"/>
          <w:szCs w:val="22"/>
        </w:rPr>
        <w:t>by expert witnesses</w:t>
      </w:r>
      <w:r w:rsidR="004C6605" w:rsidRPr="00A55F3A">
        <w:rPr>
          <w:rStyle w:val="Carpredefinitoparagrafo"/>
          <w:rFonts w:ascii="Garamond" w:hAnsi="Garamond" w:cs="Times New Roman"/>
          <w:sz w:val="22"/>
          <w:szCs w:val="22"/>
        </w:rPr>
        <w:t xml:space="preserve"> watching the </w:t>
      </w:r>
      <w:r w:rsidR="00291400" w:rsidRPr="00A55F3A">
        <w:rPr>
          <w:rStyle w:val="Carpredefinitoparagrafo"/>
          <w:rFonts w:ascii="Garamond" w:hAnsi="Garamond" w:cs="Times New Roman"/>
          <w:sz w:val="22"/>
          <w:szCs w:val="22"/>
        </w:rPr>
        <w:t>IOE</w:t>
      </w:r>
      <w:r w:rsidR="004C6605" w:rsidRPr="00A55F3A">
        <w:rPr>
          <w:rStyle w:val="Carpredefinitoparagrafo"/>
          <w:rFonts w:ascii="Garamond" w:hAnsi="Garamond" w:cs="Times New Roman"/>
          <w:sz w:val="22"/>
          <w:szCs w:val="22"/>
        </w:rPr>
        <w:t>.</w:t>
      </w:r>
      <w:r w:rsidR="000F52A9" w:rsidRPr="00A55F3A">
        <w:rPr>
          <w:rStyle w:val="Carpredefinitoparagrafo"/>
          <w:rFonts w:ascii="Garamond" w:hAnsi="Garamond" w:cs="Times New Roman"/>
          <w:sz w:val="22"/>
          <w:szCs w:val="22"/>
        </w:rPr>
        <w:t xml:space="preserve"> The advantage of the practice of balancing between substantial and judicial</w:t>
      </w:r>
      <w:r w:rsidR="003567BF" w:rsidRPr="00A55F3A">
        <w:rPr>
          <w:rStyle w:val="Carpredefinitoparagrafo"/>
          <w:rFonts w:ascii="Garamond" w:hAnsi="Garamond" w:cs="Times New Roman"/>
          <w:sz w:val="22"/>
          <w:szCs w:val="22"/>
        </w:rPr>
        <w:t xml:space="preserve"> </w:t>
      </w:r>
      <w:r w:rsidR="000F52A9" w:rsidRPr="00A55F3A">
        <w:rPr>
          <w:rStyle w:val="Carpredefinitoparagrafo"/>
          <w:rFonts w:ascii="Garamond" w:hAnsi="Garamond" w:cs="Times New Roman"/>
          <w:sz w:val="22"/>
          <w:szCs w:val="22"/>
        </w:rPr>
        <w:t xml:space="preserve">rights </w:t>
      </w:r>
      <w:r w:rsidR="006647D8" w:rsidRPr="00A55F3A">
        <w:rPr>
          <w:rStyle w:val="Carpredefinitoparagrafo"/>
          <w:rFonts w:ascii="Garamond" w:hAnsi="Garamond" w:cs="Times New Roman"/>
          <w:sz w:val="22"/>
          <w:szCs w:val="22"/>
        </w:rPr>
        <w:t>is</w:t>
      </w:r>
      <w:r w:rsidR="0084463F" w:rsidRPr="00A55F3A">
        <w:rPr>
          <w:rStyle w:val="Carpredefinitoparagrafo"/>
          <w:rFonts w:ascii="Garamond" w:hAnsi="Garamond" w:cs="Times New Roman"/>
          <w:sz w:val="22"/>
          <w:szCs w:val="22"/>
        </w:rPr>
        <w:t xml:space="preserve"> </w:t>
      </w:r>
      <w:r w:rsidR="000F52A9" w:rsidRPr="00A55F3A">
        <w:rPr>
          <w:rStyle w:val="Carpredefinitoparagrafo"/>
          <w:rFonts w:ascii="Garamond" w:hAnsi="Garamond" w:cs="Times New Roman"/>
          <w:sz w:val="22"/>
          <w:szCs w:val="22"/>
        </w:rPr>
        <w:t>that</w:t>
      </w:r>
      <w:r w:rsidR="006647D8" w:rsidRPr="00A55F3A">
        <w:rPr>
          <w:rStyle w:val="Carpredefinitoparagrafo"/>
          <w:rFonts w:ascii="Garamond" w:hAnsi="Garamond" w:cs="Times New Roman"/>
          <w:sz w:val="22"/>
          <w:szCs w:val="22"/>
        </w:rPr>
        <w:t xml:space="preserve"> a</w:t>
      </w:r>
      <w:r w:rsidR="000F52A9" w:rsidRPr="00A55F3A">
        <w:rPr>
          <w:rStyle w:val="Carpredefinitoparagrafo"/>
          <w:rFonts w:ascii="Garamond" w:hAnsi="Garamond" w:cs="Times New Roman"/>
          <w:sz w:val="22"/>
          <w:szCs w:val="22"/>
        </w:rPr>
        <w:t xml:space="preserve"> right granted </w:t>
      </w:r>
      <w:r w:rsidR="007D2A52" w:rsidRPr="00A55F3A">
        <w:rPr>
          <w:rStyle w:val="Carpredefinitoparagrafo"/>
          <w:rFonts w:ascii="Garamond" w:hAnsi="Garamond" w:cs="Times New Roman"/>
          <w:sz w:val="22"/>
          <w:szCs w:val="22"/>
        </w:rPr>
        <w:t>by the ECHR</w:t>
      </w:r>
      <w:r w:rsidR="003567BF" w:rsidRPr="00A55F3A">
        <w:rPr>
          <w:rStyle w:val="Carpredefinitoparagrafo"/>
          <w:rFonts w:ascii="Garamond" w:hAnsi="Garamond" w:cs="Times New Roman"/>
          <w:sz w:val="22"/>
          <w:szCs w:val="22"/>
        </w:rPr>
        <w:t xml:space="preserve"> </w:t>
      </w:r>
      <w:r w:rsidR="007D2A52" w:rsidRPr="00A55F3A">
        <w:rPr>
          <w:rStyle w:val="Carpredefinitoparagrafo"/>
          <w:rFonts w:ascii="Garamond" w:hAnsi="Garamond" w:cs="Times New Roman"/>
          <w:sz w:val="22"/>
          <w:szCs w:val="22"/>
        </w:rPr>
        <w:t>ha</w:t>
      </w:r>
      <w:r w:rsidR="006269A0" w:rsidRPr="00A55F3A">
        <w:rPr>
          <w:rStyle w:val="Carpredefinitoparagrafo"/>
          <w:rFonts w:ascii="Garamond" w:hAnsi="Garamond" w:cs="Times New Roman"/>
          <w:sz w:val="22"/>
          <w:szCs w:val="22"/>
        </w:rPr>
        <w:t>s</w:t>
      </w:r>
      <w:r w:rsidR="007D2A52" w:rsidRPr="00A55F3A">
        <w:rPr>
          <w:rStyle w:val="Carpredefinitoparagrafo"/>
          <w:rFonts w:ascii="Garamond" w:hAnsi="Garamond" w:cs="Times New Roman"/>
          <w:sz w:val="22"/>
          <w:szCs w:val="22"/>
        </w:rPr>
        <w:t xml:space="preserve"> </w:t>
      </w:r>
      <w:r w:rsidR="0084463F" w:rsidRPr="00A55F3A">
        <w:rPr>
          <w:rStyle w:val="Carpredefinitoparagrafo"/>
          <w:rFonts w:ascii="Garamond" w:hAnsi="Garamond" w:cs="Times New Roman"/>
          <w:sz w:val="22"/>
          <w:szCs w:val="22"/>
        </w:rPr>
        <w:t>perceptible</w:t>
      </w:r>
      <w:r w:rsidR="003567BF" w:rsidRPr="00A55F3A">
        <w:rPr>
          <w:rStyle w:val="Carpredefinitoparagrafo"/>
          <w:rFonts w:ascii="Garamond" w:hAnsi="Garamond" w:cs="Times New Roman"/>
          <w:sz w:val="22"/>
          <w:szCs w:val="22"/>
        </w:rPr>
        <w:t xml:space="preserve"> </w:t>
      </w:r>
      <w:r w:rsidR="0084463F" w:rsidRPr="00A55F3A">
        <w:rPr>
          <w:rStyle w:val="Carpredefinitoparagrafo"/>
          <w:rFonts w:ascii="Garamond" w:hAnsi="Garamond" w:cs="Times New Roman"/>
          <w:sz w:val="22"/>
          <w:szCs w:val="22"/>
        </w:rPr>
        <w:t>influence</w:t>
      </w:r>
      <w:r w:rsidR="003567BF" w:rsidRPr="00A55F3A">
        <w:rPr>
          <w:rStyle w:val="Carpredefinitoparagrafo"/>
          <w:rFonts w:ascii="Garamond" w:hAnsi="Garamond" w:cs="Times New Roman"/>
          <w:sz w:val="22"/>
          <w:szCs w:val="22"/>
        </w:rPr>
        <w:t xml:space="preserve"> </w:t>
      </w:r>
      <w:r w:rsidR="000F52A9" w:rsidRPr="00A55F3A">
        <w:rPr>
          <w:rStyle w:val="Carpredefinitoparagrafo"/>
          <w:rFonts w:ascii="Garamond" w:hAnsi="Garamond" w:cs="Times New Roman"/>
          <w:sz w:val="22"/>
          <w:szCs w:val="22"/>
        </w:rPr>
        <w:t xml:space="preserve">in the </w:t>
      </w:r>
      <w:r w:rsidR="0084463F" w:rsidRPr="00A55F3A">
        <w:rPr>
          <w:rStyle w:val="Carpredefinitoparagrafo"/>
          <w:rFonts w:ascii="Garamond" w:hAnsi="Garamond" w:cs="Times New Roman"/>
          <w:sz w:val="22"/>
          <w:szCs w:val="22"/>
        </w:rPr>
        <w:t xml:space="preserve">court </w:t>
      </w:r>
      <w:r w:rsidR="000F52A9" w:rsidRPr="00A55F3A">
        <w:rPr>
          <w:rStyle w:val="Carpredefinitoparagrafo"/>
          <w:rFonts w:ascii="Garamond" w:hAnsi="Garamond" w:cs="Times New Roman"/>
          <w:sz w:val="22"/>
          <w:szCs w:val="22"/>
        </w:rPr>
        <w:t>decisional</w:t>
      </w:r>
      <w:r w:rsidR="003567BF" w:rsidRPr="00A55F3A">
        <w:rPr>
          <w:rStyle w:val="Carpredefinitoparagrafo"/>
          <w:rFonts w:ascii="Garamond" w:hAnsi="Garamond" w:cs="Times New Roman"/>
          <w:sz w:val="22"/>
          <w:szCs w:val="22"/>
        </w:rPr>
        <w:t xml:space="preserve"> </w:t>
      </w:r>
      <w:r w:rsidR="000F52A9" w:rsidRPr="00A55F3A">
        <w:rPr>
          <w:rStyle w:val="Carpredefinitoparagrafo"/>
          <w:rFonts w:ascii="Garamond" w:hAnsi="Garamond" w:cs="Times New Roman"/>
          <w:sz w:val="22"/>
          <w:szCs w:val="22"/>
        </w:rPr>
        <w:t>process</w:t>
      </w:r>
      <w:r w:rsidR="0084463F" w:rsidRPr="00A55F3A">
        <w:rPr>
          <w:rStyle w:val="Carpredefinitoparagrafo"/>
          <w:rFonts w:ascii="Garamond" w:hAnsi="Garamond" w:cs="Times New Roman"/>
          <w:sz w:val="22"/>
          <w:szCs w:val="22"/>
        </w:rPr>
        <w:t xml:space="preserve"> without </w:t>
      </w:r>
      <w:r w:rsidR="004439BD" w:rsidRPr="00A55F3A">
        <w:rPr>
          <w:rStyle w:val="Carpredefinitoparagrafo"/>
          <w:rFonts w:ascii="Garamond" w:hAnsi="Garamond" w:cs="Times New Roman"/>
          <w:sz w:val="22"/>
          <w:szCs w:val="22"/>
        </w:rPr>
        <w:t>hindering</w:t>
      </w:r>
      <w:r w:rsidR="0084463F" w:rsidRPr="00A55F3A">
        <w:rPr>
          <w:rStyle w:val="Carpredefinitoparagrafo"/>
          <w:rFonts w:ascii="Garamond" w:hAnsi="Garamond" w:cs="Times New Roman"/>
          <w:sz w:val="22"/>
          <w:szCs w:val="22"/>
        </w:rPr>
        <w:t xml:space="preserve"> </w:t>
      </w:r>
      <w:r w:rsidR="004439BD" w:rsidRPr="00A55F3A">
        <w:rPr>
          <w:rStyle w:val="Carpredefinitoparagrafo"/>
          <w:rFonts w:ascii="Garamond" w:hAnsi="Garamond" w:cs="Times New Roman"/>
          <w:sz w:val="22"/>
          <w:szCs w:val="22"/>
        </w:rPr>
        <w:t xml:space="preserve">the </w:t>
      </w:r>
      <w:r w:rsidR="004439BD" w:rsidRPr="00A55F3A">
        <w:rPr>
          <w:rStyle w:val="Carpredefinitoparagrafo"/>
          <w:rFonts w:ascii="Garamond" w:hAnsi="Garamond" w:cs="Times New Roman"/>
          <w:sz w:val="22"/>
          <w:szCs w:val="22"/>
        </w:rPr>
        <w:lastRenderedPageBreak/>
        <w:t>functioning</w:t>
      </w:r>
      <w:r w:rsidR="00B50D56" w:rsidRPr="00A55F3A">
        <w:rPr>
          <w:rStyle w:val="Carpredefinitoparagrafo"/>
          <w:rFonts w:ascii="Garamond" w:hAnsi="Garamond" w:cs="Times New Roman"/>
          <w:sz w:val="22"/>
          <w:szCs w:val="22"/>
        </w:rPr>
        <w:t xml:space="preserve"> </w:t>
      </w:r>
      <w:r w:rsidR="0084463F" w:rsidRPr="00A55F3A">
        <w:rPr>
          <w:rStyle w:val="Carpredefinitoparagrafo"/>
          <w:rFonts w:ascii="Garamond" w:hAnsi="Garamond" w:cs="Times New Roman"/>
          <w:sz w:val="22"/>
          <w:szCs w:val="22"/>
        </w:rPr>
        <w:t>of</w:t>
      </w:r>
      <w:r w:rsidR="00B50D56" w:rsidRPr="00A55F3A">
        <w:rPr>
          <w:rStyle w:val="Carpredefinitoparagrafo"/>
          <w:rFonts w:ascii="Garamond" w:hAnsi="Garamond" w:cs="Times New Roman"/>
          <w:sz w:val="22"/>
          <w:szCs w:val="22"/>
        </w:rPr>
        <w:t xml:space="preserve"> </w:t>
      </w:r>
      <w:r w:rsidR="006754AE" w:rsidRPr="00A55F3A">
        <w:rPr>
          <w:rStyle w:val="Carpredefinitoparagrafo"/>
          <w:rFonts w:ascii="Garamond" w:hAnsi="Garamond" w:cs="Times New Roman"/>
          <w:sz w:val="22"/>
          <w:szCs w:val="22"/>
        </w:rPr>
        <w:t>judicial system</w:t>
      </w:r>
      <w:r w:rsidR="0084463F" w:rsidRPr="00A55F3A">
        <w:rPr>
          <w:rStyle w:val="Carpredefinitoparagrafo"/>
          <w:rFonts w:ascii="Garamond" w:hAnsi="Garamond" w:cs="Times New Roman"/>
          <w:sz w:val="22"/>
          <w:szCs w:val="22"/>
        </w:rPr>
        <w:t xml:space="preserve">. </w:t>
      </w:r>
    </w:p>
    <w:p w14:paraId="1510B237" w14:textId="12EAAB3D" w:rsidR="00605CE2" w:rsidRPr="00A55F3A" w:rsidRDefault="00593D4F" w:rsidP="00A55F3A">
      <w:pPr>
        <w:pStyle w:val="Standard"/>
        <w:spacing w:line="480" w:lineRule="auto"/>
        <w:rPr>
          <w:rFonts w:ascii="Garamond" w:hAnsi="Garamond"/>
          <w:sz w:val="22"/>
          <w:szCs w:val="22"/>
        </w:rPr>
      </w:pPr>
      <w:r w:rsidRPr="00A55F3A">
        <w:rPr>
          <w:rStyle w:val="Carpredefinitoparagrafo"/>
          <w:rFonts w:ascii="Garamond" w:hAnsi="Garamond" w:cs="Times New Roman"/>
          <w:sz w:val="22"/>
          <w:szCs w:val="22"/>
        </w:rPr>
        <w:t>The Italian jurisprudence might, instead</w:t>
      </w:r>
      <w:r w:rsidR="00767DFC"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w:t>
      </w:r>
      <w:r w:rsidR="00767DFC" w:rsidRPr="00A55F3A">
        <w:rPr>
          <w:rStyle w:val="Carpredefinitoparagrafo"/>
          <w:rFonts w:ascii="Garamond" w:hAnsi="Garamond" w:cs="Times New Roman"/>
          <w:sz w:val="22"/>
          <w:szCs w:val="22"/>
        </w:rPr>
        <w:t>‘absorb’</w:t>
      </w:r>
      <w:r w:rsidRPr="00A55F3A">
        <w:rPr>
          <w:rStyle w:val="Carpredefinitoparagrafo"/>
          <w:rFonts w:ascii="Garamond" w:hAnsi="Garamond" w:cs="Times New Roman"/>
          <w:sz w:val="22"/>
          <w:szCs w:val="22"/>
        </w:rPr>
        <w:t xml:space="preserve"> from the </w:t>
      </w:r>
      <w:r w:rsidR="00584F92" w:rsidRPr="00A55F3A">
        <w:rPr>
          <w:rStyle w:val="Carpredefinitoparagrafo"/>
          <w:rFonts w:ascii="Garamond" w:hAnsi="Garamond" w:cs="Times New Roman"/>
          <w:sz w:val="22"/>
          <w:szCs w:val="22"/>
        </w:rPr>
        <w:t>Eng</w:t>
      </w:r>
      <w:r w:rsidR="006647D8" w:rsidRPr="00A55F3A">
        <w:rPr>
          <w:rStyle w:val="Carpredefinitoparagrafo"/>
          <w:rFonts w:ascii="Garamond" w:hAnsi="Garamond" w:cs="Times New Roman"/>
          <w:sz w:val="22"/>
          <w:szCs w:val="22"/>
        </w:rPr>
        <w:t>l</w:t>
      </w:r>
      <w:r w:rsidR="00584F92" w:rsidRPr="00A55F3A">
        <w:rPr>
          <w:rStyle w:val="Carpredefinitoparagrafo"/>
          <w:rFonts w:ascii="Garamond" w:hAnsi="Garamond" w:cs="Times New Roman"/>
          <w:sz w:val="22"/>
          <w:szCs w:val="22"/>
        </w:rPr>
        <w:t xml:space="preserve">ish </w:t>
      </w:r>
      <w:r w:rsidR="00D13877">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 xml:space="preserve">judicial experience of forecasting the potential implications of excluding </w:t>
      </w:r>
      <w:r w:rsidR="000F170E" w:rsidRPr="00A55F3A">
        <w:rPr>
          <w:rStyle w:val="Carpredefinitoparagrafo"/>
          <w:rFonts w:ascii="Garamond" w:hAnsi="Garamond" w:cs="Times New Roman"/>
          <w:sz w:val="22"/>
          <w:szCs w:val="22"/>
        </w:rPr>
        <w:t xml:space="preserve">an </w:t>
      </w:r>
      <w:r w:rsidR="00291400" w:rsidRPr="00A55F3A">
        <w:rPr>
          <w:rStyle w:val="Carpredefinitoparagrafo"/>
          <w:rFonts w:ascii="Garamond" w:hAnsi="Garamond" w:cs="Times New Roman"/>
          <w:sz w:val="22"/>
          <w:szCs w:val="22"/>
        </w:rPr>
        <w:t>IOE</w:t>
      </w:r>
      <w:r w:rsidRPr="00A55F3A">
        <w:rPr>
          <w:rStyle w:val="Carpredefinitoparagrafo"/>
          <w:rFonts w:ascii="Garamond" w:hAnsi="Garamond" w:cs="Times New Roman"/>
          <w:sz w:val="22"/>
          <w:szCs w:val="22"/>
        </w:rPr>
        <w:t xml:space="preserve"> from the trial. </w:t>
      </w:r>
      <w:r w:rsidR="00AE5AD3" w:rsidRPr="00A55F3A">
        <w:rPr>
          <w:rStyle w:val="Carpredefinitoparagrafo"/>
          <w:rFonts w:ascii="Garamond" w:hAnsi="Garamond" w:cs="Times New Roman"/>
          <w:sz w:val="22"/>
          <w:szCs w:val="22"/>
        </w:rPr>
        <w:t xml:space="preserve">Indications </w:t>
      </w:r>
      <w:r w:rsidR="00AB5488" w:rsidRPr="00A55F3A">
        <w:rPr>
          <w:rStyle w:val="Carpredefinitoparagrafo"/>
          <w:rFonts w:ascii="Garamond" w:hAnsi="Garamond" w:cs="Times New Roman"/>
          <w:sz w:val="22"/>
          <w:szCs w:val="22"/>
        </w:rPr>
        <w:t xml:space="preserve"> of how to conduct such an assessment could be found in </w:t>
      </w:r>
      <w:r w:rsidR="003711AD" w:rsidRPr="00A55F3A">
        <w:rPr>
          <w:rFonts w:ascii="Garamond" w:hAnsi="Garamond"/>
          <w:i/>
          <w:sz w:val="22"/>
          <w:szCs w:val="22"/>
        </w:rPr>
        <w:t>Helliwell</w:t>
      </w:r>
      <w:r w:rsidR="00C10272" w:rsidRPr="00A55F3A">
        <w:rPr>
          <w:rFonts w:ascii="Garamond" w:hAnsi="Garamond"/>
          <w:sz w:val="22"/>
          <w:szCs w:val="22"/>
        </w:rPr>
        <w:t xml:space="preserve"> v </w:t>
      </w:r>
      <w:r w:rsidR="003711AD" w:rsidRPr="00A55F3A">
        <w:rPr>
          <w:rFonts w:ascii="Garamond" w:hAnsi="Garamond"/>
          <w:i/>
          <w:sz w:val="22"/>
          <w:szCs w:val="22"/>
        </w:rPr>
        <w:t>Piggott-Sims</w:t>
      </w:r>
      <w:r w:rsidR="00AB5488" w:rsidRPr="00A55F3A">
        <w:rPr>
          <w:rStyle w:val="Carpredefinitoparagrafo"/>
          <w:rFonts w:ascii="Garamond" w:hAnsi="Garamond" w:cs="Times New Roman"/>
          <w:sz w:val="22"/>
          <w:szCs w:val="22"/>
        </w:rPr>
        <w:t xml:space="preserve"> as well as from a well-articulated literature on how to consider the </w:t>
      </w:r>
      <w:r w:rsidR="0084463F" w:rsidRPr="00A55F3A">
        <w:rPr>
          <w:rStyle w:val="Carpredefinitoparagrafo"/>
          <w:rFonts w:ascii="Garamond" w:hAnsi="Garamond" w:cs="Times New Roman"/>
          <w:sz w:val="22"/>
          <w:szCs w:val="22"/>
        </w:rPr>
        <w:t>pragmatic</w:t>
      </w:r>
      <w:r w:rsidR="003567BF" w:rsidRPr="00A55F3A">
        <w:rPr>
          <w:rStyle w:val="Carpredefinitoparagrafo"/>
          <w:rFonts w:ascii="Garamond" w:hAnsi="Garamond" w:cs="Times New Roman"/>
          <w:sz w:val="22"/>
          <w:szCs w:val="22"/>
        </w:rPr>
        <w:t xml:space="preserve"> </w:t>
      </w:r>
      <w:r w:rsidR="00AB5488" w:rsidRPr="00A55F3A">
        <w:rPr>
          <w:rStyle w:val="Carpredefinitoparagrafo"/>
          <w:rFonts w:ascii="Garamond" w:hAnsi="Garamond" w:cs="Times New Roman"/>
          <w:sz w:val="22"/>
          <w:szCs w:val="22"/>
        </w:rPr>
        <w:t>consequences of judicial decisions.</w:t>
      </w:r>
      <w:r w:rsidR="00AB5488" w:rsidRPr="00A55F3A">
        <w:rPr>
          <w:rStyle w:val="FootnoteReference"/>
          <w:rFonts w:ascii="Garamond" w:hAnsi="Garamond"/>
          <w:sz w:val="22"/>
          <w:szCs w:val="22"/>
        </w:rPr>
        <w:footnoteReference w:id="70"/>
      </w:r>
      <w:r w:rsidR="00AB5488" w:rsidRPr="00A55F3A">
        <w:rPr>
          <w:rStyle w:val="Carpredefinitoparagrafo"/>
          <w:rFonts w:ascii="Garamond" w:hAnsi="Garamond" w:cs="Times New Roman"/>
          <w:sz w:val="22"/>
          <w:szCs w:val="22"/>
        </w:rPr>
        <w:t xml:space="preserve"> These types of evaluations require a ‘forward looking’ approach’ that balances the pragmatic consequences of an ancillary decision with its effects</w:t>
      </w:r>
      <w:r w:rsidR="0084463F" w:rsidRPr="00A55F3A">
        <w:rPr>
          <w:rStyle w:val="Carpredefinitoparagrafo"/>
          <w:rFonts w:ascii="Garamond" w:hAnsi="Garamond" w:cs="Times New Roman"/>
          <w:sz w:val="22"/>
          <w:szCs w:val="22"/>
        </w:rPr>
        <w:t xml:space="preserve"> in the main case</w:t>
      </w:r>
      <w:r w:rsidR="00AB5488"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However, till the Tribunal of Bari</w:t>
      </w:r>
      <w:r w:rsidR="006269A0" w:rsidRPr="00A55F3A">
        <w:rPr>
          <w:rStyle w:val="Carpredefinitoparagrafo"/>
          <w:rFonts w:ascii="Garamond" w:hAnsi="Garamond" w:cs="Times New Roman"/>
          <w:sz w:val="22"/>
          <w:szCs w:val="22"/>
        </w:rPr>
        <w:t>’s</w:t>
      </w:r>
      <w:r w:rsidRPr="00A55F3A">
        <w:rPr>
          <w:rStyle w:val="Carpredefinitoparagrafo"/>
          <w:rFonts w:ascii="Garamond" w:hAnsi="Garamond" w:cs="Times New Roman"/>
          <w:sz w:val="22"/>
          <w:szCs w:val="22"/>
        </w:rPr>
        <w:t xml:space="preserve"> decision </w:t>
      </w:r>
      <w:r w:rsidR="006754AE" w:rsidRPr="00A55F3A">
        <w:rPr>
          <w:rFonts w:ascii="Garamond" w:eastAsia="BookAntiqua" w:hAnsi="Garamond"/>
          <w:i/>
          <w:sz w:val="22"/>
          <w:szCs w:val="22"/>
        </w:rPr>
        <w:t>Ciocchetti</w:t>
      </w:r>
      <w:r w:rsidR="00C10272" w:rsidRPr="00A55F3A">
        <w:rPr>
          <w:rFonts w:ascii="Garamond" w:eastAsia="BookAntiqua" w:hAnsi="Garamond"/>
          <w:sz w:val="22"/>
          <w:szCs w:val="22"/>
        </w:rPr>
        <w:t xml:space="preserve"> v </w:t>
      </w:r>
      <w:r w:rsidR="006754AE" w:rsidRPr="00A55F3A">
        <w:rPr>
          <w:rFonts w:ascii="Garamond" w:eastAsia="BookAntiqua" w:hAnsi="Garamond"/>
          <w:i/>
          <w:sz w:val="22"/>
          <w:szCs w:val="22"/>
        </w:rPr>
        <w:t>Fiat Auto Financial Services</w:t>
      </w:r>
      <w:r w:rsidRPr="00A55F3A">
        <w:rPr>
          <w:rStyle w:val="Carpredefinitoparagrafo"/>
          <w:rFonts w:ascii="Garamond" w:hAnsi="Garamond" w:cs="Times New Roman"/>
          <w:sz w:val="22"/>
          <w:szCs w:val="22"/>
        </w:rPr>
        <w:t>, Italian jurisprudence ha</w:t>
      </w:r>
      <w:r w:rsidR="00CB49BA" w:rsidRPr="00A55F3A">
        <w:rPr>
          <w:rStyle w:val="Carpredefinitoparagrafo"/>
          <w:rFonts w:ascii="Garamond" w:hAnsi="Garamond" w:cs="Times New Roman"/>
          <w:sz w:val="22"/>
          <w:szCs w:val="22"/>
        </w:rPr>
        <w:t>d</w:t>
      </w:r>
      <w:r w:rsidRPr="00A55F3A">
        <w:rPr>
          <w:rStyle w:val="Carpredefinitoparagrafo"/>
          <w:rFonts w:ascii="Garamond" w:hAnsi="Garamond" w:cs="Times New Roman"/>
          <w:sz w:val="22"/>
          <w:szCs w:val="22"/>
        </w:rPr>
        <w:t xml:space="preserve"> been reluctant to mix deontological evaluations with their pragmatic consequences o</w:t>
      </w:r>
      <w:r w:rsidR="006647D8" w:rsidRPr="00A55F3A">
        <w:rPr>
          <w:rStyle w:val="Carpredefinitoparagrafo"/>
          <w:rFonts w:ascii="Garamond" w:hAnsi="Garamond" w:cs="Times New Roman"/>
          <w:sz w:val="22"/>
          <w:szCs w:val="22"/>
        </w:rPr>
        <w:t>n</w:t>
      </w:r>
      <w:r w:rsidRPr="00A55F3A">
        <w:rPr>
          <w:rStyle w:val="Carpredefinitoparagrafo"/>
          <w:rFonts w:ascii="Garamond" w:hAnsi="Garamond" w:cs="Times New Roman"/>
          <w:sz w:val="22"/>
          <w:szCs w:val="22"/>
        </w:rPr>
        <w:t xml:space="preserve"> a </w:t>
      </w:r>
      <w:r w:rsidR="004C6605" w:rsidRPr="00A55F3A">
        <w:rPr>
          <w:rStyle w:val="Carpredefinitoparagrafo"/>
          <w:rFonts w:ascii="Garamond" w:hAnsi="Garamond" w:cs="Times New Roman"/>
          <w:sz w:val="22"/>
          <w:szCs w:val="22"/>
        </w:rPr>
        <w:t>case</w:t>
      </w:r>
      <w:r w:rsidRPr="00A55F3A">
        <w:rPr>
          <w:rStyle w:val="Carpredefinitoparagrafo"/>
          <w:rFonts w:ascii="Garamond" w:hAnsi="Garamond" w:cs="Times New Roman"/>
          <w:sz w:val="22"/>
          <w:szCs w:val="22"/>
        </w:rPr>
        <w:t>. The staunched defense of the priority of the principle of justice over the pragmatic implications of a judicial decision is the basis of Taruffo’s critique of the verophobes.</w:t>
      </w:r>
      <w:r w:rsidR="00616C19" w:rsidRPr="00A55F3A">
        <w:rPr>
          <w:rStyle w:val="FootnoteReference"/>
          <w:rFonts w:ascii="Garamond" w:hAnsi="Garamond"/>
          <w:sz w:val="22"/>
          <w:szCs w:val="22"/>
        </w:rPr>
        <w:footnoteReference w:id="71"/>
      </w:r>
      <w:r w:rsidRPr="00A55F3A">
        <w:rPr>
          <w:rStyle w:val="Carpredefinitoparagrafo"/>
          <w:rFonts w:ascii="Garamond" w:hAnsi="Garamond" w:cs="Times New Roman"/>
          <w:sz w:val="22"/>
          <w:szCs w:val="22"/>
        </w:rPr>
        <w:t xml:space="preserve"> The </w:t>
      </w:r>
      <w:r w:rsidR="00584F92" w:rsidRPr="00A55F3A">
        <w:rPr>
          <w:rStyle w:val="Carpredefinitoparagrafo"/>
          <w:rFonts w:ascii="Garamond" w:hAnsi="Garamond" w:cs="Times New Roman"/>
          <w:sz w:val="22"/>
          <w:szCs w:val="22"/>
        </w:rPr>
        <w:t>Eng</w:t>
      </w:r>
      <w:r w:rsidR="006647D8" w:rsidRPr="00A55F3A">
        <w:rPr>
          <w:rStyle w:val="Carpredefinitoparagrafo"/>
          <w:rFonts w:ascii="Garamond" w:hAnsi="Garamond" w:cs="Times New Roman"/>
          <w:sz w:val="22"/>
          <w:szCs w:val="22"/>
        </w:rPr>
        <w:t>l</w:t>
      </w:r>
      <w:r w:rsidR="00584F92" w:rsidRPr="00A55F3A">
        <w:rPr>
          <w:rStyle w:val="Carpredefinitoparagrafo"/>
          <w:rFonts w:ascii="Garamond" w:hAnsi="Garamond" w:cs="Times New Roman"/>
          <w:sz w:val="22"/>
          <w:szCs w:val="22"/>
        </w:rPr>
        <w:t xml:space="preserve">ish </w:t>
      </w:r>
      <w:r w:rsidR="00D13877">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jurisprudence, by comparison to the Italian, expect</w:t>
      </w:r>
      <w:r w:rsidR="004C6605" w:rsidRPr="00A55F3A">
        <w:rPr>
          <w:rStyle w:val="Carpredefinitoparagrafo"/>
          <w:rFonts w:ascii="Garamond" w:hAnsi="Garamond" w:cs="Times New Roman"/>
          <w:sz w:val="22"/>
          <w:szCs w:val="22"/>
        </w:rPr>
        <w:t>s</w:t>
      </w:r>
      <w:r w:rsidRPr="00A55F3A">
        <w:rPr>
          <w:rStyle w:val="Carpredefinitoparagrafo"/>
          <w:rFonts w:ascii="Garamond" w:hAnsi="Garamond" w:cs="Times New Roman"/>
          <w:sz w:val="22"/>
          <w:szCs w:val="22"/>
        </w:rPr>
        <w:t xml:space="preserve"> that judges have </w:t>
      </w:r>
      <w:r w:rsidR="006647D8" w:rsidRPr="00A55F3A">
        <w:rPr>
          <w:rStyle w:val="Carpredefinitoparagrafo"/>
          <w:rFonts w:ascii="Garamond" w:hAnsi="Garamond" w:cs="Times New Roman"/>
          <w:sz w:val="22"/>
          <w:szCs w:val="22"/>
        </w:rPr>
        <w:t xml:space="preserve">the </w:t>
      </w:r>
      <w:r w:rsidRPr="00A55F3A">
        <w:rPr>
          <w:rStyle w:val="Carpredefinitoparagrafo"/>
          <w:rFonts w:ascii="Garamond" w:hAnsi="Garamond" w:cs="Times New Roman"/>
          <w:sz w:val="22"/>
          <w:szCs w:val="22"/>
        </w:rPr>
        <w:t xml:space="preserve">ability to forecast, within the limits of reasonableness, the effect of excluding </w:t>
      </w:r>
      <w:r w:rsidR="000F170E" w:rsidRPr="00A55F3A">
        <w:rPr>
          <w:rStyle w:val="Carpredefinitoparagrafo"/>
          <w:rFonts w:ascii="Garamond" w:hAnsi="Garamond" w:cs="Times New Roman"/>
          <w:sz w:val="22"/>
          <w:szCs w:val="22"/>
        </w:rPr>
        <w:t xml:space="preserve">an </w:t>
      </w:r>
      <w:r w:rsidR="00291400" w:rsidRPr="00A55F3A">
        <w:rPr>
          <w:rStyle w:val="Carpredefinitoparagrafo"/>
          <w:rFonts w:ascii="Garamond" w:hAnsi="Garamond" w:cs="Times New Roman"/>
          <w:sz w:val="22"/>
          <w:szCs w:val="22"/>
        </w:rPr>
        <w:t>IOE</w:t>
      </w:r>
      <w:r w:rsidRPr="00A55F3A">
        <w:rPr>
          <w:rStyle w:val="Carpredefinitoparagrafo"/>
          <w:rFonts w:ascii="Garamond" w:hAnsi="Garamond" w:cs="Times New Roman"/>
          <w:sz w:val="22"/>
          <w:szCs w:val="22"/>
        </w:rPr>
        <w:t xml:space="preserve"> from the trial. It is </w:t>
      </w:r>
      <w:r w:rsidR="0084463F" w:rsidRPr="00A55F3A">
        <w:rPr>
          <w:rStyle w:val="Carpredefinitoparagrafo"/>
          <w:rFonts w:ascii="Garamond" w:hAnsi="Garamond" w:cs="Times New Roman"/>
          <w:sz w:val="22"/>
          <w:szCs w:val="22"/>
        </w:rPr>
        <w:t>this ability to</w:t>
      </w:r>
      <w:r w:rsidR="003567BF" w:rsidRPr="00A55F3A">
        <w:rPr>
          <w:rStyle w:val="Carpredefinitoparagrafo"/>
          <w:rFonts w:ascii="Garamond" w:hAnsi="Garamond" w:cs="Times New Roman"/>
          <w:sz w:val="22"/>
          <w:szCs w:val="22"/>
        </w:rPr>
        <w:t xml:space="preserve"> </w:t>
      </w:r>
      <w:r w:rsidR="0084463F" w:rsidRPr="00A55F3A">
        <w:rPr>
          <w:rStyle w:val="Carpredefinitoparagrafo"/>
          <w:rFonts w:ascii="Garamond" w:hAnsi="Garamond" w:cs="Times New Roman"/>
          <w:sz w:val="22"/>
          <w:szCs w:val="22"/>
        </w:rPr>
        <w:t>consider</w:t>
      </w:r>
      <w:r w:rsidR="003567BF" w:rsidRPr="00A55F3A">
        <w:rPr>
          <w:rStyle w:val="Carpredefinitoparagrafo"/>
          <w:rFonts w:ascii="Garamond" w:hAnsi="Garamond" w:cs="Times New Roman"/>
          <w:sz w:val="22"/>
          <w:szCs w:val="22"/>
        </w:rPr>
        <w:t xml:space="preserve"> </w:t>
      </w:r>
      <w:r w:rsidR="0084463F" w:rsidRPr="00A55F3A">
        <w:rPr>
          <w:rStyle w:val="Carpredefinitoparagrafo"/>
          <w:rFonts w:ascii="Garamond" w:hAnsi="Garamond" w:cs="Times New Roman"/>
          <w:sz w:val="22"/>
          <w:szCs w:val="22"/>
        </w:rPr>
        <w:t>pragmatism as</w:t>
      </w:r>
      <w:r w:rsidR="003567BF" w:rsidRPr="00A55F3A">
        <w:rPr>
          <w:rStyle w:val="Carpredefinitoparagrafo"/>
          <w:rFonts w:ascii="Garamond" w:hAnsi="Garamond" w:cs="Times New Roman"/>
          <w:sz w:val="22"/>
          <w:szCs w:val="22"/>
        </w:rPr>
        <w:t xml:space="preserve"> </w:t>
      </w:r>
      <w:r w:rsidR="00CB49BA" w:rsidRPr="00A55F3A">
        <w:rPr>
          <w:rStyle w:val="Carpredefinitoparagrafo"/>
          <w:rFonts w:ascii="Garamond" w:hAnsi="Garamond" w:cs="Times New Roman"/>
          <w:sz w:val="22"/>
          <w:szCs w:val="22"/>
        </w:rPr>
        <w:t xml:space="preserve">a </w:t>
      </w:r>
      <w:r w:rsidR="0084463F" w:rsidRPr="00A55F3A">
        <w:rPr>
          <w:rStyle w:val="Carpredefinitoparagrafo"/>
          <w:rFonts w:ascii="Garamond" w:hAnsi="Garamond" w:cs="Times New Roman"/>
          <w:sz w:val="22"/>
          <w:szCs w:val="22"/>
        </w:rPr>
        <w:t>plausible type of legal reasoning in a debate over right violation</w:t>
      </w:r>
      <w:r w:rsidR="003567BF" w:rsidRPr="00A55F3A">
        <w:rPr>
          <w:rStyle w:val="Carpredefinitoparagrafo"/>
          <w:rFonts w:ascii="Garamond" w:hAnsi="Garamond" w:cs="Times New Roman"/>
          <w:sz w:val="22"/>
          <w:szCs w:val="22"/>
        </w:rPr>
        <w:t xml:space="preserve"> </w:t>
      </w:r>
      <w:r w:rsidR="00EF6C80" w:rsidRPr="00A55F3A">
        <w:rPr>
          <w:rStyle w:val="Carpredefinitoparagrafo"/>
          <w:rFonts w:ascii="Garamond" w:hAnsi="Garamond" w:cs="Times New Roman"/>
          <w:sz w:val="22"/>
          <w:szCs w:val="22"/>
        </w:rPr>
        <w:t xml:space="preserve">that </w:t>
      </w:r>
      <w:r w:rsidRPr="00A55F3A">
        <w:rPr>
          <w:rStyle w:val="Carpredefinitoparagrafo"/>
          <w:rFonts w:ascii="Garamond" w:hAnsi="Garamond" w:cs="Times New Roman"/>
          <w:sz w:val="22"/>
          <w:szCs w:val="22"/>
        </w:rPr>
        <w:t xml:space="preserve">might inspire </w:t>
      </w:r>
      <w:r w:rsidR="004C6605" w:rsidRPr="00A55F3A">
        <w:rPr>
          <w:rStyle w:val="Carpredefinitoparagrafo"/>
          <w:rFonts w:ascii="Garamond" w:hAnsi="Garamond" w:cs="Times New Roman"/>
          <w:sz w:val="22"/>
          <w:szCs w:val="22"/>
        </w:rPr>
        <w:t>Italian</w:t>
      </w:r>
      <w:r w:rsidR="003567BF" w:rsidRPr="00A55F3A">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jurisprudence</w:t>
      </w:r>
      <w:r w:rsidR="004C6605" w:rsidRPr="00A55F3A">
        <w:rPr>
          <w:rStyle w:val="Carpredefinitoparagrafo"/>
          <w:rFonts w:ascii="Garamond" w:hAnsi="Garamond" w:cs="Times New Roman"/>
          <w:sz w:val="22"/>
          <w:szCs w:val="22"/>
        </w:rPr>
        <w:t>.</w:t>
      </w:r>
      <w:r w:rsidR="00B50D56" w:rsidRPr="00A55F3A">
        <w:rPr>
          <w:rStyle w:val="Carpredefinitoparagrafo"/>
          <w:rFonts w:ascii="Garamond" w:hAnsi="Garamond" w:cs="Times New Roman"/>
          <w:sz w:val="22"/>
          <w:szCs w:val="22"/>
        </w:rPr>
        <w:t xml:space="preserve"> </w:t>
      </w:r>
      <w:r w:rsidR="00AB5488" w:rsidRPr="00A55F3A">
        <w:rPr>
          <w:rStyle w:val="Carpredefinitoparagrafo"/>
          <w:rFonts w:ascii="Garamond" w:hAnsi="Garamond" w:cs="Times New Roman"/>
          <w:sz w:val="22"/>
          <w:szCs w:val="22"/>
        </w:rPr>
        <w:t xml:space="preserve">This point might be misunderstood and so we must be precise. </w:t>
      </w:r>
      <w:r w:rsidRPr="00A55F3A">
        <w:rPr>
          <w:rStyle w:val="Carpredefinitoparagrafo"/>
          <w:rFonts w:ascii="Garamond" w:hAnsi="Garamond" w:cs="Times New Roman"/>
          <w:sz w:val="22"/>
          <w:szCs w:val="22"/>
        </w:rPr>
        <w:t xml:space="preserve">The argument is not a </w:t>
      </w:r>
      <w:r w:rsidR="00EF6C80" w:rsidRPr="00A55F3A">
        <w:rPr>
          <w:rStyle w:val="Carpredefinitoparagrafo"/>
          <w:rFonts w:ascii="Garamond" w:hAnsi="Garamond" w:cs="Times New Roman"/>
          <w:sz w:val="22"/>
          <w:szCs w:val="22"/>
        </w:rPr>
        <w:t>Panglossian</w:t>
      </w:r>
      <w:r w:rsidRPr="00A55F3A">
        <w:rPr>
          <w:rStyle w:val="Carpredefinitoparagrafo"/>
          <w:rFonts w:ascii="Garamond" w:hAnsi="Garamond" w:cs="Times New Roman"/>
          <w:sz w:val="22"/>
          <w:szCs w:val="22"/>
        </w:rPr>
        <w:t xml:space="preserve"> suggestion that Italian and </w:t>
      </w:r>
      <w:r w:rsidR="00584F92" w:rsidRPr="00A55F3A">
        <w:rPr>
          <w:rStyle w:val="Carpredefinitoparagrafo"/>
          <w:rFonts w:ascii="Garamond" w:hAnsi="Garamond" w:cs="Times New Roman"/>
          <w:sz w:val="22"/>
          <w:szCs w:val="22"/>
        </w:rPr>
        <w:t>Eng</w:t>
      </w:r>
      <w:r w:rsidR="006647D8" w:rsidRPr="00A55F3A">
        <w:rPr>
          <w:rStyle w:val="Carpredefinitoparagrafo"/>
          <w:rFonts w:ascii="Garamond" w:hAnsi="Garamond" w:cs="Times New Roman"/>
          <w:sz w:val="22"/>
          <w:szCs w:val="22"/>
        </w:rPr>
        <w:t>l</w:t>
      </w:r>
      <w:r w:rsidR="00584F92" w:rsidRPr="00A55F3A">
        <w:rPr>
          <w:rStyle w:val="Carpredefinitoparagrafo"/>
          <w:rFonts w:ascii="Garamond" w:hAnsi="Garamond" w:cs="Times New Roman"/>
          <w:sz w:val="22"/>
          <w:szCs w:val="22"/>
        </w:rPr>
        <w:t xml:space="preserve">ish </w:t>
      </w:r>
      <w:r w:rsidR="00D13877">
        <w:rPr>
          <w:rStyle w:val="Carpredefinitoparagrafo"/>
          <w:rFonts w:ascii="Garamond" w:hAnsi="Garamond" w:cs="Times New Roman"/>
          <w:sz w:val="22"/>
          <w:szCs w:val="22"/>
        </w:rPr>
        <w:t xml:space="preserve"> </w:t>
      </w:r>
      <w:r w:rsidRPr="00A55F3A">
        <w:rPr>
          <w:rStyle w:val="Carpredefinitoparagrafo"/>
          <w:rFonts w:ascii="Garamond" w:hAnsi="Garamond" w:cs="Times New Roman"/>
          <w:sz w:val="22"/>
          <w:szCs w:val="22"/>
        </w:rPr>
        <w:t>judges should adopt, or even wors</w:t>
      </w:r>
      <w:r w:rsidR="00CB49BA" w:rsidRPr="00A55F3A">
        <w:rPr>
          <w:rStyle w:val="Carpredefinitoparagrafo"/>
          <w:rFonts w:ascii="Garamond" w:hAnsi="Garamond" w:cs="Times New Roman"/>
          <w:sz w:val="22"/>
          <w:szCs w:val="22"/>
        </w:rPr>
        <w:t>e,</w:t>
      </w:r>
      <w:r w:rsidRPr="00A55F3A">
        <w:rPr>
          <w:rStyle w:val="Carpredefinitoparagrafo"/>
          <w:rFonts w:ascii="Garamond" w:hAnsi="Garamond" w:cs="Times New Roman"/>
          <w:sz w:val="22"/>
          <w:szCs w:val="22"/>
        </w:rPr>
        <w:t xml:space="preserve"> mimic, the respective practices of the other legal system. Rather, we argue that both </w:t>
      </w:r>
      <w:r w:rsidR="00291400" w:rsidRPr="00A55F3A">
        <w:rPr>
          <w:rStyle w:val="Carpredefinitoparagrafo"/>
          <w:rFonts w:ascii="Garamond" w:hAnsi="Garamond" w:cs="Times New Roman"/>
          <w:sz w:val="22"/>
          <w:szCs w:val="22"/>
        </w:rPr>
        <w:t>IOE</w:t>
      </w:r>
      <w:r w:rsidRPr="00A55F3A">
        <w:rPr>
          <w:rStyle w:val="Carpredefinitoparagrafo"/>
          <w:rFonts w:ascii="Garamond" w:hAnsi="Garamond" w:cs="Times New Roman"/>
          <w:sz w:val="22"/>
          <w:szCs w:val="22"/>
        </w:rPr>
        <w:t xml:space="preserve"> systems are changing and judges</w:t>
      </w:r>
      <w:r w:rsidR="00EF6C80" w:rsidRPr="00A55F3A">
        <w:rPr>
          <w:rStyle w:val="Carpredefinitoparagrafo"/>
          <w:rFonts w:ascii="Garamond" w:hAnsi="Garamond" w:cs="Times New Roman"/>
          <w:sz w:val="22"/>
          <w:szCs w:val="22"/>
        </w:rPr>
        <w:t>,</w:t>
      </w:r>
      <w:r w:rsidRPr="00A55F3A">
        <w:rPr>
          <w:rStyle w:val="Carpredefinitoparagrafo"/>
          <w:rFonts w:ascii="Garamond" w:hAnsi="Garamond" w:cs="Times New Roman"/>
          <w:sz w:val="22"/>
          <w:szCs w:val="22"/>
        </w:rPr>
        <w:t xml:space="preserve"> </w:t>
      </w:r>
      <w:r w:rsidR="006754AE" w:rsidRPr="00A55F3A">
        <w:rPr>
          <w:rStyle w:val="Carpredefinitoparagrafo"/>
          <w:rFonts w:ascii="Garamond" w:hAnsi="Garamond" w:cs="Times New Roman"/>
          <w:sz w:val="22"/>
          <w:szCs w:val="22"/>
        </w:rPr>
        <w:t xml:space="preserve">by considering the experience of others might, after the opportune adjustments, </w:t>
      </w:r>
      <w:r w:rsidR="00EF6C80" w:rsidRPr="00A55F3A">
        <w:rPr>
          <w:rStyle w:val="Carpredefinitoparagrafo"/>
          <w:rFonts w:ascii="Garamond" w:hAnsi="Garamond" w:cs="Times New Roman"/>
          <w:sz w:val="22"/>
          <w:szCs w:val="22"/>
        </w:rPr>
        <w:t>set</w:t>
      </w:r>
      <w:r w:rsidR="006754AE" w:rsidRPr="00A55F3A">
        <w:rPr>
          <w:rStyle w:val="Carpredefinitoparagrafo"/>
          <w:rFonts w:ascii="Garamond" w:hAnsi="Garamond" w:cs="Times New Roman"/>
          <w:sz w:val="22"/>
          <w:szCs w:val="22"/>
        </w:rPr>
        <w:t xml:space="preserve"> a new balance between the exigency of protecting rights and justice.</w:t>
      </w:r>
      <w:r w:rsidRPr="00A55F3A">
        <w:rPr>
          <w:rStyle w:val="Carpredefinitoparagrafo"/>
          <w:rFonts w:ascii="Garamond" w:hAnsi="Garamond" w:cs="Times New Roman"/>
          <w:sz w:val="22"/>
          <w:szCs w:val="22"/>
        </w:rPr>
        <w:t xml:space="preserve"> </w:t>
      </w:r>
    </w:p>
    <w:p w14:paraId="3853BC45" w14:textId="13D014B0" w:rsidR="00605CE2" w:rsidRPr="00A55F3A" w:rsidRDefault="00593D4F" w:rsidP="00A55F3A">
      <w:pPr>
        <w:pStyle w:val="Heading2"/>
        <w:spacing w:line="480" w:lineRule="auto"/>
        <w:jc w:val="center"/>
        <w:rPr>
          <w:rFonts w:ascii="Garamond" w:hAnsi="Garamond"/>
        </w:rPr>
      </w:pPr>
      <w:r w:rsidRPr="00A55F3A">
        <w:rPr>
          <w:rStyle w:val="Carpredefinitoparagrafo"/>
          <w:rFonts w:ascii="Garamond" w:hAnsi="Garamond" w:cs="Times New Roman"/>
        </w:rPr>
        <w:t>Conclusion</w:t>
      </w:r>
    </w:p>
    <w:p w14:paraId="4AD8F011" w14:textId="502E532A" w:rsidR="00693E3B" w:rsidRDefault="00415C79" w:rsidP="00A55F3A">
      <w:pPr>
        <w:pStyle w:val="Standard"/>
        <w:spacing w:line="480" w:lineRule="auto"/>
        <w:rPr>
          <w:rFonts w:ascii="Garamond" w:hAnsi="Garamond"/>
          <w:sz w:val="22"/>
          <w:szCs w:val="22"/>
        </w:rPr>
      </w:pPr>
      <w:r w:rsidRPr="0092080C">
        <w:rPr>
          <w:rFonts w:ascii="Garamond" w:hAnsi="Garamond"/>
          <w:sz w:val="22"/>
          <w:szCs w:val="22"/>
        </w:rPr>
        <w:t xml:space="preserve">The reasons for the prevalence of orthopraxy </w:t>
      </w:r>
      <w:r>
        <w:rPr>
          <w:rFonts w:ascii="Garamond" w:hAnsi="Garamond"/>
          <w:sz w:val="22"/>
          <w:szCs w:val="22"/>
        </w:rPr>
        <w:t>o</w:t>
      </w:r>
      <w:r w:rsidR="00FE61D9">
        <w:rPr>
          <w:rFonts w:ascii="Garamond" w:hAnsi="Garamond"/>
          <w:sz w:val="22"/>
          <w:szCs w:val="22"/>
        </w:rPr>
        <w:t>r</w:t>
      </w:r>
      <w:r w:rsidRPr="0092080C">
        <w:rPr>
          <w:rFonts w:ascii="Garamond" w:hAnsi="Garamond"/>
          <w:sz w:val="22"/>
          <w:szCs w:val="22"/>
        </w:rPr>
        <w:t xml:space="preserve"> orthodoxy </w:t>
      </w:r>
      <w:r>
        <w:rPr>
          <w:rFonts w:ascii="Garamond" w:hAnsi="Garamond"/>
          <w:sz w:val="22"/>
          <w:szCs w:val="22"/>
        </w:rPr>
        <w:t xml:space="preserve">in a legal system </w:t>
      </w:r>
      <w:r w:rsidRPr="0092080C">
        <w:rPr>
          <w:rFonts w:ascii="Garamond" w:hAnsi="Garamond"/>
          <w:sz w:val="22"/>
          <w:szCs w:val="22"/>
        </w:rPr>
        <w:t xml:space="preserve"> are probably historical.</w:t>
      </w:r>
      <w:r>
        <w:rPr>
          <w:rFonts w:ascii="Garamond" w:hAnsi="Garamond"/>
          <w:sz w:val="22"/>
          <w:szCs w:val="22"/>
        </w:rPr>
        <w:t xml:space="preserve">  </w:t>
      </w:r>
      <w:r w:rsidR="00693E3B">
        <w:rPr>
          <w:rFonts w:ascii="Garamond" w:hAnsi="Garamond"/>
          <w:sz w:val="22"/>
          <w:szCs w:val="22"/>
        </w:rPr>
        <w:t>In England</w:t>
      </w:r>
      <w:r>
        <w:rPr>
          <w:rFonts w:ascii="Garamond" w:hAnsi="Garamond"/>
          <w:sz w:val="22"/>
          <w:szCs w:val="22"/>
        </w:rPr>
        <w:t xml:space="preserve">, </w:t>
      </w:r>
      <w:r w:rsidR="00693E3B">
        <w:rPr>
          <w:rFonts w:ascii="Garamond" w:hAnsi="Garamond"/>
          <w:sz w:val="22"/>
          <w:szCs w:val="22"/>
        </w:rPr>
        <w:t>an</w:t>
      </w:r>
      <w:r>
        <w:rPr>
          <w:rFonts w:ascii="Garamond" w:hAnsi="Garamond"/>
          <w:sz w:val="22"/>
          <w:szCs w:val="22"/>
        </w:rPr>
        <w:t xml:space="preserve"> </w:t>
      </w:r>
      <w:r w:rsidRPr="00A55F3A">
        <w:rPr>
          <w:rFonts w:ascii="Garamond" w:hAnsi="Garamond"/>
          <w:sz w:val="22"/>
          <w:szCs w:val="22"/>
        </w:rPr>
        <w:t xml:space="preserve">IOE </w:t>
      </w:r>
      <w:r>
        <w:rPr>
          <w:rFonts w:ascii="Garamond" w:hAnsi="Garamond"/>
          <w:sz w:val="22"/>
          <w:szCs w:val="22"/>
        </w:rPr>
        <w:t xml:space="preserve">is  </w:t>
      </w:r>
      <w:r w:rsidR="00693E3B">
        <w:rPr>
          <w:rFonts w:ascii="Garamond" w:hAnsi="Garamond"/>
          <w:sz w:val="22"/>
          <w:szCs w:val="22"/>
        </w:rPr>
        <w:t xml:space="preserve">constructed an </w:t>
      </w:r>
      <w:r>
        <w:rPr>
          <w:rFonts w:ascii="Garamond" w:hAnsi="Garamond"/>
          <w:sz w:val="22"/>
          <w:szCs w:val="22"/>
        </w:rPr>
        <w:t xml:space="preserve">unfortunate event that, nevertheless,  brings a beam of  light in the court room. </w:t>
      </w:r>
      <w:r w:rsidR="00693E3B">
        <w:rPr>
          <w:rFonts w:ascii="Garamond" w:hAnsi="Garamond"/>
          <w:sz w:val="22"/>
          <w:szCs w:val="22"/>
        </w:rPr>
        <w:t xml:space="preserve">In Italy a IOE is  considered  </w:t>
      </w:r>
      <w:r>
        <w:rPr>
          <w:rFonts w:ascii="Garamond" w:hAnsi="Garamond"/>
          <w:sz w:val="22"/>
          <w:szCs w:val="22"/>
        </w:rPr>
        <w:t xml:space="preserve"> </w:t>
      </w:r>
      <w:r w:rsidR="00693E3B">
        <w:rPr>
          <w:rFonts w:ascii="Garamond" w:hAnsi="Garamond"/>
          <w:sz w:val="22"/>
          <w:szCs w:val="22"/>
        </w:rPr>
        <w:t xml:space="preserve">inadmissible  for  deontological  </w:t>
      </w:r>
      <w:r w:rsidR="00693E3B">
        <w:rPr>
          <w:rFonts w:ascii="Garamond" w:hAnsi="Garamond"/>
          <w:sz w:val="22"/>
          <w:szCs w:val="22"/>
        </w:rPr>
        <w:lastRenderedPageBreak/>
        <w:t xml:space="preserve">reasons. Italians law students  are taught  that:  </w:t>
      </w:r>
      <w:r w:rsidR="00693E3B">
        <w:rPr>
          <w:rFonts w:ascii="Garamond" w:hAnsi="Garamond"/>
          <w:i/>
          <w:sz w:val="22"/>
          <w:szCs w:val="22"/>
        </w:rPr>
        <w:t>n</w:t>
      </w:r>
      <w:r w:rsidR="00693E3B" w:rsidRPr="00693E3B">
        <w:rPr>
          <w:rFonts w:ascii="Garamond" w:hAnsi="Garamond"/>
          <w:i/>
          <w:sz w:val="22"/>
          <w:szCs w:val="22"/>
        </w:rPr>
        <w:t xml:space="preserve">emo turpitudinem suam allegans </w:t>
      </w:r>
      <w:r w:rsidR="00693E3B">
        <w:rPr>
          <w:rFonts w:ascii="Garamond" w:hAnsi="Garamond"/>
          <w:i/>
          <w:sz w:val="22"/>
          <w:szCs w:val="22"/>
        </w:rPr>
        <w:t xml:space="preserve">auditor. </w:t>
      </w:r>
      <w:r w:rsidR="00693E3B">
        <w:rPr>
          <w:rFonts w:ascii="Garamond" w:hAnsi="Garamond"/>
          <w:sz w:val="22"/>
          <w:szCs w:val="22"/>
        </w:rPr>
        <w:t xml:space="preserve">The court will not hear about the result of  illicit activities.  </w:t>
      </w:r>
    </w:p>
    <w:p w14:paraId="0F10D022" w14:textId="7BB7C62D" w:rsidR="0060467E" w:rsidRDefault="004B7E82" w:rsidP="00A55F3A">
      <w:pPr>
        <w:pStyle w:val="Standard"/>
        <w:spacing w:line="480" w:lineRule="auto"/>
        <w:rPr>
          <w:rFonts w:ascii="Garamond" w:hAnsi="Garamond"/>
          <w:sz w:val="22"/>
          <w:szCs w:val="22"/>
        </w:rPr>
      </w:pPr>
      <w:r w:rsidRPr="00A55F3A">
        <w:rPr>
          <w:rFonts w:ascii="Garamond" w:hAnsi="Garamond"/>
          <w:sz w:val="22"/>
          <w:szCs w:val="22"/>
        </w:rPr>
        <w:t>Recently, c</w:t>
      </w:r>
      <w:r w:rsidR="00593D4F" w:rsidRPr="00A55F3A">
        <w:rPr>
          <w:rFonts w:ascii="Garamond" w:hAnsi="Garamond"/>
          <w:sz w:val="22"/>
          <w:szCs w:val="22"/>
        </w:rPr>
        <w:t>ivil procedures</w:t>
      </w:r>
      <w:r w:rsidR="006647D8" w:rsidRPr="00A55F3A">
        <w:rPr>
          <w:rFonts w:ascii="Garamond" w:hAnsi="Garamond"/>
          <w:sz w:val="22"/>
          <w:szCs w:val="22"/>
        </w:rPr>
        <w:t xml:space="preserve"> rules</w:t>
      </w:r>
      <w:r w:rsidR="00593D4F" w:rsidRPr="00A55F3A">
        <w:rPr>
          <w:rFonts w:ascii="Garamond" w:hAnsi="Garamond"/>
          <w:sz w:val="22"/>
          <w:szCs w:val="22"/>
        </w:rPr>
        <w:t xml:space="preserve"> in both systems ha</w:t>
      </w:r>
      <w:r w:rsidR="006647D8" w:rsidRPr="00A55F3A">
        <w:rPr>
          <w:rFonts w:ascii="Garamond" w:hAnsi="Garamond"/>
          <w:sz w:val="22"/>
          <w:szCs w:val="22"/>
        </w:rPr>
        <w:t>ve</w:t>
      </w:r>
      <w:r w:rsidR="00593D4F" w:rsidRPr="00A55F3A">
        <w:rPr>
          <w:rFonts w:ascii="Garamond" w:hAnsi="Garamond"/>
          <w:sz w:val="22"/>
          <w:szCs w:val="22"/>
        </w:rPr>
        <w:t xml:space="preserve"> been heavily reformed by their respective parliaments to </w:t>
      </w:r>
      <w:r w:rsidR="00693E3B">
        <w:rPr>
          <w:rFonts w:ascii="Garamond" w:hAnsi="Garamond"/>
          <w:sz w:val="22"/>
          <w:szCs w:val="22"/>
        </w:rPr>
        <w:t xml:space="preserve">meet the criteria of efficiency, </w:t>
      </w:r>
      <w:r w:rsidR="00593D4F" w:rsidRPr="00A55F3A">
        <w:rPr>
          <w:rFonts w:ascii="Garamond" w:hAnsi="Garamond"/>
          <w:sz w:val="22"/>
          <w:szCs w:val="22"/>
        </w:rPr>
        <w:t>accuracy expected by a modern economy</w:t>
      </w:r>
      <w:r w:rsidR="00693E3B">
        <w:rPr>
          <w:rFonts w:ascii="Garamond" w:hAnsi="Garamond"/>
          <w:sz w:val="22"/>
          <w:szCs w:val="22"/>
        </w:rPr>
        <w:t xml:space="preserve"> and increase culture of rights. </w:t>
      </w:r>
      <w:r w:rsidR="00593D4F" w:rsidRPr="00A55F3A">
        <w:rPr>
          <w:rFonts w:ascii="Garamond" w:hAnsi="Garamond"/>
          <w:sz w:val="22"/>
          <w:szCs w:val="22"/>
        </w:rPr>
        <w:t xml:space="preserve"> </w:t>
      </w:r>
      <w:r w:rsidR="0055531D">
        <w:rPr>
          <w:rFonts w:ascii="Garamond" w:hAnsi="Garamond"/>
          <w:sz w:val="22"/>
          <w:szCs w:val="22"/>
        </w:rPr>
        <w:t xml:space="preserve">However and quite strangely, </w:t>
      </w:r>
      <w:r w:rsidR="00593D4F" w:rsidRPr="00A55F3A">
        <w:rPr>
          <w:rFonts w:ascii="Garamond" w:hAnsi="Garamond"/>
          <w:sz w:val="22"/>
          <w:szCs w:val="22"/>
        </w:rPr>
        <w:t xml:space="preserve">regimes of </w:t>
      </w:r>
      <w:r w:rsidR="00291400" w:rsidRPr="00A55F3A">
        <w:rPr>
          <w:rFonts w:ascii="Garamond" w:hAnsi="Garamond"/>
          <w:sz w:val="22"/>
          <w:szCs w:val="22"/>
        </w:rPr>
        <w:t>IOE</w:t>
      </w:r>
      <w:r w:rsidR="0060467E">
        <w:rPr>
          <w:rFonts w:ascii="Garamond" w:hAnsi="Garamond"/>
          <w:sz w:val="22"/>
          <w:szCs w:val="22"/>
        </w:rPr>
        <w:t xml:space="preserve"> in both systems remained</w:t>
      </w:r>
      <w:r w:rsidR="0055531D">
        <w:rPr>
          <w:rFonts w:ascii="Garamond" w:hAnsi="Garamond"/>
          <w:sz w:val="22"/>
          <w:szCs w:val="22"/>
        </w:rPr>
        <w:t xml:space="preserve"> </w:t>
      </w:r>
      <w:r w:rsidR="00593D4F" w:rsidRPr="00A55F3A">
        <w:rPr>
          <w:rFonts w:ascii="Garamond" w:hAnsi="Garamond"/>
          <w:sz w:val="22"/>
          <w:szCs w:val="22"/>
        </w:rPr>
        <w:t>largely untouched by the</w:t>
      </w:r>
      <w:r w:rsidR="004C6605" w:rsidRPr="00A55F3A">
        <w:rPr>
          <w:rFonts w:ascii="Garamond" w:hAnsi="Garamond"/>
          <w:sz w:val="22"/>
          <w:szCs w:val="22"/>
        </w:rPr>
        <w:t>ir respect</w:t>
      </w:r>
      <w:r w:rsidR="00EF6C80" w:rsidRPr="00A55F3A">
        <w:rPr>
          <w:rFonts w:ascii="Garamond" w:hAnsi="Garamond"/>
          <w:sz w:val="22"/>
          <w:szCs w:val="22"/>
        </w:rPr>
        <w:t>ive</w:t>
      </w:r>
      <w:r w:rsidR="003567BF" w:rsidRPr="00A55F3A">
        <w:rPr>
          <w:rFonts w:ascii="Garamond" w:hAnsi="Garamond"/>
          <w:sz w:val="22"/>
          <w:szCs w:val="22"/>
        </w:rPr>
        <w:t xml:space="preserve"> </w:t>
      </w:r>
      <w:r w:rsidR="00593D4F" w:rsidRPr="00A55F3A">
        <w:rPr>
          <w:rFonts w:ascii="Garamond" w:hAnsi="Garamond"/>
          <w:sz w:val="22"/>
          <w:szCs w:val="22"/>
        </w:rPr>
        <w:t>reforms</w:t>
      </w:r>
      <w:r w:rsidRPr="00A55F3A">
        <w:rPr>
          <w:rFonts w:ascii="Garamond" w:hAnsi="Garamond"/>
          <w:sz w:val="22"/>
          <w:szCs w:val="22"/>
        </w:rPr>
        <w:t>.</w:t>
      </w:r>
      <w:r w:rsidR="003567BF" w:rsidRPr="00A55F3A">
        <w:rPr>
          <w:rFonts w:ascii="Garamond" w:hAnsi="Garamond"/>
          <w:sz w:val="22"/>
          <w:szCs w:val="22"/>
        </w:rPr>
        <w:t xml:space="preserve"> </w:t>
      </w:r>
    </w:p>
    <w:p w14:paraId="19426BD6" w14:textId="4FB7F2F7" w:rsidR="0092080C" w:rsidRDefault="0060467E" w:rsidP="0060467E">
      <w:pPr>
        <w:pStyle w:val="Standard"/>
        <w:spacing w:line="480" w:lineRule="auto"/>
        <w:rPr>
          <w:rFonts w:ascii="Garamond" w:hAnsi="Garamond"/>
          <w:sz w:val="22"/>
          <w:szCs w:val="22"/>
        </w:rPr>
      </w:pPr>
      <w:r>
        <w:rPr>
          <w:rFonts w:ascii="Garamond" w:hAnsi="Garamond"/>
          <w:sz w:val="22"/>
          <w:szCs w:val="22"/>
        </w:rPr>
        <w:t>Nevertheless, t</w:t>
      </w:r>
      <w:r w:rsidR="004B7E82" w:rsidRPr="00A55F3A">
        <w:rPr>
          <w:rFonts w:ascii="Garamond" w:hAnsi="Garamond"/>
          <w:sz w:val="22"/>
          <w:szCs w:val="22"/>
        </w:rPr>
        <w:t>he courts ha</w:t>
      </w:r>
      <w:r w:rsidR="006647D8" w:rsidRPr="00A55F3A">
        <w:rPr>
          <w:rFonts w:ascii="Garamond" w:hAnsi="Garamond"/>
          <w:sz w:val="22"/>
          <w:szCs w:val="22"/>
        </w:rPr>
        <w:t>ve</w:t>
      </w:r>
      <w:r w:rsidR="004B7E82" w:rsidRPr="00A55F3A">
        <w:rPr>
          <w:rFonts w:ascii="Garamond" w:hAnsi="Garamond"/>
          <w:sz w:val="22"/>
          <w:szCs w:val="22"/>
        </w:rPr>
        <w:t xml:space="preserve"> t</w:t>
      </w:r>
      <w:r w:rsidR="006647D8" w:rsidRPr="00A55F3A">
        <w:rPr>
          <w:rFonts w:ascii="Garamond" w:hAnsi="Garamond"/>
          <w:sz w:val="22"/>
          <w:szCs w:val="22"/>
        </w:rPr>
        <w:t>aken</w:t>
      </w:r>
      <w:r w:rsidR="004B7E82" w:rsidRPr="00A55F3A">
        <w:rPr>
          <w:rFonts w:ascii="Garamond" w:hAnsi="Garamond"/>
          <w:sz w:val="22"/>
          <w:szCs w:val="22"/>
        </w:rPr>
        <w:t xml:space="preserve"> the task </w:t>
      </w:r>
      <w:r w:rsidR="006647D8" w:rsidRPr="00A55F3A">
        <w:rPr>
          <w:rFonts w:ascii="Garamond" w:hAnsi="Garamond"/>
          <w:sz w:val="22"/>
          <w:szCs w:val="22"/>
        </w:rPr>
        <w:t>of</w:t>
      </w:r>
      <w:r w:rsidR="004B7E82" w:rsidRPr="00A55F3A">
        <w:rPr>
          <w:rFonts w:ascii="Garamond" w:hAnsi="Garamond"/>
          <w:sz w:val="22"/>
          <w:szCs w:val="22"/>
        </w:rPr>
        <w:t xml:space="preserve"> </w:t>
      </w:r>
      <w:r w:rsidR="004C6605" w:rsidRPr="00A55F3A">
        <w:rPr>
          <w:rFonts w:ascii="Garamond" w:hAnsi="Garamond"/>
          <w:sz w:val="22"/>
          <w:szCs w:val="22"/>
        </w:rPr>
        <w:t>‘</w:t>
      </w:r>
      <w:r w:rsidR="004B7E82" w:rsidRPr="00A55F3A">
        <w:rPr>
          <w:rFonts w:ascii="Garamond" w:hAnsi="Garamond"/>
          <w:sz w:val="22"/>
          <w:szCs w:val="22"/>
        </w:rPr>
        <w:t>tun</w:t>
      </w:r>
      <w:r w:rsidR="006647D8" w:rsidRPr="00A55F3A">
        <w:rPr>
          <w:rFonts w:ascii="Garamond" w:hAnsi="Garamond"/>
          <w:sz w:val="22"/>
          <w:szCs w:val="22"/>
        </w:rPr>
        <w:t>ing</w:t>
      </w:r>
      <w:r w:rsidR="00EF6C80" w:rsidRPr="00A55F3A">
        <w:rPr>
          <w:rFonts w:ascii="Garamond" w:hAnsi="Garamond"/>
          <w:sz w:val="22"/>
          <w:szCs w:val="22"/>
        </w:rPr>
        <w:t>’</w:t>
      </w:r>
      <w:r w:rsidR="004B7E82" w:rsidRPr="00A55F3A">
        <w:rPr>
          <w:rFonts w:ascii="Garamond" w:hAnsi="Garamond"/>
          <w:sz w:val="22"/>
          <w:szCs w:val="22"/>
        </w:rPr>
        <w:t xml:space="preserve"> the </w:t>
      </w:r>
      <w:r w:rsidR="004C6605" w:rsidRPr="00A55F3A">
        <w:rPr>
          <w:rFonts w:ascii="Garamond" w:hAnsi="Garamond"/>
          <w:sz w:val="22"/>
          <w:szCs w:val="22"/>
        </w:rPr>
        <w:t>regime of</w:t>
      </w:r>
      <w:r w:rsidR="003567BF" w:rsidRPr="00A55F3A">
        <w:rPr>
          <w:rFonts w:ascii="Garamond" w:hAnsi="Garamond"/>
          <w:sz w:val="22"/>
          <w:szCs w:val="22"/>
        </w:rPr>
        <w:t xml:space="preserve"> </w:t>
      </w:r>
      <w:r w:rsidR="00291400" w:rsidRPr="00A55F3A">
        <w:rPr>
          <w:rFonts w:ascii="Garamond" w:hAnsi="Garamond"/>
          <w:sz w:val="22"/>
          <w:szCs w:val="22"/>
        </w:rPr>
        <w:t>IOE</w:t>
      </w:r>
      <w:r w:rsidR="004C6605" w:rsidRPr="00A55F3A">
        <w:rPr>
          <w:rFonts w:ascii="Garamond" w:hAnsi="Garamond"/>
          <w:sz w:val="22"/>
          <w:szCs w:val="22"/>
        </w:rPr>
        <w:t xml:space="preserve"> to the new </w:t>
      </w:r>
      <w:r>
        <w:rPr>
          <w:rFonts w:ascii="Garamond" w:hAnsi="Garamond"/>
          <w:sz w:val="22"/>
          <w:szCs w:val="22"/>
        </w:rPr>
        <w:t xml:space="preserve">legal framework. I </w:t>
      </w:r>
      <w:r w:rsidR="00440F54" w:rsidRPr="00A55F3A">
        <w:rPr>
          <w:rFonts w:ascii="Garamond" w:hAnsi="Garamond"/>
          <w:sz w:val="22"/>
          <w:szCs w:val="22"/>
        </w:rPr>
        <w:t xml:space="preserve">explained that the regimes of </w:t>
      </w:r>
      <w:r w:rsidR="00291400" w:rsidRPr="00A55F3A">
        <w:rPr>
          <w:rFonts w:ascii="Garamond" w:hAnsi="Garamond"/>
          <w:sz w:val="22"/>
          <w:szCs w:val="22"/>
        </w:rPr>
        <w:t>IOE</w:t>
      </w:r>
      <w:r w:rsidR="003567BF" w:rsidRPr="00A55F3A">
        <w:rPr>
          <w:rFonts w:ascii="Garamond" w:hAnsi="Garamond"/>
          <w:sz w:val="22"/>
          <w:szCs w:val="22"/>
        </w:rPr>
        <w:t xml:space="preserve"> </w:t>
      </w:r>
      <w:r w:rsidR="00440F54" w:rsidRPr="00A55F3A">
        <w:rPr>
          <w:rFonts w:ascii="Garamond" w:hAnsi="Garamond"/>
          <w:sz w:val="22"/>
          <w:szCs w:val="22"/>
        </w:rPr>
        <w:t>in both systems are, albeit starting from different stances,</w:t>
      </w:r>
      <w:r w:rsidR="003567BF" w:rsidRPr="00A55F3A">
        <w:rPr>
          <w:rFonts w:ascii="Garamond" w:hAnsi="Garamond"/>
          <w:sz w:val="22"/>
          <w:szCs w:val="22"/>
        </w:rPr>
        <w:t xml:space="preserve"> </w:t>
      </w:r>
      <w:r w:rsidR="00440F54" w:rsidRPr="00A55F3A">
        <w:rPr>
          <w:rFonts w:ascii="Garamond" w:hAnsi="Garamond"/>
          <w:sz w:val="22"/>
          <w:szCs w:val="22"/>
        </w:rPr>
        <w:t>going through a</w:t>
      </w:r>
      <w:r w:rsidR="003567BF" w:rsidRPr="00A55F3A">
        <w:rPr>
          <w:rFonts w:ascii="Garamond" w:hAnsi="Garamond"/>
          <w:sz w:val="22"/>
          <w:szCs w:val="22"/>
        </w:rPr>
        <w:t xml:space="preserve"> </w:t>
      </w:r>
      <w:r w:rsidR="00440F54" w:rsidRPr="00A55F3A">
        <w:rPr>
          <w:rFonts w:ascii="Garamond" w:hAnsi="Garamond"/>
          <w:sz w:val="22"/>
          <w:szCs w:val="22"/>
        </w:rPr>
        <w:t>transitional</w:t>
      </w:r>
      <w:r w:rsidR="003567BF" w:rsidRPr="00A55F3A">
        <w:rPr>
          <w:rFonts w:ascii="Garamond" w:hAnsi="Garamond"/>
          <w:sz w:val="22"/>
          <w:szCs w:val="22"/>
        </w:rPr>
        <w:t xml:space="preserve"> </w:t>
      </w:r>
      <w:r w:rsidR="00440F54" w:rsidRPr="00A55F3A">
        <w:rPr>
          <w:rFonts w:ascii="Garamond" w:hAnsi="Garamond"/>
          <w:sz w:val="22"/>
          <w:szCs w:val="22"/>
        </w:rPr>
        <w:t>phase.</w:t>
      </w:r>
      <w:r w:rsidR="003567BF" w:rsidRPr="00A55F3A">
        <w:rPr>
          <w:rFonts w:ascii="Garamond" w:hAnsi="Garamond"/>
          <w:sz w:val="22"/>
          <w:szCs w:val="22"/>
        </w:rPr>
        <w:t xml:space="preserve"> </w:t>
      </w:r>
      <w:r w:rsidR="004B7E82" w:rsidRPr="00A55F3A">
        <w:rPr>
          <w:rFonts w:ascii="Garamond" w:hAnsi="Garamond"/>
          <w:sz w:val="22"/>
          <w:szCs w:val="22"/>
        </w:rPr>
        <w:t xml:space="preserve">Lord Wools in </w:t>
      </w:r>
      <w:r w:rsidR="003711AD" w:rsidRPr="00A55F3A">
        <w:rPr>
          <w:rFonts w:ascii="Garamond" w:hAnsi="Garamond"/>
          <w:i/>
          <w:sz w:val="22"/>
          <w:szCs w:val="22"/>
        </w:rPr>
        <w:t>Jones</w:t>
      </w:r>
      <w:r w:rsidR="00C10272" w:rsidRPr="00A55F3A">
        <w:rPr>
          <w:rFonts w:ascii="Garamond" w:hAnsi="Garamond"/>
          <w:sz w:val="22"/>
          <w:szCs w:val="22"/>
        </w:rPr>
        <w:t xml:space="preserve"> v </w:t>
      </w:r>
      <w:r w:rsidR="004B7E82" w:rsidRPr="00A55F3A">
        <w:rPr>
          <w:rFonts w:ascii="Garamond" w:hAnsi="Garamond"/>
          <w:i/>
          <w:sz w:val="22"/>
          <w:szCs w:val="22"/>
        </w:rPr>
        <w:t>University o</w:t>
      </w:r>
      <w:r w:rsidR="00CB49BA" w:rsidRPr="00A55F3A">
        <w:rPr>
          <w:rFonts w:ascii="Garamond" w:hAnsi="Garamond"/>
          <w:i/>
          <w:sz w:val="22"/>
          <w:szCs w:val="22"/>
        </w:rPr>
        <w:t>f</w:t>
      </w:r>
      <w:r w:rsidR="004B7E82" w:rsidRPr="00A55F3A">
        <w:rPr>
          <w:rFonts w:ascii="Garamond" w:hAnsi="Garamond"/>
          <w:i/>
          <w:sz w:val="22"/>
          <w:szCs w:val="22"/>
        </w:rPr>
        <w:t xml:space="preserve"> Warwick</w:t>
      </w:r>
      <w:r w:rsidR="003567BF" w:rsidRPr="00A55F3A">
        <w:rPr>
          <w:rFonts w:ascii="Garamond" w:hAnsi="Garamond"/>
          <w:sz w:val="22"/>
          <w:szCs w:val="22"/>
        </w:rPr>
        <w:t xml:space="preserve"> </w:t>
      </w:r>
      <w:r w:rsidR="004B7E82" w:rsidRPr="00A55F3A">
        <w:rPr>
          <w:rFonts w:ascii="Garamond" w:hAnsi="Garamond"/>
          <w:sz w:val="22"/>
          <w:szCs w:val="22"/>
        </w:rPr>
        <w:t xml:space="preserve">explained that </w:t>
      </w:r>
      <w:r w:rsidR="00291400" w:rsidRPr="00A55F3A">
        <w:rPr>
          <w:rFonts w:ascii="Garamond" w:hAnsi="Garamond"/>
          <w:sz w:val="22"/>
          <w:szCs w:val="22"/>
        </w:rPr>
        <w:t>IOE</w:t>
      </w:r>
      <w:r w:rsidR="00415C79">
        <w:rPr>
          <w:rFonts w:ascii="Garamond" w:hAnsi="Garamond"/>
          <w:sz w:val="22"/>
          <w:szCs w:val="22"/>
        </w:rPr>
        <w:t xml:space="preserve"> not linked to </w:t>
      </w:r>
      <w:r>
        <w:rPr>
          <w:rFonts w:ascii="Garamond" w:hAnsi="Garamond"/>
          <w:sz w:val="22"/>
          <w:szCs w:val="22"/>
        </w:rPr>
        <w:t xml:space="preserve"> </w:t>
      </w:r>
      <w:r w:rsidR="00593D4F" w:rsidRPr="00A55F3A">
        <w:rPr>
          <w:rFonts w:ascii="Garamond" w:hAnsi="Garamond"/>
          <w:sz w:val="22"/>
          <w:szCs w:val="22"/>
        </w:rPr>
        <w:t>outrageous violation of rights</w:t>
      </w:r>
      <w:r w:rsidR="004B7E82" w:rsidRPr="00A55F3A">
        <w:rPr>
          <w:rFonts w:ascii="Garamond" w:hAnsi="Garamond"/>
          <w:sz w:val="22"/>
          <w:szCs w:val="22"/>
        </w:rPr>
        <w:t xml:space="preserve"> </w:t>
      </w:r>
      <w:r w:rsidR="00415C79">
        <w:rPr>
          <w:rFonts w:ascii="Garamond" w:hAnsi="Garamond"/>
          <w:sz w:val="22"/>
          <w:szCs w:val="22"/>
        </w:rPr>
        <w:t xml:space="preserve"> criterion </w:t>
      </w:r>
      <w:r w:rsidR="004B7E82" w:rsidRPr="00A55F3A">
        <w:rPr>
          <w:rFonts w:ascii="Garamond" w:hAnsi="Garamond"/>
          <w:sz w:val="22"/>
          <w:szCs w:val="22"/>
        </w:rPr>
        <w:t>could be admitted</w:t>
      </w:r>
      <w:r w:rsidR="003567BF" w:rsidRPr="00A55F3A">
        <w:rPr>
          <w:rFonts w:ascii="Garamond" w:hAnsi="Garamond"/>
          <w:sz w:val="22"/>
          <w:szCs w:val="22"/>
        </w:rPr>
        <w:t xml:space="preserve"> </w:t>
      </w:r>
      <w:r w:rsidR="004B7E82" w:rsidRPr="00A55F3A">
        <w:rPr>
          <w:rFonts w:ascii="Garamond" w:hAnsi="Garamond"/>
          <w:sz w:val="22"/>
          <w:szCs w:val="22"/>
        </w:rPr>
        <w:t>in court. The</w:t>
      </w:r>
      <w:r>
        <w:rPr>
          <w:rFonts w:ascii="Garamond" w:hAnsi="Garamond"/>
          <w:sz w:val="22"/>
          <w:szCs w:val="22"/>
        </w:rPr>
        <w:t xml:space="preserve"> requirement of </w:t>
      </w:r>
      <w:r w:rsidR="004B7E82" w:rsidRPr="00A55F3A">
        <w:rPr>
          <w:rFonts w:ascii="Garamond" w:hAnsi="Garamond"/>
          <w:sz w:val="22"/>
          <w:szCs w:val="22"/>
        </w:rPr>
        <w:t xml:space="preserve"> qualification tilted</w:t>
      </w:r>
      <w:r w:rsidR="0092080C">
        <w:rPr>
          <w:rFonts w:ascii="Garamond" w:hAnsi="Garamond"/>
          <w:sz w:val="22"/>
          <w:szCs w:val="22"/>
        </w:rPr>
        <w:t xml:space="preserve"> </w:t>
      </w:r>
      <w:r w:rsidR="004B7E82" w:rsidRPr="00A55F3A">
        <w:rPr>
          <w:rFonts w:ascii="Garamond" w:hAnsi="Garamond"/>
          <w:sz w:val="22"/>
          <w:szCs w:val="22"/>
        </w:rPr>
        <w:t xml:space="preserve">the regime of </w:t>
      </w:r>
      <w:r>
        <w:rPr>
          <w:rFonts w:ascii="Garamond" w:hAnsi="Garamond"/>
          <w:sz w:val="22"/>
          <w:szCs w:val="22"/>
        </w:rPr>
        <w:t xml:space="preserve">English </w:t>
      </w:r>
      <w:r w:rsidR="00D13877">
        <w:rPr>
          <w:rFonts w:ascii="Garamond" w:hAnsi="Garamond"/>
          <w:sz w:val="22"/>
          <w:szCs w:val="22"/>
        </w:rPr>
        <w:t xml:space="preserve"> </w:t>
      </w:r>
      <w:r>
        <w:rPr>
          <w:rFonts w:ascii="Garamond" w:hAnsi="Garamond"/>
          <w:sz w:val="22"/>
          <w:szCs w:val="22"/>
        </w:rPr>
        <w:t xml:space="preserve">regime of </w:t>
      </w:r>
      <w:r w:rsidR="00291400" w:rsidRPr="00A55F3A">
        <w:rPr>
          <w:rFonts w:ascii="Garamond" w:hAnsi="Garamond"/>
          <w:sz w:val="22"/>
          <w:szCs w:val="22"/>
        </w:rPr>
        <w:t>IOE</w:t>
      </w:r>
      <w:r w:rsidR="004B7E82" w:rsidRPr="00A55F3A">
        <w:rPr>
          <w:rFonts w:ascii="Garamond" w:hAnsi="Garamond"/>
          <w:sz w:val="22"/>
          <w:szCs w:val="22"/>
        </w:rPr>
        <w:t xml:space="preserve"> toward a greater level of protection for the victim</w:t>
      </w:r>
      <w:r w:rsidR="006647D8" w:rsidRPr="00A55F3A">
        <w:rPr>
          <w:rFonts w:ascii="Garamond" w:hAnsi="Garamond"/>
          <w:sz w:val="22"/>
          <w:szCs w:val="22"/>
        </w:rPr>
        <w:t>s</w:t>
      </w:r>
      <w:r w:rsidR="004B7E82" w:rsidRPr="00A55F3A">
        <w:rPr>
          <w:rFonts w:ascii="Garamond" w:hAnsi="Garamond"/>
          <w:sz w:val="22"/>
          <w:szCs w:val="22"/>
        </w:rPr>
        <w:t xml:space="preserve"> of illicit activities. </w:t>
      </w:r>
      <w:r w:rsidR="00440F54" w:rsidRPr="00A55F3A">
        <w:rPr>
          <w:rFonts w:ascii="Garamond" w:hAnsi="Garamond"/>
          <w:sz w:val="22"/>
          <w:szCs w:val="22"/>
        </w:rPr>
        <w:t>However</w:t>
      </w:r>
      <w:r>
        <w:rPr>
          <w:rFonts w:ascii="Garamond" w:hAnsi="Garamond"/>
          <w:sz w:val="22"/>
          <w:szCs w:val="22"/>
        </w:rPr>
        <w:t>,</w:t>
      </w:r>
      <w:r w:rsidR="00440F54" w:rsidRPr="00A55F3A">
        <w:rPr>
          <w:rFonts w:ascii="Garamond" w:hAnsi="Garamond"/>
          <w:sz w:val="22"/>
          <w:szCs w:val="22"/>
        </w:rPr>
        <w:t xml:space="preserve"> the idea to limit such a protection to </w:t>
      </w:r>
      <w:r w:rsidR="0092080C">
        <w:rPr>
          <w:rFonts w:ascii="Garamond" w:hAnsi="Garamond"/>
          <w:sz w:val="22"/>
          <w:szCs w:val="22"/>
        </w:rPr>
        <w:t xml:space="preserve">an evaluation  of </w:t>
      </w:r>
      <w:r>
        <w:rPr>
          <w:rFonts w:ascii="Garamond" w:hAnsi="Garamond"/>
          <w:sz w:val="22"/>
          <w:szCs w:val="22"/>
        </w:rPr>
        <w:t xml:space="preserve">to </w:t>
      </w:r>
      <w:r w:rsidR="0092080C">
        <w:rPr>
          <w:rFonts w:ascii="Garamond" w:hAnsi="Garamond"/>
          <w:sz w:val="22"/>
          <w:szCs w:val="22"/>
        </w:rPr>
        <w:t xml:space="preserve">its effects </w:t>
      </w:r>
      <w:r>
        <w:rPr>
          <w:rFonts w:ascii="Garamond" w:hAnsi="Garamond"/>
          <w:sz w:val="22"/>
          <w:szCs w:val="22"/>
        </w:rPr>
        <w:t xml:space="preserve">might be not sufficient. In particular, it  </w:t>
      </w:r>
      <w:r w:rsidR="0092080C">
        <w:rPr>
          <w:rFonts w:ascii="Garamond" w:hAnsi="Garamond"/>
          <w:sz w:val="22"/>
          <w:szCs w:val="22"/>
        </w:rPr>
        <w:t xml:space="preserve">  might</w:t>
      </w:r>
      <w:r w:rsidR="001301D3">
        <w:rPr>
          <w:rFonts w:ascii="Garamond" w:hAnsi="Garamond"/>
          <w:sz w:val="22"/>
          <w:szCs w:val="22"/>
        </w:rPr>
        <w:t>, in the long term, be a proxy for  claim</w:t>
      </w:r>
      <w:r w:rsidR="0092080C">
        <w:rPr>
          <w:rFonts w:ascii="Garamond" w:hAnsi="Garamond"/>
          <w:sz w:val="22"/>
          <w:szCs w:val="22"/>
        </w:rPr>
        <w:t>s</w:t>
      </w:r>
      <w:r w:rsidR="001301D3">
        <w:rPr>
          <w:rFonts w:ascii="Garamond" w:hAnsi="Garamond"/>
          <w:sz w:val="22"/>
          <w:szCs w:val="22"/>
        </w:rPr>
        <w:t xml:space="preserve"> of a human rights violations. </w:t>
      </w:r>
    </w:p>
    <w:p w14:paraId="6A227E31" w14:textId="292A8A36" w:rsidR="00093AFA" w:rsidRPr="00A55F3A" w:rsidRDefault="0060467E" w:rsidP="00A55F3A">
      <w:pPr>
        <w:pStyle w:val="Standard"/>
        <w:spacing w:line="480" w:lineRule="auto"/>
        <w:rPr>
          <w:rFonts w:ascii="Garamond" w:hAnsi="Garamond"/>
          <w:sz w:val="22"/>
          <w:szCs w:val="22"/>
        </w:rPr>
      </w:pPr>
      <w:r>
        <w:rPr>
          <w:rFonts w:ascii="Garamond" w:hAnsi="Garamond"/>
          <w:sz w:val="22"/>
          <w:szCs w:val="22"/>
        </w:rPr>
        <w:t>In Italy, t</w:t>
      </w:r>
      <w:r w:rsidR="004B7E82" w:rsidRPr="00A55F3A">
        <w:rPr>
          <w:rFonts w:ascii="Garamond" w:hAnsi="Garamond"/>
          <w:sz w:val="22"/>
          <w:szCs w:val="22"/>
        </w:rPr>
        <w:t>he Tribunal of Bari and the Tribunal of Turin</w:t>
      </w:r>
      <w:r w:rsidR="003567BF" w:rsidRPr="00A55F3A">
        <w:rPr>
          <w:rFonts w:ascii="Garamond" w:hAnsi="Garamond"/>
          <w:sz w:val="22"/>
          <w:szCs w:val="22"/>
        </w:rPr>
        <w:t xml:space="preserve"> </w:t>
      </w:r>
      <w:r w:rsidR="004B7E82" w:rsidRPr="00A55F3A">
        <w:rPr>
          <w:rFonts w:ascii="Garamond" w:hAnsi="Garamond"/>
          <w:sz w:val="22"/>
          <w:szCs w:val="22"/>
        </w:rPr>
        <w:t>explained, instead,</w:t>
      </w:r>
      <w:r w:rsidR="003567BF" w:rsidRPr="00A55F3A">
        <w:rPr>
          <w:rFonts w:ascii="Garamond" w:hAnsi="Garamond"/>
          <w:sz w:val="22"/>
          <w:szCs w:val="22"/>
        </w:rPr>
        <w:t xml:space="preserve"> </w:t>
      </w:r>
      <w:r w:rsidR="004B7E82" w:rsidRPr="00A55F3A">
        <w:rPr>
          <w:rFonts w:ascii="Garamond" w:hAnsi="Garamond"/>
          <w:sz w:val="22"/>
          <w:szCs w:val="22"/>
        </w:rPr>
        <w:t>that</w:t>
      </w:r>
      <w:r w:rsidR="003567BF" w:rsidRPr="00A55F3A">
        <w:rPr>
          <w:rFonts w:ascii="Garamond" w:hAnsi="Garamond"/>
          <w:sz w:val="22"/>
          <w:szCs w:val="22"/>
        </w:rPr>
        <w:t xml:space="preserve"> </w:t>
      </w:r>
      <w:r w:rsidR="004B7E82" w:rsidRPr="00A55F3A">
        <w:rPr>
          <w:rFonts w:ascii="Garamond" w:hAnsi="Garamond"/>
          <w:sz w:val="22"/>
          <w:szCs w:val="22"/>
        </w:rPr>
        <w:t>judges could</w:t>
      </w:r>
      <w:r w:rsidR="003567BF" w:rsidRPr="00A55F3A">
        <w:rPr>
          <w:rFonts w:ascii="Garamond" w:hAnsi="Garamond"/>
          <w:sz w:val="22"/>
          <w:szCs w:val="22"/>
        </w:rPr>
        <w:t xml:space="preserve"> </w:t>
      </w:r>
      <w:r w:rsidR="004B7E82" w:rsidRPr="00A55F3A">
        <w:rPr>
          <w:rFonts w:ascii="Garamond" w:hAnsi="Garamond"/>
          <w:sz w:val="22"/>
          <w:szCs w:val="22"/>
        </w:rPr>
        <w:t>ba</w:t>
      </w:r>
      <w:r w:rsidR="0092080C">
        <w:rPr>
          <w:rFonts w:ascii="Garamond" w:hAnsi="Garamond"/>
          <w:sz w:val="22"/>
          <w:szCs w:val="22"/>
        </w:rPr>
        <w:t xml:space="preserve">lance the violation of a right, </w:t>
      </w:r>
      <w:r w:rsidR="004B7E82" w:rsidRPr="00A55F3A">
        <w:rPr>
          <w:rFonts w:ascii="Garamond" w:hAnsi="Garamond"/>
          <w:sz w:val="22"/>
          <w:szCs w:val="22"/>
        </w:rPr>
        <w:t>by the conduct that retrieved the IOE</w:t>
      </w:r>
      <w:r w:rsidR="0092080C">
        <w:rPr>
          <w:rFonts w:ascii="Garamond" w:hAnsi="Garamond"/>
          <w:sz w:val="22"/>
          <w:szCs w:val="22"/>
        </w:rPr>
        <w:t xml:space="preserve">, </w:t>
      </w:r>
      <w:r w:rsidR="004B7E82" w:rsidRPr="00A55F3A">
        <w:rPr>
          <w:rFonts w:ascii="Garamond" w:hAnsi="Garamond"/>
          <w:sz w:val="22"/>
          <w:szCs w:val="22"/>
        </w:rPr>
        <w:t>and the right</w:t>
      </w:r>
      <w:r w:rsidR="003567BF" w:rsidRPr="00A55F3A">
        <w:rPr>
          <w:rFonts w:ascii="Garamond" w:hAnsi="Garamond"/>
          <w:sz w:val="22"/>
          <w:szCs w:val="22"/>
        </w:rPr>
        <w:t xml:space="preserve"> </w:t>
      </w:r>
      <w:r w:rsidR="004B7E82" w:rsidRPr="00A55F3A">
        <w:rPr>
          <w:rFonts w:ascii="Garamond" w:hAnsi="Garamond"/>
          <w:sz w:val="22"/>
          <w:szCs w:val="22"/>
        </w:rPr>
        <w:t>to defend a claim in court</w:t>
      </w:r>
      <w:r w:rsidR="00440F54" w:rsidRPr="00A55F3A">
        <w:rPr>
          <w:rFonts w:ascii="Garamond" w:hAnsi="Garamond"/>
          <w:sz w:val="22"/>
          <w:szCs w:val="22"/>
        </w:rPr>
        <w:t>. Such a stance is, however,</w:t>
      </w:r>
      <w:r w:rsidR="006754AE" w:rsidRPr="00A55F3A">
        <w:rPr>
          <w:rFonts w:ascii="Garamond" w:hAnsi="Garamond"/>
          <w:sz w:val="22"/>
          <w:szCs w:val="22"/>
        </w:rPr>
        <w:t xml:space="preserve"> still</w:t>
      </w:r>
      <w:r w:rsidR="00B50D56" w:rsidRPr="00A55F3A">
        <w:rPr>
          <w:rFonts w:ascii="Garamond" w:hAnsi="Garamond"/>
          <w:sz w:val="22"/>
          <w:szCs w:val="22"/>
        </w:rPr>
        <w:t xml:space="preserve"> </w:t>
      </w:r>
      <w:r w:rsidR="00440F54" w:rsidRPr="00A55F3A">
        <w:rPr>
          <w:rFonts w:ascii="Garamond" w:hAnsi="Garamond"/>
          <w:sz w:val="22"/>
          <w:szCs w:val="22"/>
        </w:rPr>
        <w:t xml:space="preserve">based on </w:t>
      </w:r>
      <w:r w:rsidR="00EF6C80" w:rsidRPr="00A55F3A">
        <w:rPr>
          <w:rFonts w:ascii="Garamond" w:hAnsi="Garamond"/>
          <w:sz w:val="22"/>
          <w:szCs w:val="22"/>
        </w:rPr>
        <w:t xml:space="preserve">an </w:t>
      </w:r>
      <w:r w:rsidR="00440F54" w:rsidRPr="00A55F3A">
        <w:rPr>
          <w:rFonts w:ascii="Garamond" w:hAnsi="Garamond"/>
          <w:sz w:val="22"/>
          <w:szCs w:val="22"/>
        </w:rPr>
        <w:t>unqualified explanation of how</w:t>
      </w:r>
      <w:r w:rsidR="006754AE" w:rsidRPr="00A55F3A">
        <w:rPr>
          <w:rFonts w:ascii="Garamond" w:hAnsi="Garamond"/>
          <w:sz w:val="22"/>
          <w:szCs w:val="22"/>
        </w:rPr>
        <w:t xml:space="preserve"> judicial</w:t>
      </w:r>
      <w:r w:rsidR="00B50D56" w:rsidRPr="00A55F3A">
        <w:rPr>
          <w:rFonts w:ascii="Garamond" w:hAnsi="Garamond"/>
          <w:sz w:val="22"/>
          <w:szCs w:val="22"/>
        </w:rPr>
        <w:t xml:space="preserve"> </w:t>
      </w:r>
      <w:r w:rsidR="00440F54" w:rsidRPr="00A55F3A">
        <w:rPr>
          <w:rFonts w:ascii="Garamond" w:hAnsi="Garamond"/>
          <w:sz w:val="22"/>
          <w:szCs w:val="22"/>
        </w:rPr>
        <w:t>consequences</w:t>
      </w:r>
      <w:r w:rsidR="006754AE" w:rsidRPr="00A55F3A">
        <w:rPr>
          <w:rFonts w:ascii="Garamond" w:hAnsi="Garamond"/>
          <w:sz w:val="22"/>
          <w:szCs w:val="22"/>
        </w:rPr>
        <w:t xml:space="preserve"> in the main case</w:t>
      </w:r>
      <w:r w:rsidR="00B50D56" w:rsidRPr="00A55F3A">
        <w:rPr>
          <w:rFonts w:ascii="Garamond" w:hAnsi="Garamond"/>
          <w:sz w:val="22"/>
          <w:szCs w:val="22"/>
        </w:rPr>
        <w:t xml:space="preserve"> </w:t>
      </w:r>
      <w:r w:rsidR="00440F54" w:rsidRPr="00A55F3A">
        <w:rPr>
          <w:rFonts w:ascii="Garamond" w:hAnsi="Garamond"/>
          <w:sz w:val="22"/>
          <w:szCs w:val="22"/>
        </w:rPr>
        <w:t>ought to be engaged</w:t>
      </w:r>
      <w:r w:rsidR="006754AE" w:rsidRPr="00A55F3A">
        <w:rPr>
          <w:rFonts w:ascii="Garamond" w:hAnsi="Garamond"/>
          <w:sz w:val="22"/>
          <w:szCs w:val="22"/>
        </w:rPr>
        <w:t xml:space="preserve"> in the ancillary issue.</w:t>
      </w:r>
      <w:r w:rsidR="00B50D56" w:rsidRPr="00A55F3A">
        <w:rPr>
          <w:rFonts w:ascii="Garamond" w:hAnsi="Garamond"/>
          <w:sz w:val="22"/>
          <w:szCs w:val="22"/>
        </w:rPr>
        <w:t xml:space="preserve"> </w:t>
      </w:r>
    </w:p>
    <w:p w14:paraId="1A3034A6" w14:textId="1AB96CD8" w:rsidR="00605CE2" w:rsidRPr="00A55F3A" w:rsidRDefault="004545A5" w:rsidP="00A55F3A">
      <w:pPr>
        <w:pStyle w:val="Standard"/>
        <w:spacing w:line="480" w:lineRule="auto"/>
        <w:rPr>
          <w:rFonts w:ascii="Garamond" w:hAnsi="Garamond"/>
          <w:sz w:val="22"/>
          <w:szCs w:val="22"/>
        </w:rPr>
      </w:pPr>
      <w:r>
        <w:rPr>
          <w:rFonts w:ascii="Garamond" w:hAnsi="Garamond"/>
          <w:sz w:val="22"/>
          <w:szCs w:val="22"/>
        </w:rPr>
        <w:t>In this</w:t>
      </w:r>
      <w:r w:rsidR="00EF6C80" w:rsidRPr="00A55F3A">
        <w:rPr>
          <w:rFonts w:ascii="Garamond" w:hAnsi="Garamond"/>
          <w:sz w:val="22"/>
          <w:szCs w:val="22"/>
        </w:rPr>
        <w:t xml:space="preserve"> </w:t>
      </w:r>
      <w:r w:rsidR="00093AFA" w:rsidRPr="00A55F3A">
        <w:rPr>
          <w:rFonts w:ascii="Garamond" w:hAnsi="Garamond"/>
          <w:sz w:val="22"/>
          <w:szCs w:val="22"/>
        </w:rPr>
        <w:t>essay</w:t>
      </w:r>
      <w:r w:rsidR="0060467E">
        <w:rPr>
          <w:rFonts w:ascii="Garamond" w:hAnsi="Garamond"/>
          <w:sz w:val="22"/>
          <w:szCs w:val="22"/>
        </w:rPr>
        <w:t xml:space="preserve">, </w:t>
      </w:r>
      <w:r w:rsidR="00093AFA" w:rsidRPr="00A55F3A">
        <w:rPr>
          <w:rFonts w:ascii="Garamond" w:hAnsi="Garamond"/>
          <w:sz w:val="22"/>
          <w:szCs w:val="22"/>
        </w:rPr>
        <w:t xml:space="preserve"> </w:t>
      </w:r>
      <w:r>
        <w:rPr>
          <w:rFonts w:ascii="Garamond" w:hAnsi="Garamond"/>
          <w:sz w:val="22"/>
          <w:szCs w:val="22"/>
        </w:rPr>
        <w:t xml:space="preserve">it was </w:t>
      </w:r>
      <w:r w:rsidR="00093AFA" w:rsidRPr="00A55F3A">
        <w:rPr>
          <w:rFonts w:ascii="Garamond" w:hAnsi="Garamond"/>
          <w:sz w:val="22"/>
          <w:szCs w:val="22"/>
        </w:rPr>
        <w:t>argued that</w:t>
      </w:r>
      <w:r w:rsidR="003567BF" w:rsidRPr="00A55F3A">
        <w:rPr>
          <w:rFonts w:ascii="Garamond" w:hAnsi="Garamond"/>
          <w:sz w:val="22"/>
          <w:szCs w:val="22"/>
        </w:rPr>
        <w:t xml:space="preserve"> </w:t>
      </w:r>
      <w:r w:rsidR="00767DFC" w:rsidRPr="00A55F3A">
        <w:rPr>
          <w:rFonts w:ascii="Garamond" w:hAnsi="Garamond"/>
          <w:sz w:val="22"/>
          <w:szCs w:val="22"/>
        </w:rPr>
        <w:t>during this</w:t>
      </w:r>
      <w:r w:rsidR="003567BF" w:rsidRPr="00A55F3A">
        <w:rPr>
          <w:rFonts w:ascii="Garamond" w:hAnsi="Garamond"/>
          <w:sz w:val="22"/>
          <w:szCs w:val="22"/>
        </w:rPr>
        <w:t xml:space="preserve"> </w:t>
      </w:r>
      <w:r w:rsidR="00093AFA" w:rsidRPr="00A55F3A">
        <w:rPr>
          <w:rFonts w:ascii="Garamond" w:hAnsi="Garamond"/>
          <w:sz w:val="22"/>
          <w:szCs w:val="22"/>
        </w:rPr>
        <w:t>period of transition</w:t>
      </w:r>
      <w:r w:rsidR="00767DFC" w:rsidRPr="00A55F3A">
        <w:rPr>
          <w:rFonts w:ascii="Garamond" w:hAnsi="Garamond"/>
          <w:sz w:val="22"/>
          <w:szCs w:val="22"/>
        </w:rPr>
        <w:t>,</w:t>
      </w:r>
      <w:r w:rsidR="003567BF" w:rsidRPr="00A55F3A">
        <w:rPr>
          <w:rFonts w:ascii="Garamond" w:hAnsi="Garamond"/>
          <w:sz w:val="22"/>
          <w:szCs w:val="22"/>
        </w:rPr>
        <w:t xml:space="preserve"> </w:t>
      </w:r>
      <w:r w:rsidR="00093AFA" w:rsidRPr="00A55F3A">
        <w:rPr>
          <w:rFonts w:ascii="Garamond" w:hAnsi="Garamond"/>
          <w:sz w:val="22"/>
          <w:szCs w:val="22"/>
        </w:rPr>
        <w:t>judges in both systems</w:t>
      </w:r>
      <w:r w:rsidR="003567BF" w:rsidRPr="00A55F3A">
        <w:rPr>
          <w:rFonts w:ascii="Garamond" w:hAnsi="Garamond"/>
          <w:sz w:val="22"/>
          <w:szCs w:val="22"/>
        </w:rPr>
        <w:t xml:space="preserve"> </w:t>
      </w:r>
      <w:r w:rsidR="00593D4F" w:rsidRPr="00A55F3A">
        <w:rPr>
          <w:rFonts w:ascii="Garamond" w:hAnsi="Garamond"/>
          <w:sz w:val="22"/>
          <w:szCs w:val="22"/>
        </w:rPr>
        <w:t>might</w:t>
      </w:r>
      <w:r w:rsidR="00093AFA" w:rsidRPr="00A55F3A">
        <w:rPr>
          <w:rFonts w:ascii="Garamond" w:hAnsi="Garamond"/>
          <w:sz w:val="22"/>
          <w:szCs w:val="22"/>
        </w:rPr>
        <w:t xml:space="preserve"> benefit by</w:t>
      </w:r>
      <w:r w:rsidR="003567BF" w:rsidRPr="00A55F3A">
        <w:rPr>
          <w:rFonts w:ascii="Garamond" w:hAnsi="Garamond"/>
          <w:sz w:val="22"/>
          <w:szCs w:val="22"/>
        </w:rPr>
        <w:t xml:space="preserve"> </w:t>
      </w:r>
      <w:r w:rsidR="00593D4F" w:rsidRPr="00A55F3A">
        <w:rPr>
          <w:rFonts w:ascii="Garamond" w:hAnsi="Garamond"/>
          <w:sz w:val="22"/>
          <w:szCs w:val="22"/>
        </w:rPr>
        <w:t xml:space="preserve">considering the </w:t>
      </w:r>
      <w:r w:rsidR="00767DFC" w:rsidRPr="00A55F3A">
        <w:rPr>
          <w:rFonts w:ascii="Garamond" w:hAnsi="Garamond"/>
          <w:sz w:val="22"/>
          <w:szCs w:val="22"/>
        </w:rPr>
        <w:t xml:space="preserve">present and past </w:t>
      </w:r>
      <w:r w:rsidR="00593D4F" w:rsidRPr="00A55F3A">
        <w:rPr>
          <w:rFonts w:ascii="Garamond" w:hAnsi="Garamond"/>
          <w:sz w:val="22"/>
          <w:szCs w:val="22"/>
        </w:rPr>
        <w:t>experience</w:t>
      </w:r>
      <w:r w:rsidR="00767DFC" w:rsidRPr="00A55F3A">
        <w:rPr>
          <w:rFonts w:ascii="Garamond" w:hAnsi="Garamond"/>
          <w:sz w:val="22"/>
          <w:szCs w:val="22"/>
        </w:rPr>
        <w:t>s</w:t>
      </w:r>
      <w:r w:rsidR="00593D4F" w:rsidRPr="00A55F3A">
        <w:rPr>
          <w:rFonts w:ascii="Garamond" w:hAnsi="Garamond"/>
          <w:sz w:val="22"/>
          <w:szCs w:val="22"/>
        </w:rPr>
        <w:t xml:space="preserve"> of the other. For instance</w:t>
      </w:r>
      <w:r w:rsidR="001301D3">
        <w:rPr>
          <w:rFonts w:ascii="Garamond" w:hAnsi="Garamond"/>
          <w:sz w:val="22"/>
          <w:szCs w:val="22"/>
        </w:rPr>
        <w:t xml:space="preserve">, </w:t>
      </w:r>
      <w:r w:rsidR="00593D4F" w:rsidRPr="00A55F3A">
        <w:rPr>
          <w:rFonts w:ascii="Garamond" w:hAnsi="Garamond"/>
          <w:sz w:val="22"/>
          <w:szCs w:val="22"/>
        </w:rPr>
        <w:t xml:space="preserve"> Italian jurisprudence might</w:t>
      </w:r>
      <w:r w:rsidR="003567BF" w:rsidRPr="00A55F3A">
        <w:rPr>
          <w:rFonts w:ascii="Garamond" w:hAnsi="Garamond"/>
          <w:sz w:val="22"/>
          <w:szCs w:val="22"/>
        </w:rPr>
        <w:t xml:space="preserve"> </w:t>
      </w:r>
      <w:r w:rsidR="00593D4F" w:rsidRPr="00A55F3A">
        <w:rPr>
          <w:rFonts w:ascii="Garamond" w:hAnsi="Garamond"/>
          <w:sz w:val="22"/>
          <w:szCs w:val="22"/>
        </w:rPr>
        <w:t xml:space="preserve">be inspired by the </w:t>
      </w:r>
      <w:r w:rsidR="00584F92" w:rsidRPr="00A55F3A">
        <w:rPr>
          <w:rFonts w:ascii="Garamond" w:hAnsi="Garamond"/>
          <w:sz w:val="22"/>
          <w:szCs w:val="22"/>
        </w:rPr>
        <w:t>Eng</w:t>
      </w:r>
      <w:r w:rsidR="006647D8" w:rsidRPr="00A55F3A">
        <w:rPr>
          <w:rFonts w:ascii="Garamond" w:hAnsi="Garamond"/>
          <w:sz w:val="22"/>
          <w:szCs w:val="22"/>
        </w:rPr>
        <w:t>l</w:t>
      </w:r>
      <w:r w:rsidR="00584F92" w:rsidRPr="00A55F3A">
        <w:rPr>
          <w:rFonts w:ascii="Garamond" w:hAnsi="Garamond"/>
          <w:sz w:val="22"/>
          <w:szCs w:val="22"/>
        </w:rPr>
        <w:t xml:space="preserve">ish </w:t>
      </w:r>
      <w:r w:rsidR="00D13877">
        <w:rPr>
          <w:rFonts w:ascii="Garamond" w:hAnsi="Garamond"/>
          <w:sz w:val="22"/>
          <w:szCs w:val="22"/>
        </w:rPr>
        <w:t xml:space="preserve"> </w:t>
      </w:r>
      <w:r w:rsidR="00782302" w:rsidRPr="00A55F3A">
        <w:rPr>
          <w:rFonts w:ascii="Garamond" w:hAnsi="Garamond"/>
          <w:sz w:val="22"/>
          <w:szCs w:val="22"/>
        </w:rPr>
        <w:t>line of authority that</w:t>
      </w:r>
      <w:r w:rsidR="003567BF" w:rsidRPr="00A55F3A">
        <w:rPr>
          <w:rFonts w:ascii="Garamond" w:hAnsi="Garamond"/>
          <w:sz w:val="22"/>
          <w:szCs w:val="22"/>
        </w:rPr>
        <w:t xml:space="preserve"> </w:t>
      </w:r>
      <w:r w:rsidR="00593D4F" w:rsidRPr="00A55F3A">
        <w:rPr>
          <w:rFonts w:ascii="Garamond" w:hAnsi="Garamond"/>
          <w:sz w:val="22"/>
          <w:szCs w:val="22"/>
        </w:rPr>
        <w:t>balanc</w:t>
      </w:r>
      <w:r w:rsidR="00782302" w:rsidRPr="00A55F3A">
        <w:rPr>
          <w:rFonts w:ascii="Garamond" w:hAnsi="Garamond"/>
          <w:sz w:val="22"/>
          <w:szCs w:val="22"/>
        </w:rPr>
        <w:t>e</w:t>
      </w:r>
      <w:r w:rsidR="00440F54" w:rsidRPr="00A55F3A">
        <w:rPr>
          <w:rFonts w:ascii="Garamond" w:hAnsi="Garamond"/>
          <w:sz w:val="22"/>
          <w:szCs w:val="22"/>
        </w:rPr>
        <w:t>s</w:t>
      </w:r>
      <w:r w:rsidR="003567BF" w:rsidRPr="00A55F3A">
        <w:rPr>
          <w:rFonts w:ascii="Garamond" w:hAnsi="Garamond"/>
          <w:sz w:val="22"/>
          <w:szCs w:val="22"/>
        </w:rPr>
        <w:t xml:space="preserve"> </w:t>
      </w:r>
      <w:r w:rsidR="00593D4F" w:rsidRPr="00A55F3A">
        <w:rPr>
          <w:rFonts w:ascii="Garamond" w:hAnsi="Garamond"/>
          <w:sz w:val="22"/>
          <w:szCs w:val="22"/>
        </w:rPr>
        <w:t xml:space="preserve">the admissibility of </w:t>
      </w:r>
      <w:r w:rsidR="00F60E23" w:rsidRPr="00A55F3A">
        <w:rPr>
          <w:rFonts w:ascii="Garamond" w:hAnsi="Garamond"/>
          <w:sz w:val="22"/>
          <w:szCs w:val="22"/>
        </w:rPr>
        <w:t>evidence</w:t>
      </w:r>
      <w:r w:rsidR="00593D4F" w:rsidRPr="00A55F3A">
        <w:rPr>
          <w:rFonts w:ascii="Garamond" w:hAnsi="Garamond"/>
          <w:sz w:val="22"/>
          <w:szCs w:val="22"/>
        </w:rPr>
        <w:t xml:space="preserve"> in relation to </w:t>
      </w:r>
      <w:r w:rsidR="00AE5AD3" w:rsidRPr="00A55F3A">
        <w:rPr>
          <w:rFonts w:ascii="Garamond" w:hAnsi="Garamond"/>
          <w:sz w:val="22"/>
          <w:szCs w:val="22"/>
        </w:rPr>
        <w:t xml:space="preserve">its </w:t>
      </w:r>
      <w:r w:rsidR="00093AFA" w:rsidRPr="00A55F3A">
        <w:rPr>
          <w:rFonts w:ascii="Garamond" w:hAnsi="Garamond"/>
          <w:sz w:val="22"/>
          <w:szCs w:val="22"/>
        </w:rPr>
        <w:t>pragmatic</w:t>
      </w:r>
      <w:r w:rsidR="003567BF" w:rsidRPr="00A55F3A">
        <w:rPr>
          <w:rFonts w:ascii="Garamond" w:hAnsi="Garamond"/>
          <w:sz w:val="22"/>
          <w:szCs w:val="22"/>
        </w:rPr>
        <w:t xml:space="preserve"> </w:t>
      </w:r>
      <w:r w:rsidR="00593D4F" w:rsidRPr="00A55F3A">
        <w:rPr>
          <w:rFonts w:ascii="Garamond" w:hAnsi="Garamond"/>
          <w:sz w:val="22"/>
          <w:szCs w:val="22"/>
        </w:rPr>
        <w:t>consequences</w:t>
      </w:r>
      <w:r w:rsidR="003B49DA" w:rsidRPr="00A55F3A">
        <w:rPr>
          <w:rFonts w:ascii="Garamond" w:hAnsi="Garamond"/>
          <w:sz w:val="22"/>
          <w:szCs w:val="22"/>
        </w:rPr>
        <w:t xml:space="preserve"> in the main trial</w:t>
      </w:r>
      <w:r w:rsidR="00593D4F" w:rsidRPr="00A55F3A">
        <w:rPr>
          <w:rFonts w:ascii="Garamond" w:hAnsi="Garamond"/>
          <w:sz w:val="22"/>
          <w:szCs w:val="22"/>
        </w:rPr>
        <w:t>. Instead</w:t>
      </w:r>
      <w:r w:rsidR="00093AFA" w:rsidRPr="00A55F3A">
        <w:rPr>
          <w:rFonts w:ascii="Garamond" w:hAnsi="Garamond"/>
          <w:sz w:val="22"/>
          <w:szCs w:val="22"/>
        </w:rPr>
        <w:t>,</w:t>
      </w:r>
      <w:r w:rsidR="00593D4F" w:rsidRPr="00A55F3A">
        <w:rPr>
          <w:rFonts w:ascii="Garamond" w:hAnsi="Garamond"/>
          <w:sz w:val="22"/>
          <w:szCs w:val="22"/>
        </w:rPr>
        <w:t xml:space="preserve"> the </w:t>
      </w:r>
      <w:r w:rsidR="00584F92" w:rsidRPr="00A55F3A">
        <w:rPr>
          <w:rFonts w:ascii="Garamond" w:hAnsi="Garamond"/>
          <w:sz w:val="22"/>
          <w:szCs w:val="22"/>
        </w:rPr>
        <w:t>Eng</w:t>
      </w:r>
      <w:r w:rsidR="006647D8" w:rsidRPr="00A55F3A">
        <w:rPr>
          <w:rFonts w:ascii="Garamond" w:hAnsi="Garamond"/>
          <w:sz w:val="22"/>
          <w:szCs w:val="22"/>
        </w:rPr>
        <w:t>l</w:t>
      </w:r>
      <w:r w:rsidR="00584F92" w:rsidRPr="00A55F3A">
        <w:rPr>
          <w:rFonts w:ascii="Garamond" w:hAnsi="Garamond"/>
          <w:sz w:val="22"/>
          <w:szCs w:val="22"/>
        </w:rPr>
        <w:t xml:space="preserve">ish </w:t>
      </w:r>
      <w:r w:rsidR="00D13877">
        <w:rPr>
          <w:rFonts w:ascii="Garamond" w:hAnsi="Garamond"/>
          <w:sz w:val="22"/>
          <w:szCs w:val="22"/>
        </w:rPr>
        <w:t xml:space="preserve"> </w:t>
      </w:r>
      <w:r w:rsidR="00593D4F" w:rsidRPr="00A55F3A">
        <w:rPr>
          <w:rFonts w:ascii="Garamond" w:hAnsi="Garamond"/>
          <w:sz w:val="22"/>
          <w:szCs w:val="22"/>
        </w:rPr>
        <w:t>jurisprudence might</w:t>
      </w:r>
      <w:r w:rsidR="008824CD" w:rsidRPr="00A55F3A">
        <w:rPr>
          <w:rFonts w:ascii="Garamond" w:hAnsi="Garamond"/>
          <w:sz w:val="22"/>
          <w:szCs w:val="22"/>
        </w:rPr>
        <w:t xml:space="preserve"> </w:t>
      </w:r>
      <w:r w:rsidR="00593D4F" w:rsidRPr="00A55F3A">
        <w:rPr>
          <w:rFonts w:ascii="Garamond" w:hAnsi="Garamond"/>
          <w:sz w:val="22"/>
          <w:szCs w:val="22"/>
        </w:rPr>
        <w:t xml:space="preserve">consider the Italian experience of </w:t>
      </w:r>
      <w:r w:rsidR="008824CD" w:rsidRPr="00A55F3A">
        <w:rPr>
          <w:rFonts w:ascii="Garamond" w:hAnsi="Garamond"/>
          <w:sz w:val="22"/>
          <w:szCs w:val="22"/>
        </w:rPr>
        <w:t xml:space="preserve">balancing </w:t>
      </w:r>
      <w:r w:rsidR="001301D3">
        <w:rPr>
          <w:rFonts w:ascii="Garamond" w:hAnsi="Garamond"/>
          <w:sz w:val="22"/>
          <w:szCs w:val="22"/>
        </w:rPr>
        <w:t xml:space="preserve">the rights to a fair process </w:t>
      </w:r>
      <w:r w:rsidR="00440F54" w:rsidRPr="00A55F3A">
        <w:rPr>
          <w:rFonts w:ascii="Garamond" w:hAnsi="Garamond"/>
          <w:sz w:val="22"/>
          <w:szCs w:val="22"/>
        </w:rPr>
        <w:t xml:space="preserve">with </w:t>
      </w:r>
      <w:r w:rsidR="0060467E">
        <w:rPr>
          <w:rFonts w:ascii="Garamond" w:hAnsi="Garamond"/>
          <w:sz w:val="22"/>
          <w:szCs w:val="22"/>
        </w:rPr>
        <w:t>a defense of claim</w:t>
      </w:r>
      <w:r w:rsidR="00440F54" w:rsidRPr="00A55F3A">
        <w:rPr>
          <w:rFonts w:ascii="Garamond" w:hAnsi="Garamond"/>
          <w:sz w:val="22"/>
          <w:szCs w:val="22"/>
        </w:rPr>
        <w:t xml:space="preserve"> </w:t>
      </w:r>
      <w:r w:rsidR="001301D3">
        <w:rPr>
          <w:rFonts w:ascii="Garamond" w:hAnsi="Garamond"/>
          <w:sz w:val="22"/>
          <w:szCs w:val="22"/>
        </w:rPr>
        <w:t xml:space="preserve">in court </w:t>
      </w:r>
      <w:r w:rsidR="0060467E">
        <w:rPr>
          <w:rFonts w:ascii="Garamond" w:hAnsi="Garamond"/>
          <w:sz w:val="22"/>
          <w:szCs w:val="22"/>
        </w:rPr>
        <w:t>as a more  effective   process to protect rights</w:t>
      </w:r>
      <w:r w:rsidR="00767DFC" w:rsidRPr="00A55F3A">
        <w:rPr>
          <w:rFonts w:ascii="Garamond" w:hAnsi="Garamond"/>
          <w:sz w:val="22"/>
          <w:szCs w:val="22"/>
        </w:rPr>
        <w:t>.</w:t>
      </w:r>
      <w:r w:rsidR="003567BF" w:rsidRPr="00A55F3A">
        <w:rPr>
          <w:rFonts w:ascii="Garamond" w:hAnsi="Garamond"/>
          <w:sz w:val="22"/>
          <w:szCs w:val="22"/>
        </w:rPr>
        <w:t xml:space="preserve"> </w:t>
      </w:r>
    </w:p>
    <w:p w14:paraId="671E073E" w14:textId="77777777" w:rsidR="008B380C" w:rsidRPr="00A55F3A" w:rsidRDefault="008B380C" w:rsidP="00A55F3A">
      <w:pPr>
        <w:pStyle w:val="Standard"/>
        <w:spacing w:line="480" w:lineRule="auto"/>
        <w:rPr>
          <w:rFonts w:ascii="Garamond" w:hAnsi="Garamond"/>
          <w:sz w:val="22"/>
          <w:szCs w:val="22"/>
        </w:rPr>
      </w:pPr>
    </w:p>
    <w:p w14:paraId="4C83B35F" w14:textId="77777777" w:rsidR="00605CE2" w:rsidRPr="00A55F3A" w:rsidRDefault="00605CE2" w:rsidP="00A55F3A">
      <w:pPr>
        <w:pStyle w:val="Footnote"/>
        <w:spacing w:line="480" w:lineRule="auto"/>
        <w:rPr>
          <w:rFonts w:ascii="Garamond" w:hAnsi="Garamond"/>
          <w:sz w:val="22"/>
          <w:szCs w:val="22"/>
        </w:rPr>
      </w:pPr>
    </w:p>
    <w:sectPr w:rsidR="00605CE2" w:rsidRPr="00A55F3A" w:rsidSect="00A67D3F">
      <w:headerReference w:type="even" r:id="rId8"/>
      <w:headerReference w:type="default" r:id="rId9"/>
      <w:footerReference w:type="even" r:id="rId10"/>
      <w:footerReference w:type="default" r:id="rId11"/>
      <w:headerReference w:type="first" r:id="rId12"/>
      <w:footerReference w:type="first" r:id="rId13"/>
      <w:pgSz w:w="11906" w:h="16838"/>
      <w:pgMar w:top="2007" w:right="1440" w:bottom="1440" w:left="1440" w:header="720" w:footer="720" w:gutter="85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A5850" w14:textId="77777777" w:rsidR="009660FE" w:rsidRDefault="009660FE">
      <w:pPr>
        <w:spacing w:after="0" w:line="240" w:lineRule="auto"/>
      </w:pPr>
      <w:r>
        <w:separator/>
      </w:r>
    </w:p>
  </w:endnote>
  <w:endnote w:type="continuationSeparator" w:id="0">
    <w:p w14:paraId="110DB697" w14:textId="77777777" w:rsidR="009660FE" w:rsidRDefault="0096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Antiqua">
    <w:charset w:val="00"/>
    <w:family w:val="roman"/>
    <w:pitch w:val="default"/>
  </w:font>
  <w:font w:name="BookAntiqua-Italic">
    <w:charset w:val="00"/>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FEF5D" w14:textId="77777777" w:rsidR="000B215B" w:rsidRDefault="000B2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7202"/>
      <w:docPartObj>
        <w:docPartGallery w:val="Page Numbers (Bottom of Page)"/>
        <w:docPartUnique/>
      </w:docPartObj>
    </w:sdtPr>
    <w:sdtEndPr>
      <w:rPr>
        <w:noProof/>
      </w:rPr>
    </w:sdtEndPr>
    <w:sdtContent>
      <w:p w14:paraId="037CBEDC" w14:textId="5832B466" w:rsidR="00F04449" w:rsidRDefault="00F04449">
        <w:pPr>
          <w:pStyle w:val="Footer"/>
          <w:jc w:val="center"/>
        </w:pPr>
        <w:r>
          <w:fldChar w:fldCharType="begin"/>
        </w:r>
        <w:r>
          <w:instrText xml:space="preserve"> PAGE   \* MERGEFORMAT </w:instrText>
        </w:r>
        <w:r>
          <w:fldChar w:fldCharType="separate"/>
        </w:r>
        <w:r w:rsidR="000753AB">
          <w:rPr>
            <w:noProof/>
          </w:rPr>
          <w:t>2</w:t>
        </w:r>
        <w:r>
          <w:rPr>
            <w:noProof/>
          </w:rPr>
          <w:fldChar w:fldCharType="end"/>
        </w:r>
      </w:p>
    </w:sdtContent>
  </w:sdt>
  <w:p w14:paraId="3BDA3DDE" w14:textId="77777777" w:rsidR="00EA6183" w:rsidRDefault="00EA6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C230A" w14:textId="77777777" w:rsidR="000B215B" w:rsidRDefault="000B2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354BE" w14:textId="77777777" w:rsidR="009660FE" w:rsidRDefault="009660FE">
      <w:pPr>
        <w:spacing w:after="0" w:line="240" w:lineRule="auto"/>
      </w:pPr>
      <w:r>
        <w:rPr>
          <w:color w:val="000000"/>
        </w:rPr>
        <w:separator/>
      </w:r>
    </w:p>
  </w:footnote>
  <w:footnote w:type="continuationSeparator" w:id="0">
    <w:p w14:paraId="74DDA9B4" w14:textId="77777777" w:rsidR="009660FE" w:rsidRDefault="009660FE">
      <w:pPr>
        <w:spacing w:after="0" w:line="240" w:lineRule="auto"/>
      </w:pPr>
      <w:r>
        <w:continuationSeparator/>
      </w:r>
    </w:p>
  </w:footnote>
  <w:footnote w:id="1">
    <w:p w14:paraId="6240D31B" w14:textId="146BF35D" w:rsidR="00AA60BA" w:rsidRDefault="00AA60BA" w:rsidP="00AA60BA">
      <w:pPr>
        <w:pStyle w:val="FootnoteText"/>
      </w:pPr>
      <w:r w:rsidRPr="005D2902">
        <w:rPr>
          <w:rStyle w:val="FootnoteReference"/>
        </w:rPr>
        <w:sym w:font="Symbol" w:char="F02A"/>
      </w:r>
      <w:r w:rsidR="00780D5D">
        <w:t xml:space="preserve">Lecturer in Law </w:t>
      </w:r>
      <w:r>
        <w:t xml:space="preserve"> </w:t>
      </w:r>
      <w:r w:rsidR="00780D5D">
        <w:t xml:space="preserve">at </w:t>
      </w:r>
      <w:r>
        <w:t>University of Southern Queensland,</w:t>
      </w:r>
      <w:r w:rsidR="00780D5D">
        <w:t xml:space="preserve"> </w:t>
      </w:r>
      <w:r>
        <w:t xml:space="preserve">MacCormick Fellow at the University of Edinburgh, </w:t>
      </w:r>
      <w:r w:rsidR="00780D5D">
        <w:t xml:space="preserve"> and </w:t>
      </w:r>
      <w:r>
        <w:t xml:space="preserve">Visiting Professor in Comparative Law at </w:t>
      </w:r>
      <w:r w:rsidR="00780D5D">
        <w:t xml:space="preserve">the </w:t>
      </w:r>
      <w:r>
        <w:t xml:space="preserve"> </w:t>
      </w:r>
      <w:r w:rsidRPr="00AA60BA">
        <w:t>Universidad de Deusto</w:t>
      </w:r>
      <w:r>
        <w:t>.</w:t>
      </w:r>
    </w:p>
  </w:footnote>
  <w:footnote w:id="2">
    <w:p w14:paraId="443DCB4B" w14:textId="493F11FC" w:rsidR="00AA60BA" w:rsidRPr="00AA60BA" w:rsidRDefault="00AA60BA">
      <w:pPr>
        <w:pStyle w:val="FootnoteText"/>
        <w:rPr>
          <w:lang w:val="en-AU"/>
        </w:rPr>
      </w:pPr>
      <w:r w:rsidRPr="00AA60BA">
        <w:rPr>
          <w:rStyle w:val="FootnoteReference"/>
        </w:rPr>
        <w:sym w:font="Symbol" w:char="F02A"/>
      </w:r>
      <w:r>
        <w:t xml:space="preserve"> </w:t>
      </w:r>
      <w:r w:rsidR="00780D5D">
        <w:rPr>
          <w:lang w:val="en-AU"/>
        </w:rPr>
        <w:t xml:space="preserve">Research Assistant  at the  University of Southern Queensland, </w:t>
      </w:r>
      <w:r w:rsidR="008F2B00">
        <w:rPr>
          <w:lang w:val="en-AU"/>
        </w:rPr>
        <w:t>Praticante A</w:t>
      </w:r>
      <w:r w:rsidR="009F55D1">
        <w:rPr>
          <w:lang w:val="en-AU"/>
        </w:rPr>
        <w:t>v</w:t>
      </w:r>
      <w:r w:rsidR="008F2B00">
        <w:rPr>
          <w:lang w:val="en-AU"/>
        </w:rPr>
        <w:t xml:space="preserve">vocato, </w:t>
      </w:r>
      <w:r w:rsidR="00780D5D">
        <w:rPr>
          <w:lang w:val="en-AU"/>
        </w:rPr>
        <w:t xml:space="preserve"> Ordine Degli </w:t>
      </w:r>
      <w:r w:rsidR="008F2B00">
        <w:rPr>
          <w:lang w:val="en-AU"/>
        </w:rPr>
        <w:t>Av</w:t>
      </w:r>
      <w:r w:rsidR="009F55D1">
        <w:rPr>
          <w:lang w:val="en-AU"/>
        </w:rPr>
        <w:t>v</w:t>
      </w:r>
      <w:bookmarkStart w:id="0" w:name="_GoBack"/>
      <w:bookmarkEnd w:id="0"/>
      <w:r w:rsidR="008F2B00">
        <w:rPr>
          <w:lang w:val="en-AU"/>
        </w:rPr>
        <w:t>ocati di Brescia.</w:t>
      </w:r>
    </w:p>
  </w:footnote>
  <w:footnote w:id="3">
    <w:p w14:paraId="6D98FF6E" w14:textId="663CC422" w:rsidR="00993A5D" w:rsidRPr="00993A5D" w:rsidRDefault="00993A5D" w:rsidP="00993A5D">
      <w:pPr>
        <w:pStyle w:val="FootnoteText"/>
      </w:pPr>
      <w:r>
        <w:rPr>
          <w:rStyle w:val="FootnoteReference"/>
        </w:rPr>
        <w:footnoteRef/>
      </w:r>
      <w:r>
        <w:t xml:space="preserve"> </w:t>
      </w:r>
      <w:r w:rsidR="00197FA7">
        <w:t>‘</w:t>
      </w:r>
      <w:r>
        <w:t xml:space="preserve"> In 2010 the average length of civil proceedings in first instance in the OECD area was  around 240 days, but only 107 days in Japan, the best performer. About 420 days were required in Slovenia  and Portugal, and 564 days in Italy. The average length of a civil dispute going through all three instances  was 788 days, ranging from 368 days in Switzerland to </w:t>
      </w:r>
      <w:r w:rsidRPr="00A67D3F">
        <w:rPr>
          <w:i/>
        </w:rPr>
        <w:t>almost 8 years in Italy’</w:t>
      </w:r>
      <w:r>
        <w:t xml:space="preserve">. </w:t>
      </w:r>
      <w:r w:rsidR="00AA60BA">
        <w:t>[</w:t>
      </w:r>
      <w:r>
        <w:t>My emphasis</w:t>
      </w:r>
      <w:r w:rsidR="00AA60BA">
        <w:t>]</w:t>
      </w:r>
      <w:r>
        <w:t xml:space="preserve"> </w:t>
      </w:r>
      <w:r w:rsidR="00AA60BA">
        <w:t xml:space="preserve">OECD, </w:t>
      </w:r>
      <w:r>
        <w:t xml:space="preserve">What </w:t>
      </w:r>
      <w:r w:rsidR="00AA60BA">
        <w:t>makes civil justice  effective?</w:t>
      </w:r>
      <w:r>
        <w:t xml:space="preserve">, OECD Economics Department  Policy Notes, No. 18 June (2013), at </w:t>
      </w:r>
      <w:r w:rsidR="00197FA7">
        <w:t xml:space="preserve"> 2 </w:t>
      </w:r>
      <w:r>
        <w:t xml:space="preserve">. </w:t>
      </w:r>
    </w:p>
  </w:footnote>
  <w:footnote w:id="4">
    <w:p w14:paraId="290B890E" w14:textId="5C96BAE6" w:rsidR="005C09F8" w:rsidRPr="00464982" w:rsidRDefault="005C09F8" w:rsidP="009E5E24">
      <w:pPr>
        <w:pStyle w:val="FootnoteText"/>
      </w:pPr>
      <w:r w:rsidRPr="00464982">
        <w:rPr>
          <w:rStyle w:val="FootnoteReference"/>
          <w:rFonts w:ascii="Garamond" w:hAnsi="Garamond"/>
        </w:rPr>
        <w:footnoteRef/>
      </w:r>
      <w:r w:rsidRPr="00464982">
        <w:t xml:space="preserve"> </w:t>
      </w:r>
      <w:r w:rsidR="008D558A" w:rsidRPr="00464982">
        <w:t xml:space="preserve"> </w:t>
      </w:r>
      <w:r w:rsidR="008D558A" w:rsidRPr="00464982">
        <w:rPr>
          <w:i/>
        </w:rPr>
        <w:t>See</w:t>
      </w:r>
      <w:r w:rsidR="008D558A" w:rsidRPr="00464982">
        <w:t xml:space="preserve"> </w:t>
      </w:r>
      <w:r w:rsidRPr="00464982">
        <w:fldChar w:fldCharType="begin"/>
      </w:r>
      <w:r w:rsidR="008D558A" w:rsidRPr="00464982">
        <w:instrText xml:space="preserve"> ADDIN ZOTERO_ITEM CSL_CITATION {"citationID":"kdIwhHs7","properties":{"formattedCitation":"{\\rtf Neil MacCormick, \\i Reasonableness and Objectivity\\i0{}, 74 \\scaps Notre Dame Law Review\\scaps0{} 1575 (1998).}","plainCitation":"Neil MacCormick, Reasonableness and Objectivity, 74 Notre Dame Law Review 1575 (1998)."},"citationItems":[{"id":25,"uris":["http://zotero.org/users/1004823/items/2RUW4378"],"uri":["http://zotero.org/users/1004823/items/2RUW4378"],"itemData":{"id":25,"type":"article-journal","multi":{"main":{},"_keys":{}},"system_id":"0_2RUW4378","title":"Reasonableness and Objectivity","container-title":"Notre Dame Law  Review","page":"1575","volume":"74","journalAbbreviation":"Notre Dame L. Rev.","author":[{"family":"MacCormick","given":"Neil","isInstitution":"","multi":{"_key":{},"main":false}}],"issued":{"date-parts":[["1998"]],"season":"1999"}}}],"schema":"https://github.com/citation-style-language/schema/raw/master/csl-citation.json"} </w:instrText>
      </w:r>
      <w:r w:rsidRPr="00464982">
        <w:fldChar w:fldCharType="separate"/>
      </w:r>
      <w:r w:rsidR="008D558A" w:rsidRPr="00464982">
        <w:t xml:space="preserve">Neil MacCormick, </w:t>
      </w:r>
      <w:r w:rsidR="008D558A" w:rsidRPr="00464982">
        <w:rPr>
          <w:iCs/>
        </w:rPr>
        <w:t>Reasonableness and Objectivity</w:t>
      </w:r>
      <w:r w:rsidR="008D558A" w:rsidRPr="00464982">
        <w:t xml:space="preserve">, 74 </w:t>
      </w:r>
      <w:r w:rsidR="008D558A" w:rsidRPr="00464982">
        <w:rPr>
          <w:i/>
        </w:rPr>
        <w:t xml:space="preserve">Notre Dame Law Review </w:t>
      </w:r>
      <w:r w:rsidR="008D558A" w:rsidRPr="00464982">
        <w:t>1575 (1998).</w:t>
      </w:r>
      <w:r w:rsidRPr="00464982">
        <w:fldChar w:fldCharType="end"/>
      </w:r>
    </w:p>
  </w:footnote>
  <w:footnote w:id="5">
    <w:p w14:paraId="4B1DB16F" w14:textId="7B3D12D3" w:rsidR="005C09F8" w:rsidRPr="002F55D3" w:rsidRDefault="005C09F8" w:rsidP="009E5E24">
      <w:pPr>
        <w:pStyle w:val="FootnoteText"/>
        <w:rPr>
          <w:lang w:val="fr-FR"/>
        </w:rPr>
      </w:pPr>
      <w:r w:rsidRPr="00464982">
        <w:rPr>
          <w:rStyle w:val="FootnoteReference"/>
          <w:rFonts w:ascii="Garamond" w:hAnsi="Garamond"/>
        </w:rPr>
        <w:footnoteRef/>
      </w:r>
      <w:r w:rsidRPr="002F55D3">
        <w:rPr>
          <w:lang w:val="fr-FR"/>
        </w:rPr>
        <w:t xml:space="preserve"> </w:t>
      </w:r>
      <w:r w:rsidRPr="00464982">
        <w:fldChar w:fldCharType="begin"/>
      </w:r>
      <w:r w:rsidR="00D7765D" w:rsidRPr="002F55D3">
        <w:rPr>
          <w:lang w:val="fr-FR"/>
        </w:rPr>
        <w:instrText xml:space="preserve"> ADDIN ZOTERO_ITEM CSL_CITATION {"citationID":"1SRHZSdA","properties":{"formattedCitation":"{\\rtf Michele Taruffo, \\i La Verita` nel Processo\\i0{}, \\scaps Rivista Trimestrale di Diritto e Procedura Civile\\scaps0{} 1117\\uc0\\u8211{}1135 (2012).}","plainCitation":"Michele Taruffo, La Verita` nel Processo, Rivista Trimestrale di Diritto e Procedura Civile 1117–1135 (2012)."},"citationItems":[{"id":725,"uris":["http://zotero.org/users/1004823/items/HBAZR28N"],"uri":["http://zotero.org/users/1004823/items/HBAZR28N"],"itemData":{"id":725,"type":"article-journal","multi":{"main":{},"_keys":{}},"system_id":"0_HBAZR28N","title":"La Verita` nel Processo","container-title":"Rivista Trimestrale di Diritto e Procedura Civile","page":"1117-1135","issue":"4","author":[{"family":"Taruffo","given":"Michele","isInstitution":"","multi":{"_key":{},"main":false}}],"issued":{"date-parts":[["2012"]]}}}],"schema":"https://github.com/citation-style-language/schema/raw/master/csl-citation.json"} </w:instrText>
      </w:r>
      <w:r w:rsidRPr="00464982">
        <w:fldChar w:fldCharType="separate"/>
      </w:r>
      <w:r w:rsidR="00D7765D" w:rsidRPr="002F55D3">
        <w:rPr>
          <w:lang w:val="fr-FR"/>
        </w:rPr>
        <w:t xml:space="preserve">Michele Taruffo, </w:t>
      </w:r>
      <w:r w:rsidR="00D7765D" w:rsidRPr="002F55D3">
        <w:rPr>
          <w:iCs/>
          <w:lang w:val="fr-FR"/>
        </w:rPr>
        <w:t>La Verita` nel Processo</w:t>
      </w:r>
      <w:r w:rsidR="00D7765D" w:rsidRPr="002F55D3">
        <w:rPr>
          <w:lang w:val="fr-FR"/>
        </w:rPr>
        <w:t xml:space="preserve">, </w:t>
      </w:r>
      <w:r w:rsidR="00D7765D" w:rsidRPr="002F55D3">
        <w:rPr>
          <w:i/>
          <w:lang w:val="fr-FR"/>
        </w:rPr>
        <w:t xml:space="preserve">Rivista Trimestrale di Diritto e Procedura Civile </w:t>
      </w:r>
      <w:r w:rsidR="00D7765D" w:rsidRPr="002F55D3">
        <w:rPr>
          <w:lang w:val="fr-FR"/>
        </w:rPr>
        <w:t>1117–1135 (2012).</w:t>
      </w:r>
      <w:r w:rsidRPr="00464982">
        <w:fldChar w:fldCharType="end"/>
      </w:r>
    </w:p>
  </w:footnote>
  <w:footnote w:id="6">
    <w:p w14:paraId="6B096918" w14:textId="5FE213DC" w:rsidR="00DA40A9" w:rsidRPr="00464982" w:rsidRDefault="00DA40A9" w:rsidP="009E5E24">
      <w:pPr>
        <w:pStyle w:val="FootnoteText"/>
      </w:pPr>
      <w:r w:rsidRPr="00464982">
        <w:rPr>
          <w:rStyle w:val="FootnoteReference"/>
          <w:rFonts w:ascii="Garamond" w:hAnsi="Garamond"/>
        </w:rPr>
        <w:footnoteRef/>
      </w:r>
      <w:r w:rsidRPr="00464982">
        <w:t xml:space="preserve"> </w:t>
      </w:r>
      <w:r w:rsidR="00423100" w:rsidRPr="00464982">
        <w:t xml:space="preserve">Court of Appeal, Tribunal of Milan </w:t>
      </w:r>
      <w:r w:rsidRPr="00464982">
        <w:fldChar w:fldCharType="begin"/>
      </w:r>
      <w:r w:rsidR="008D558A" w:rsidRPr="00464982">
        <w:instrText xml:space="preserve"> ADDIN ZOTERO_ITEM CSL_CITATION {"citationID":"LIp46L8N","properties":{"formattedCitation":"Decision 5/3/1934, II Rivista di Diritto Processuale Civile 63 (1934).","plainCitation":"Decision 5/3/1934, II Rivista di Diritto Processuale Civile 63 (1934)."},"citationItems":[{"id":3077,"uris":["http://zotero.org/users/1004823/items/BZ5JXFIF"],"uri":["http://zotero.org/users/1004823/items/BZ5JXFIF"],"itemData":{"id":3077,"type":"legal_case","multi":{"main":{},"_keys":{}},"system_id":"0_BZ5JXFIF","title":"Decision 5/3/1934","container-title":"Rivista di Diritto Processuale Civile","authority":"Court of Appeal Tribunal of Milan","page":"63","volume":"II","abstract":"Court of Appeal Tribunal of Milan, 5 March 1934, Rivista di Diritto Processuale Civile 1935, II, 63.","language":"Italian","issued":{"date-parts":[["1934",5,3]]}}}],"schema":"https://github.com/citation-style-language/schema/raw/master/csl-citation.json"} </w:instrText>
      </w:r>
      <w:r w:rsidRPr="00464982">
        <w:fldChar w:fldCharType="separate"/>
      </w:r>
      <w:r w:rsidR="008D558A" w:rsidRPr="00464982">
        <w:t xml:space="preserve">Decision 5/3/1934, </w:t>
      </w:r>
      <w:r w:rsidR="008D558A" w:rsidRPr="00464982">
        <w:rPr>
          <w:i/>
        </w:rPr>
        <w:t xml:space="preserve">II Rivista di Diritto Processuale Civile </w:t>
      </w:r>
      <w:r w:rsidR="008D558A" w:rsidRPr="00464982">
        <w:t>63 (1934).</w:t>
      </w:r>
      <w:r w:rsidRPr="00464982">
        <w:fldChar w:fldCharType="end"/>
      </w:r>
    </w:p>
  </w:footnote>
  <w:footnote w:id="7">
    <w:p w14:paraId="0AB70DCA" w14:textId="506A4C83" w:rsidR="00EA6183" w:rsidRPr="00464982" w:rsidRDefault="00EA6183" w:rsidP="009E5E24">
      <w:pPr>
        <w:pStyle w:val="FootnoteText"/>
        <w:rPr>
          <w:lang w:val="it-IT"/>
        </w:rPr>
      </w:pPr>
      <w:r w:rsidRPr="00464982">
        <w:rPr>
          <w:rStyle w:val="FootnoteReference"/>
          <w:rFonts w:ascii="Garamond" w:hAnsi="Garamond"/>
        </w:rPr>
        <w:footnoteRef/>
      </w:r>
      <w:r w:rsidRPr="00464982">
        <w:rPr>
          <w:lang w:val="it-IT"/>
        </w:rPr>
        <w:t xml:space="preserve"> </w:t>
      </w:r>
      <w:r w:rsidR="00DA40A9" w:rsidRPr="00464982">
        <w:fldChar w:fldCharType="begin"/>
      </w:r>
      <w:r w:rsidR="00D7765D" w:rsidRPr="00464982">
        <w:instrText xml:space="preserve"> ADDIN ZOTERO_ITEM CSL_CITATION {"citationID":"J65OVGQx","properties":{"formattedCitation":"{\\rtf Taruffo, \\i supra\\i0{} note___ at 1117.}","plainCitation":"Taruffo, supra note___ at 1117."},"citationItems":[{"id":725,"uris":["http://zotero.org/users/1004823/items/HBAZR28N"],"uri":["http://zotero.org/users/1004823/items/HBAZR28N"],"itemData":{"id":725,"type":"article-journal","multi":{"main":{},"_keys":{}},"system_id":"0_HBAZR28N","title":"La Verita` nel Processo","container-title":"Rivista Trimestrale di Diritto e Procedura Civile","page":"1117-1135","issue":"4","author":[{"family":"Taruffo","given":"Michele","isInstitution":"","multi":{"_key":{},"main":false}}],"issued":{"date-parts":[["2012"]]}},"locator":"1117"}],"schema":"https://github.com/citation-style-language/schema/raw/master/csl-citation.json"} </w:instrText>
      </w:r>
      <w:r w:rsidR="00DA40A9" w:rsidRPr="00464982">
        <w:fldChar w:fldCharType="separate"/>
      </w:r>
      <w:r w:rsidR="00DA40A9" w:rsidRPr="00464982">
        <w:t xml:space="preserve">Taruffo, </w:t>
      </w:r>
      <w:r w:rsidR="00DA40A9" w:rsidRPr="00464982">
        <w:rPr>
          <w:i/>
          <w:iCs/>
        </w:rPr>
        <w:t>supra</w:t>
      </w:r>
      <w:r w:rsidR="00DA40A9" w:rsidRPr="00464982">
        <w:t xml:space="preserve"> note</w:t>
      </w:r>
      <w:r w:rsidR="00A564C3" w:rsidRPr="00464982">
        <w:t xml:space="preserve"> </w:t>
      </w:r>
      <w:r w:rsidR="00197FA7">
        <w:t>3</w:t>
      </w:r>
      <w:r w:rsidR="00D7765D" w:rsidRPr="00464982">
        <w:t>,</w:t>
      </w:r>
      <w:r w:rsidR="00DA40A9" w:rsidRPr="00464982">
        <w:t xml:space="preserve"> at 1117.</w:t>
      </w:r>
      <w:r w:rsidR="00DA40A9" w:rsidRPr="00464982">
        <w:fldChar w:fldCharType="end"/>
      </w:r>
    </w:p>
  </w:footnote>
  <w:footnote w:id="8">
    <w:p w14:paraId="7AB92C89" w14:textId="1A129028" w:rsidR="008D558A" w:rsidRPr="00464982" w:rsidRDefault="008D558A"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{"citationID":"1wHFbm65","properties":{"formattedCitation":"{\\rtf \\scaps Alvin I. Goldman\\scaps0{}, \\scaps Knowledge in a Social World\\scaps0{} (1999).}","plainCitation":"Alvin I. Goldman, Knowledge in a Social World (1999)."},"citationItems":[{"id":3118,"uris":["http://zotero.org/users/1004823/items/F7I2728P"],"uri":["http://zotero.org/users/1004823/items/F7I2728P"],"itemData":{"id":3118,"type":"book","multi":{"main":{},"_keys":{}},"system_id":"0_F7I2728P","title":"Knowledge in a Social World","publisher":"Clarendon Press","number-of-pages":"422","source":"Amazon.com","ISBN":"0198238207","author":[{"family":"Goldman","given":"Alvin I.","isInstitution":"","multi":{"_key":{},"main":false}}],"issued":{"date-parts":[["1999",1,14]]}}}],"schema":"https://github.com/citation-style-language/schema/raw/master/csl-citation.json"} </w:instrText>
      </w:r>
      <w:r w:rsidRPr="00464982">
        <w:fldChar w:fldCharType="separate"/>
      </w:r>
      <w:r w:rsidR="00464982" w:rsidRPr="00464982">
        <w:t xml:space="preserve">lvin </w:t>
      </w:r>
      <w:r w:rsidRPr="00464982">
        <w:t xml:space="preserve">I. </w:t>
      </w:r>
      <w:r w:rsidRPr="00464982">
        <w:rPr>
          <w:i/>
        </w:rPr>
        <w:t>Goldman, Knowledge in a Social World</w:t>
      </w:r>
      <w:r w:rsidRPr="00464982">
        <w:t xml:space="preserve"> (1999).</w:t>
      </w:r>
      <w:r w:rsidRPr="00464982">
        <w:fldChar w:fldCharType="end"/>
      </w:r>
    </w:p>
  </w:footnote>
  <w:footnote w:id="9">
    <w:p w14:paraId="0390A782" w14:textId="60CA2735" w:rsidR="00EA6183" w:rsidRPr="00464982" w:rsidRDefault="00EA6183" w:rsidP="009E5E24">
      <w:pPr>
        <w:pStyle w:val="FootnoteText"/>
      </w:pPr>
      <w:r w:rsidRPr="00464982">
        <w:rPr>
          <w:rStyle w:val="FootnoteReference"/>
          <w:rFonts w:ascii="Garamond" w:hAnsi="Garamond"/>
        </w:rPr>
        <w:footnoteRef/>
      </w:r>
      <w:r w:rsidRPr="00464982">
        <w:t xml:space="preserve"> </w:t>
      </w:r>
      <w:r w:rsidR="001627A7" w:rsidRPr="00464982">
        <w:t xml:space="preserve"> The line</w:t>
      </w:r>
      <w:r w:rsidR="004733F1" w:rsidRPr="00464982">
        <w:t xml:space="preserve"> of authority is established in</w:t>
      </w:r>
      <w:r w:rsidR="00786E38" w:rsidRPr="00464982">
        <w:t>:</w:t>
      </w:r>
      <w:r w:rsidR="004733F1" w:rsidRPr="00464982">
        <w:t xml:space="preserve"> </w:t>
      </w:r>
      <w:r w:rsidR="004733F1" w:rsidRPr="00464982">
        <w:fldChar w:fldCharType="begin"/>
      </w:r>
      <w:r w:rsidR="004733F1" w:rsidRPr="00464982">
        <w:instrText xml:space="preserve"> ADDIN ZOTERO_ITEM CSL_CITATION {"citationID":"zM9SJkEQ","properties":{"formattedCitation":"John Anthony Helliwell &amp; ors. v Terry D. Piggott-Sims, F.S.R. 356 (1980).","plainCitation":"John Anthony Helliwell &amp; ors. v Terry D. Piggott-Sims, F.S.R. 356 (1980)."},"citationItems":[{"id":3127,"uris":["http://zotero.org/users/1004823/items/W4936NVP"],"uri":["http://zotero.org/users/1004823/items/W4936NVP"],"itemData":{"id":3127,"type":"legal_case","multi":{"main":{},"_keys":{}},"system_id":"0_W4936NVP","title":"John Anthony Helliwell &amp; ors. v Terry D. Piggott-Sims","container-title":"F.S.R.","collection-number":"1980","publisher-place":"Lodon","authority":"Court of Appeal","page":"356","event-place":"Lodon","archive-place":"Lodon","number":"6500","jurisdiction":"gb;england.and.wales","issued":{"date-parts":[["1980",3,18]]}}}],"schema":"https://github.com/citation-style-language/schema/raw/master/csl-citation.json"} </w:instrText>
      </w:r>
      <w:r w:rsidR="004733F1" w:rsidRPr="00464982">
        <w:fldChar w:fldCharType="separate"/>
      </w:r>
      <w:r w:rsidR="004733F1" w:rsidRPr="00464982">
        <w:t>John Anthony Helliwell &amp; ors. v Terry D. Piggott-Sims, F.S.R. 356 (1980).</w:t>
      </w:r>
      <w:r w:rsidR="004733F1" w:rsidRPr="00464982">
        <w:fldChar w:fldCharType="end"/>
      </w:r>
    </w:p>
  </w:footnote>
  <w:footnote w:id="10">
    <w:p w14:paraId="7C2C87B5" w14:textId="5418855E" w:rsidR="0009542B" w:rsidRPr="00464982" w:rsidRDefault="0009542B"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{"citationID":"9pRQ0798","properties":{"formattedCitation":"{\\rtf \\scaps Data Protection Act 1998 Ch 29\\scaps0{}, (1998).}","plainCitation":"Data Protection Act 1998 Ch 29, (1998)."},"citationItems":[{"id":3142,"uris":["http://zotero.org/users/1004823/items/X4BGUHRZ"],"uri":["http://zotero.org/users/1004823/items/X4BGUHRZ"],"itemData":{"id":3142,"type":"legislation","multi":{"main":{},"_keys":{}},"system_id":"0_X4BGUHRZ","title":"Data Protection Act 1998 Ch 29","abstract":"An Act to make new provision for the regulation of the processing of information relating to individuals, including the obtaining, holding, use or disclosure of such information.","note":"An Act to make new provision for the regulation of the processing of information relating to individuals, including the obtaining, holding, use or disclosure of such\n\n\n\n\n\n\n\n\n\n\n\n\n\n\n\n\n\n\n\n\n\n\n\n\n\n\n\n\n\n\n\ninformation.","language":"eng","jurisdiction":"gb;england.and.wales","issued":{"date-parts":[["1998",7,16]]}}}],"schema":"https://github.com/citation-style-language/schema/raw/master/csl-citation.json"} </w:instrText>
      </w:r>
      <w:r w:rsidRPr="00464982">
        <w:fldChar w:fldCharType="separate"/>
      </w:r>
      <w:r w:rsidRPr="00464982">
        <w:t>Data Protection Act 1998 Ch 29, (1998).</w:t>
      </w:r>
      <w:r w:rsidRPr="00464982">
        <w:fldChar w:fldCharType="end"/>
      </w:r>
    </w:p>
  </w:footnote>
  <w:footnote w:id="11">
    <w:p w14:paraId="69D54A0E" w14:textId="147676EB" w:rsidR="00EA6183" w:rsidRPr="00464982" w:rsidRDefault="00EA6183" w:rsidP="009E5E24">
      <w:pPr>
        <w:pStyle w:val="FootnoteText"/>
      </w:pPr>
      <w:r w:rsidRPr="00464982">
        <w:rPr>
          <w:rStyle w:val="FootnoteReference"/>
          <w:rFonts w:ascii="Garamond" w:hAnsi="Garamond"/>
        </w:rPr>
        <w:footnoteRef/>
      </w:r>
      <w:r w:rsidRPr="00464982">
        <w:t xml:space="preserve"> </w:t>
      </w:r>
      <w:r w:rsidR="0055588F" w:rsidRPr="00464982">
        <w:t>Convention for the Protection of Human Rights and Fundamental Freedoms, 4</w:t>
      </w:r>
      <w:r w:rsidR="001C4BE2" w:rsidRPr="00464982">
        <w:t xml:space="preserve"> IX</w:t>
      </w:r>
      <w:r w:rsidR="00BF6167" w:rsidRPr="00464982">
        <w:t xml:space="preserve"> 1950, 213 U.N.T.S. 222</w:t>
      </w:r>
      <w:r w:rsidR="0055588F" w:rsidRPr="00464982">
        <w:t xml:space="preserve">  </w:t>
      </w:r>
      <w:r w:rsidR="00F04449" w:rsidRPr="00464982">
        <w:rPr>
          <w:color w:val="000000"/>
        </w:rPr>
        <w:t xml:space="preserve">article 6.  </w:t>
      </w:r>
    </w:p>
  </w:footnote>
  <w:footnote w:id="12">
    <w:p w14:paraId="469021D4" w14:textId="2EAF9C13"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i/>
        </w:rPr>
        <w:t>I</w:t>
      </w:r>
      <w:r w:rsidR="00D7765D" w:rsidRPr="00464982">
        <w:rPr>
          <w:i/>
        </w:rPr>
        <w:t>d</w:t>
      </w:r>
      <w:r w:rsidR="00127AEE" w:rsidRPr="00464982">
        <w:rPr>
          <w:i/>
        </w:rPr>
        <w:t>.,</w:t>
      </w:r>
      <w:r w:rsidR="00D7765D" w:rsidRPr="00464982">
        <w:t xml:space="preserve"> at</w:t>
      </w:r>
      <w:r w:rsidRPr="00464982">
        <w:t xml:space="preserve"> article 8.</w:t>
      </w:r>
    </w:p>
  </w:footnote>
  <w:footnote w:id="13">
    <w:p w14:paraId="671ED31B" w14:textId="2B71B755" w:rsidR="00CB5E00" w:rsidRPr="00464982" w:rsidRDefault="00CB5E00" w:rsidP="009E5E24">
      <w:pPr>
        <w:pStyle w:val="FootnoteText"/>
      </w:pPr>
      <w:r w:rsidRPr="00464982">
        <w:rPr>
          <w:rStyle w:val="FootnoteReference"/>
          <w:rFonts w:ascii="Garamond" w:hAnsi="Garamond"/>
        </w:rPr>
        <w:footnoteRef/>
      </w:r>
      <w:r w:rsidRPr="00464982">
        <w:t xml:space="preserve"> </w:t>
      </w:r>
      <w:r w:rsidRPr="00464982">
        <w:rPr>
          <w:i/>
        </w:rPr>
        <w:t>See</w:t>
      </w:r>
      <w:r w:rsidRPr="00464982">
        <w:t xml:space="preserve">, for a critical review of the concept of legal family, </w:t>
      </w:r>
      <w:r w:rsidRPr="00464982">
        <w:fldChar w:fldCharType="begin"/>
      </w:r>
      <w:r w:rsidRPr="00464982">
        <w:instrText xml:space="preserve"> ADDIN ZOTERO_ITEM CSL_CITATION {"citationID":"ymFMGaBB","properties":{"formattedCitation":"{\\rtf Mariana Pargendler, \\i The Rise and Decline of Legal Families\\i0{}, 60 \\scaps American Journal of Comparative Law\\scaps0{} 1043\\uc0\\u8211{}1074 (2012).}","plainCitation":"Mariana Pargendler, The Rise and Decline of Legal Families, 60 American Journal of Comparative Law 1043–1074 (2012)."},"citationItems":[{"id":3163,"uris":["http://zotero.org/users/1004823/items/9WMGFCWC"],"uri":["http://zotero.org/users/1004823/items/9WMGFCWC"],"itemData":{"id":3163,"type":"article-journal","multi":{"main":{},"_keys":{}},"system_id":"0_9WMGFCWC","title":"The Rise and Decline of Legal Families","container-title":"American Journal of Comparative Law","page":"1043-1074","volume":"60","issue":"4","source":"CrossRef","DOI":"10.5131/AJCL.2012.0010","ISSN":"0002-919X","author":[{"family":"Pargendler","given":"Mariana","isInstitution":"","multi":{"_key":{},"main":false}}],"issued":{"date-parts":[["2012",9,1]]},"accessed":{"date-parts":[["2013",4,23]]}}}],"schema":"https://github.com/citation-style-language/schema/raw/master/csl-citation.json"} </w:instrText>
      </w:r>
      <w:r w:rsidRPr="00464982">
        <w:fldChar w:fldCharType="separate"/>
      </w:r>
      <w:r w:rsidRPr="00464982">
        <w:t xml:space="preserve">Mariana Pargendler, </w:t>
      </w:r>
      <w:r w:rsidRPr="00464982">
        <w:rPr>
          <w:iCs/>
        </w:rPr>
        <w:t>The Rise and Decline of Legal Families</w:t>
      </w:r>
      <w:r w:rsidRPr="00464982">
        <w:t xml:space="preserve">, 60 </w:t>
      </w:r>
      <w:r w:rsidRPr="00464982">
        <w:rPr>
          <w:i/>
        </w:rPr>
        <w:t>American Journal of Comparative Law</w:t>
      </w:r>
      <w:r w:rsidRPr="00464982">
        <w:t xml:space="preserve"> 1043–1074 (2012).</w:t>
      </w:r>
      <w:r w:rsidRPr="00464982">
        <w:fldChar w:fldCharType="end"/>
      </w:r>
    </w:p>
  </w:footnote>
  <w:footnote w:id="14">
    <w:p w14:paraId="4DC152EB" w14:textId="6EB15ADD" w:rsidR="005009DF" w:rsidRPr="00464982" w:rsidRDefault="005009DF" w:rsidP="009E5E24">
      <w:pPr>
        <w:pStyle w:val="FootnoteText"/>
      </w:pPr>
      <w:r w:rsidRPr="00464982">
        <w:rPr>
          <w:rStyle w:val="FootnoteReference"/>
          <w:rFonts w:ascii="Garamond" w:hAnsi="Garamond"/>
        </w:rPr>
        <w:footnoteRef/>
      </w:r>
      <w:r w:rsidRPr="00464982">
        <w:t xml:space="preserve"> </w:t>
      </w:r>
      <w:r w:rsidRPr="00464982">
        <w:rPr>
          <w:i/>
        </w:rPr>
        <w:t>See</w:t>
      </w:r>
      <w:r w:rsidRPr="00464982">
        <w:t xml:space="preserve"> </w:t>
      </w:r>
      <w:r w:rsidRPr="00464982">
        <w:fldChar w:fldCharType="begin"/>
      </w:r>
      <w:r w:rsidR="00BF6167" w:rsidRPr="00464982">
        <w:instrText xml:space="preserve"> ADDIN ZOTERO_ITEM CSL_CITATION {"citationID":"ujwXhKel","properties":{"formattedCitation":"{\\rtf Jan Kom\\uc0\\u225{}rek, \\i Reasoning with Previous Decisions: Beyond the Doctrine of Precedent\\i0{}, 61 \\scaps American Journal of Comparative Law\\scaps0{} 149\\uc0\\u8211{}171, 149, 160\\uc0\\u8211{}167, 170. (2013).}","plainCitation":"Jan Komárek, Reasoning with Previous Decisions: Beyond the Doctrine of Precedent, 61 American Journal of Comparative Law 149–171, 149, 160–167, 170. (2013)."},"citationItems":[{"id":3161,"uris":["http://zotero.org/users/1004823/items/DK6V4KIC"],"uri":["http://zotero.org/users/1004823/items/DK6V4KIC"],"itemData":{"id":3161,"type":"article-journal","multi":{"main":{},"_keys":{}},"system_id":"0_DK6V4KIC","title":"Reasoning with Previous Decisions: Beyond the Doctrine of Precedent","container-title":"American Journal of Comparative Law","page":"149-171","volume":"61","issue":"1","source":"CrossRef","DOI":"10.5131/AJCL.2012.0013","ISSN":"0002-919X","shortTitle":"Reasoning with Previous Decisions","author":[{"family":"Komárek","given":"Jan","isInstitution":"","multi":{"_key":{},"main":false}}],"issued":{"date-parts":[["2013",1,1]]},"accessed":{"date-parts":[["2013",4,23]]}},"locator":"149, 160-167, 170.","label":"page"}],"schema":"https://github.com/citation-style-language/schema/raw/master/csl-citation.json"} </w:instrText>
      </w:r>
      <w:r w:rsidRPr="00464982">
        <w:fldChar w:fldCharType="separate"/>
      </w:r>
      <w:r w:rsidR="00BF6167" w:rsidRPr="00464982">
        <w:t xml:space="preserve">Jan Komárek, </w:t>
      </w:r>
      <w:r w:rsidR="00BF6167" w:rsidRPr="00464982">
        <w:rPr>
          <w:i/>
          <w:iCs/>
        </w:rPr>
        <w:t>Reasoning with Previous Decisions: Beyond the Doctrine of Precedent</w:t>
      </w:r>
      <w:r w:rsidR="00BF6167" w:rsidRPr="00464982">
        <w:t xml:space="preserve">, 61 </w:t>
      </w:r>
      <w:r w:rsidR="00BF6167" w:rsidRPr="00464982">
        <w:rPr>
          <w:i/>
        </w:rPr>
        <w:t xml:space="preserve">American Journal of Comparative Law </w:t>
      </w:r>
      <w:r w:rsidR="004B76B8">
        <w:t>149–171, 149, 160–167, 170</w:t>
      </w:r>
      <w:r w:rsidR="00BF6167" w:rsidRPr="00464982">
        <w:t xml:space="preserve"> (2013).</w:t>
      </w:r>
      <w:r w:rsidRPr="00464982">
        <w:fldChar w:fldCharType="end"/>
      </w:r>
    </w:p>
  </w:footnote>
  <w:footnote w:id="15">
    <w:p w14:paraId="4123FE5E" w14:textId="300C09F0" w:rsidR="001C4BE2" w:rsidRPr="00464982" w:rsidRDefault="001C4BE2" w:rsidP="009E5E24">
      <w:pPr>
        <w:pStyle w:val="FootnoteText"/>
      </w:pPr>
      <w:r w:rsidRPr="00464982">
        <w:rPr>
          <w:rStyle w:val="FootnoteReference"/>
          <w:rFonts w:ascii="Garamond" w:hAnsi="Garamond"/>
        </w:rPr>
        <w:footnoteRef/>
      </w:r>
      <w:r w:rsidRPr="00464982">
        <w:t xml:space="preserve"> </w:t>
      </w:r>
      <w:r w:rsidR="006E3573" w:rsidRPr="00464982">
        <w:rPr>
          <w:i/>
        </w:rPr>
        <w:t>See</w:t>
      </w:r>
      <w:r w:rsidR="006E3573" w:rsidRPr="00464982">
        <w:t xml:space="preserve"> </w:t>
      </w:r>
      <w:r w:rsidRPr="00464982">
        <w:fldChar w:fldCharType="begin"/>
      </w:r>
      <w:r w:rsidR="006E3573" w:rsidRPr="00464982">
        <w:instrText xml:space="preserve"> ADDIN ZOTERO_ITEM CSL_CITATION {"citationID":"Qe6PRwf7","properties":{"formattedCitation":"{\\rtf Vincy Fon &amp; Francesco Parisi, \\i Judicial precedents in civil law systems: A dynamic analysis\\i0{}, \\scaps International review of law and economics. - New York, NY [u.a.]\\uc0\\u8239{}: Elsevier, ISSN 0144-8188, ZDB-ID 704902x. - Vol. 26.2006, 4, p. 519-535\\scaps0{} (2006); Marco Croce, \\i Precedente giudiziale e giurisprudenza costituzionale\\i0{}, 4 1114\\uc0\\u8211{}1161 (2006); Rodolfo Sacco, \\i Legal Formants: A Dynamic Approach to Comparative Law\\i0{}, 39 \\scaps The American Journal of Comparative Law\\scaps0{} 343\\uc0\\u8211{}401, 356 (1991).}","plainCitation":"Vincy Fon &amp; Francesco Parisi, Judicial precedents in civil law systems: A dynamic analysis, International review of law and economics. - New York, NY [u.a.]</w:instrText>
      </w:r>
      <w:r w:rsidR="006E3573" w:rsidRPr="00464982">
        <w:rPr>
          <w:rFonts w:ascii="Times New Roman" w:hAnsi="Times New Roman"/>
        </w:rPr>
        <w:instrText> </w:instrText>
      </w:r>
      <w:r w:rsidR="006E3573" w:rsidRPr="00464982">
        <w:instrText>: Elsevier, ISSN 0144-8188, ZDB-ID 704902x. - Vol. 26.2006, 4, p. 519-535 (2006); Marco Croce, Precedente giudiziale e giurisprudenza costituzionale, 4 1114</w:instrText>
      </w:r>
      <w:r w:rsidR="006E3573" w:rsidRPr="00464982">
        <w:rPr>
          <w:rFonts w:cs="Garamond"/>
        </w:rPr>
        <w:instrText>–</w:instrText>
      </w:r>
      <w:r w:rsidR="006E3573" w:rsidRPr="00464982">
        <w:instrText xml:space="preserve">1161 (2006); Rodolfo Sacco, Legal Formants: A Dynamic Approach to Comparative Law, 39 The American Journal of Comparative Law 343–401, 356 (1991)."},"citationItems":[{"id":723,"uris":["http://zotero.org/users/1004823/items/72TVNMIP"],"uri":["http://zotero.org/users/1004823/items/72TVNMIP"],"itemData":{"id":723,"type":"article-journal","multi":{"main":{},"_keys":{}},"system_id":"0_72TVNMIP","title":"Judicial precedents in civil law systems: A dynamic analysis","container-title":"International review of law and economics. - New York, NY [u.a.] : Elsevier, ISSN 0144-8188, ZDB-ID 704902x. - Vol. 26.2006, 4, p. 519-535","shortTitle":"Judicial precedents in civil law systems","author":[{"family":"Fon","given":"Vincy","isInstitution":"","multi":{"_key":{},"main":false}},{"family":"Parisi","given":"Francesco","isInstitution":"","multi":{"_key":{},"main":false}}],"issued":{"date-parts":[["2006"]]}},"label":"page"},{"id":722,"uris":["http://zotero.org/users/1004823/items/U26TVE7T"],"uri":["http://zotero.org/users/1004823/items/U26TVE7T"],"itemData":{"id":722,"type":"article-journal","multi":{"main":{},"_keys":{}},"system_id":"0_U26TVE7T","title":"Precedente giudiziale e giurisprudenza costituzionale","page":"1114-1161","volume":"4","issue":"5","author":[{"family":"Croce","given":"Marco","isInstitution":"","multi":{"_key":{},"main":false}}],"issued":{"date-parts":[["2006"]]}},"label":"page"},{"id":3159,"uris":["http://zotero.org/users/1004823/items/JX672QV9"],"uri":["http://zotero.org/users/1004823/items/JX672QV9"],"itemData":{"id":3159,"type":"article-journal","multi":{"main":{},"_keys":{}},"system_id":"0_JX672QV9","title":"Legal Formants: A Dynamic Approach to Comparative Law","container-title":"The American Journal of Comparative Law","page":"343–401","volume":"39","issue":"2","source":"Google Scholar","shortTitle":"Legal Formants","author":[{"family":"Sacco","given":"Rodolfo","isInstitution":"","multi":{"_key":{},"main":false}}],"issued":{"date-parts":[["1991"]]},"accessed":{"date-parts":[["2013",4,23]]}},"locator":"356","label":"page"}],"schema":"https://github.com/citation-style-language/schema/raw/master/csl-citation.json"} </w:instrText>
      </w:r>
      <w:r w:rsidRPr="00464982">
        <w:fldChar w:fldCharType="separate"/>
      </w:r>
      <w:r w:rsidR="006E3573" w:rsidRPr="00464982">
        <w:t xml:space="preserve">Vincy Fon &amp; Francesco Parisi, </w:t>
      </w:r>
      <w:r w:rsidR="006E3573" w:rsidRPr="00464982">
        <w:rPr>
          <w:iCs/>
        </w:rPr>
        <w:t>Judicial precedents in civil law systems: A dynamic analysis</w:t>
      </w:r>
      <w:r w:rsidR="006E3573" w:rsidRPr="00464982">
        <w:t>,</w:t>
      </w:r>
      <w:r w:rsidR="006E3573" w:rsidRPr="00464982">
        <w:rPr>
          <w:i/>
        </w:rPr>
        <w:t xml:space="preserve"> International review of law and economics</w:t>
      </w:r>
      <w:r w:rsidR="006E3573" w:rsidRPr="00464982">
        <w:t>. - New York, NY [u.a.]</w:t>
      </w:r>
      <w:r w:rsidR="006E3573" w:rsidRPr="00464982">
        <w:rPr>
          <w:rFonts w:ascii="Times New Roman" w:hAnsi="Times New Roman"/>
        </w:rPr>
        <w:t> </w:t>
      </w:r>
      <w:r w:rsidR="006E3573" w:rsidRPr="00464982">
        <w:t xml:space="preserve">: Elsevier, ISSN 0144-8188, ZDB-ID 704902x. - Vol. 26.2006, 4, p. 519-535 (2006); Marco Croce, </w:t>
      </w:r>
      <w:r w:rsidR="006E3573" w:rsidRPr="00464982">
        <w:rPr>
          <w:i/>
          <w:iCs/>
        </w:rPr>
        <w:t>Precedente giudiziale e giurisprudenza costituzionale</w:t>
      </w:r>
      <w:r w:rsidR="006E3573" w:rsidRPr="00464982">
        <w:t xml:space="preserve">, 4 1114–1161 (2006); Rodolfo Sacco, </w:t>
      </w:r>
      <w:r w:rsidR="006E3573" w:rsidRPr="00464982">
        <w:rPr>
          <w:i/>
          <w:iCs/>
        </w:rPr>
        <w:t>Legal Formants: A Dynamic Approach to Comparative Law</w:t>
      </w:r>
      <w:r w:rsidR="006E3573" w:rsidRPr="00464982">
        <w:t>, 39</w:t>
      </w:r>
      <w:r w:rsidR="006E3573" w:rsidRPr="00464982">
        <w:rPr>
          <w:i/>
        </w:rPr>
        <w:t xml:space="preserve"> The American Journal of Comparative Law</w:t>
      </w:r>
      <w:r w:rsidR="006E3573" w:rsidRPr="00464982">
        <w:t xml:space="preserve"> 343–401, 356 (1991).</w:t>
      </w:r>
      <w:r w:rsidRPr="00464982">
        <w:fldChar w:fldCharType="end"/>
      </w:r>
    </w:p>
  </w:footnote>
  <w:footnote w:id="16">
    <w:p w14:paraId="4D67A932" w14:textId="272FF52A" w:rsidR="00EE5FDD" w:rsidRPr="00464982" w:rsidRDefault="00EE5FDD" w:rsidP="009E5E24">
      <w:pPr>
        <w:pStyle w:val="FootnoteText"/>
      </w:pPr>
      <w:r w:rsidRPr="00464982">
        <w:rPr>
          <w:rStyle w:val="FootnoteReference"/>
          <w:rFonts w:ascii="Garamond" w:hAnsi="Garamond"/>
        </w:rPr>
        <w:footnoteRef/>
      </w:r>
      <w:r w:rsidRPr="00464982">
        <w:t xml:space="preserve"> </w:t>
      </w:r>
      <w:r w:rsidRPr="00464982">
        <w:rPr>
          <w:i/>
        </w:rPr>
        <w:t>See</w:t>
      </w:r>
      <w:r w:rsidRPr="00464982">
        <w:t xml:space="preserve">, for an Italian perspective,  </w:t>
      </w:r>
      <w:r w:rsidRPr="00464982">
        <w:fldChar w:fldCharType="begin"/>
      </w:r>
      <w:r w:rsidR="002B3CEA" w:rsidRPr="00464982">
        <w:instrText xml:space="preserve"> ADDIN ZOTERO_ITEM CSL_CITATION {"citationID":"GJJiRde8","properties":{"formattedCitation":"{\\rtf \\scaps Rodolfo Sacco\\scaps0{}, \\scaps Introduzione al diritto comparato\\scaps0{} 44 (1990).}","plainCitation":"Rodolfo Sacco, Introduzione al diritto comparato 44 (1990)."},"citationItems":[{"id":3152,"uris":["http://zotero.org/users/1004823/items/99DT8VBT"],"uri":["http://zotero.org/users/1004823/items/99DT8VBT"],"itemData":{"id":3152,"type":"book","multi":{"main":{},"_keys":{}},"system_id":"0_99DT8VBT","title":"Introduzione al diritto comparato","publisher":"G. Giappichelli","publisher-place":"Torino","source":"Open WorldCat","event-place":"Torino","archive-place":"Torino","ISBN":"8834803442 9788834803448","language":"Italian","author":[{"family":"Sacco","given":"Rodolfo","isInstitution":"","multi":{"_key":{},"main":false}}],"issued":{"date-parts":[["1990"]]}},"locator":"44","label":"page"}],"schema":"https://github.com/citation-style-language/schema/raw/master/csl-citation.json"} </w:instrText>
      </w:r>
      <w:r w:rsidRPr="00464982">
        <w:fldChar w:fldCharType="separate"/>
      </w:r>
      <w:r w:rsidR="002B3CEA" w:rsidRPr="00464982">
        <w:t>Rodolfo Sacco,</w:t>
      </w:r>
      <w:r w:rsidR="00464982">
        <w:rPr>
          <w:i/>
        </w:rPr>
        <w:t xml:space="preserve"> Introduzione a</w:t>
      </w:r>
      <w:r w:rsidR="00464982" w:rsidRPr="00464982">
        <w:rPr>
          <w:i/>
        </w:rPr>
        <w:t>l Diritto Comparato</w:t>
      </w:r>
      <w:r w:rsidR="002B3CEA" w:rsidRPr="00464982">
        <w:t xml:space="preserve"> 44 (1990).</w:t>
      </w:r>
      <w:r w:rsidRPr="00464982">
        <w:fldChar w:fldCharType="end"/>
      </w:r>
    </w:p>
  </w:footnote>
  <w:footnote w:id="17">
    <w:p w14:paraId="13B591F2" w14:textId="3FC3D5F9" w:rsidR="009E5E24" w:rsidRPr="009E5E24" w:rsidRDefault="009E5E24" w:rsidP="009E5E24">
      <w:pPr>
        <w:pStyle w:val="FootnoteText"/>
        <w:rPr>
          <w:lang w:val="en-AU"/>
        </w:rPr>
      </w:pPr>
      <w:r w:rsidRPr="009E5E24">
        <w:rPr>
          <w:rStyle w:val="FootnoteReference"/>
        </w:rPr>
        <w:footnoteRef/>
      </w:r>
      <w:r w:rsidRPr="009E5E24">
        <w:t xml:space="preserve"> </w:t>
      </w:r>
      <w:r>
        <w:t xml:space="preserve">Jan Smits, A Dialogue on Comparative Functionalism </w:t>
      </w:r>
      <w:r w:rsidRPr="009E5E24">
        <w:t xml:space="preserve">Maastricht Journal of European and Comparative Law, Vol. 18, pp. 554-558, </w:t>
      </w:r>
      <w:r w:rsidR="004B76B8">
        <w:t xml:space="preserve">(557) </w:t>
      </w:r>
      <w:r w:rsidRPr="009E5E24">
        <w:t>2011</w:t>
      </w:r>
      <w:r w:rsidR="004B76B8">
        <w:t>.</w:t>
      </w:r>
    </w:p>
  </w:footnote>
  <w:footnote w:id="18">
    <w:p w14:paraId="20A2E823" w14:textId="6C4AFF03" w:rsidR="00EA6183" w:rsidRPr="00464982" w:rsidRDefault="00EA6183" w:rsidP="009E5E24">
      <w:pPr>
        <w:pStyle w:val="FootnoteText"/>
      </w:pPr>
      <w:r w:rsidRPr="00464982">
        <w:rPr>
          <w:rStyle w:val="FootnoteReference"/>
          <w:rFonts w:ascii="Garamond" w:hAnsi="Garamond"/>
        </w:rPr>
        <w:footnoteRef/>
      </w:r>
      <w:r w:rsidR="006E3573" w:rsidRPr="00464982">
        <w:fldChar w:fldCharType="begin"/>
      </w:r>
      <w:r w:rsidR="006E3573" w:rsidRPr="00464982">
        <w:instrText xml:space="preserve"> ADDIN ZOTERO_ITEM CSL_CITATION {"citationID":"L13VZpQ4","properties":{"formattedCitation":"{\\rtf Stapleton Jane, \\i Benefits of Comparative Tort Reasoning: Lost in translation\\i0{}, \\i in\\i0{} \\scaps Tom Bingham and the Transformation of the Law\\scaps0{} 773\\uc0\\u8211{}814 (ANDENAS MADS &amp; FAIRGRIEVEDUNCAN eds., 2009).}","plainCitation":"Stapleton Jane, Benefits of Comparative Tort Reasoning: Lost in translation, in Tom Bingham and the Transformation of the Law 773–814 (ANDENAS MADS &amp; FAIRGRIEVEDUNCAN eds., 2009)."},"citationItems":[{"id":547,"uris":["http://zotero.org/users/1004823/items/UM58BIEX"],"uri":["http://zotero.org/users/1004823/items/UM58BIEX"],"itemData":{"id":547,"type":"chapter","multi":{"main":{},"_keys":{}},"system_id":"0_UM58BIEX","title":"Benefits of Comparative Tort Reasoning: Lost in translation","container-title":"Tom Bingham and the Transformation of the Law","publisher":"OUP","page":"773-814","author":[{"family":"Jane","given":"Stapleton","isInstitution":"","multi":{"_key":{},"main":false}}],"editor":[{"family":"MADS","given":"ANDENAS","isInstitution":"","multi":{"_key":{},"main":false}},{"family":"FAIRGRIEVEDUNCAN","given":"","isInstitution":"","multi":{"_key":{},"main":false}}],"issued":{"date-parts":[["2009"]]}}}],"schema":"https://github.com/citation-style-language/schema/raw/master/csl-citation.json"} </w:instrText>
      </w:r>
      <w:r w:rsidR="006E3573" w:rsidRPr="00464982">
        <w:fldChar w:fldCharType="separate"/>
      </w:r>
      <w:r w:rsidR="006E3573" w:rsidRPr="00464982">
        <w:t xml:space="preserve">Stapleton Jane, </w:t>
      </w:r>
      <w:r w:rsidR="006E3573" w:rsidRPr="00464982">
        <w:rPr>
          <w:i/>
          <w:iCs/>
        </w:rPr>
        <w:t>Benefits of Comparative Tort Reasoning: Lost in translation</w:t>
      </w:r>
      <w:r w:rsidR="006E3573" w:rsidRPr="00464982">
        <w:t xml:space="preserve">, </w:t>
      </w:r>
      <w:r w:rsidR="006E3573" w:rsidRPr="00464982">
        <w:rPr>
          <w:i/>
          <w:iCs/>
        </w:rPr>
        <w:t>in</w:t>
      </w:r>
      <w:r w:rsidR="006E3573" w:rsidRPr="00464982">
        <w:t xml:space="preserve"> Tom Bingham and the Transformation of the Law 773–814 (</w:t>
      </w:r>
      <w:r w:rsidR="00464982" w:rsidRPr="00464982">
        <w:t xml:space="preserve">Andenas Mads &amp; Fairgrieveduncan </w:t>
      </w:r>
      <w:r w:rsidR="006E3573" w:rsidRPr="00464982">
        <w:t>eds., 2009).</w:t>
      </w:r>
      <w:r w:rsidR="006E3573" w:rsidRPr="00464982">
        <w:fldChar w:fldCharType="end"/>
      </w:r>
      <w:r w:rsidRPr="00464982">
        <w:t>)</w:t>
      </w:r>
    </w:p>
  </w:footnote>
  <w:footnote w:id="19">
    <w:p w14:paraId="5CFC7F00" w14:textId="0B042B48" w:rsidR="001C4BE2" w:rsidRPr="00464982" w:rsidRDefault="001C4BE2" w:rsidP="009E5E24">
      <w:pPr>
        <w:pStyle w:val="FootnoteText"/>
      </w:pPr>
      <w:r w:rsidRPr="00464982">
        <w:rPr>
          <w:rStyle w:val="FootnoteReference"/>
          <w:rFonts w:ascii="Garamond" w:hAnsi="Garamond"/>
        </w:rPr>
        <w:footnoteRef/>
      </w:r>
      <w:r w:rsidRPr="00464982">
        <w:t xml:space="preserve"> </w:t>
      </w:r>
      <w:r w:rsidRPr="00464982">
        <w:fldChar w:fldCharType="begin"/>
      </w:r>
      <w:r w:rsidR="006E3573" w:rsidRPr="00464982">
        <w:instrText xml:space="preserve"> ADDIN ZOTERO_ITEM CSL_CITATION {"citationID":"gUvUPAR4","properties":{"formattedCitation":"{\\rtf \\i Id.\\i0{}}","plainCitation":"Id."},"citationItems":[{"id":547,"uris":["http://zotero.org/users/1004823/items/UM58BIEX"],"uri":["http://zotero.org/users/1004823/items/UM58BIEX"],"itemData":{"id":547,"type":"chapter","multi":{"main":{},"_keys":{}},"system_id":"0_UM58BIEX","title":"Benefits of Comparative Tort Reasoning: Lost in translation","container-title":"Tom Bingham and the Transformation of the Law","publisher":"OUP","page":"773-814","author":[{"family":"Jane","given":"Stapleton","isInstitution":"","multi":{"_key":{},"main":false}}],"editor":[{"family":"MADS","given":"ANDENAS","isInstitution":"","multi":{"_key":{},"main":false}},{"family":"FAIRGRIEVEDUNCAN","given":"","isInstitution":"","multi":{"_key":{},"main":false}}],"issued":{"date-parts":[["2009"]]}}}],"schema":"https://github.com/citation-style-language/schema/raw/master/csl-citation.json"} </w:instrText>
      </w:r>
      <w:r w:rsidRPr="00464982">
        <w:fldChar w:fldCharType="separate"/>
      </w:r>
      <w:r w:rsidR="006E3573" w:rsidRPr="00464982">
        <w:rPr>
          <w:i/>
          <w:iCs/>
        </w:rPr>
        <w:t>Id.</w:t>
      </w:r>
      <w:r w:rsidRPr="00464982">
        <w:fldChar w:fldCharType="end"/>
      </w:r>
    </w:p>
  </w:footnote>
  <w:footnote w:id="20">
    <w:p w14:paraId="1035FCFC" w14:textId="464F08C0"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i/>
        </w:rPr>
        <w:t>I</w:t>
      </w:r>
      <w:r w:rsidR="006E3573" w:rsidRPr="00464982">
        <w:rPr>
          <w:i/>
        </w:rPr>
        <w:t>d</w:t>
      </w:r>
      <w:r w:rsidR="006E3573" w:rsidRPr="00464982">
        <w:t>.</w:t>
      </w:r>
      <w:r w:rsidR="00127AEE" w:rsidRPr="00464982">
        <w:t>,</w:t>
      </w:r>
      <w:r w:rsidR="00786E38" w:rsidRPr="00464982">
        <w:t xml:space="preserve"> </w:t>
      </w:r>
      <w:r w:rsidR="002B3CEA" w:rsidRPr="00464982">
        <w:t xml:space="preserve">at </w:t>
      </w:r>
      <w:r w:rsidRPr="00464982">
        <w:t xml:space="preserve"> 778.</w:t>
      </w:r>
    </w:p>
  </w:footnote>
  <w:footnote w:id="21">
    <w:p w14:paraId="4F16108C" w14:textId="5968EE1D" w:rsidR="004A2FD0" w:rsidRPr="00464982" w:rsidRDefault="004A2FD0"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{"citationID":"zPofK9mF","properties":{"formattedCitation":"{\\rtf \\scaps Peter De Cruz\\scaps0{}, \\scaps Comparative law in a changing world\\scaps0{} 219 (2007).}","plainCitation":"Peter De Cruz, Comparative law in a changing world 219 (2007)."},"citationItems":[{"id":3136,"uris":["http://zotero.org/users/1004823/items/EIT2AGUP"],"uri":["http://zotero.org/users/1004823/items/EIT2AGUP"],"itemData":{"id":3136,"type":"book","multi":{"main":{},"_keys":{}},"system_id":"0_EIT2AGUP","title":"Comparative law in a changing world","publisher":"Routledge-Cavendish","publisher-place":"New York, NY","number-of-pages":"532","source":"Library of Congress ISBN","event-place":"New York, NY","archive-place":"New York, NY","ISBN":"9781859419366","call-number":"K559 .D4 2007","author":[{"family":"De Cruz","given":"Peter","isInstitution":"","multi":{"_key":{},"main":false}}],"issued":{"date-parts":[["2007"]]}},"locator":"219","label":"page"}],"schema":"https://github.com/citation-style-language/schema/raw/master/csl-citation.json"} </w:instrText>
      </w:r>
      <w:r w:rsidRPr="00464982">
        <w:fldChar w:fldCharType="separate"/>
      </w:r>
      <w:r w:rsidRPr="00464982">
        <w:t>Peter De Cruz, Comparative law in a changing world 219 (2007).</w:t>
      </w:r>
      <w:r w:rsidRPr="00464982">
        <w:fldChar w:fldCharType="end"/>
      </w:r>
    </w:p>
  </w:footnote>
  <w:footnote w:id="22">
    <w:p w14:paraId="6930C189" w14:textId="10F3761D"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i/>
        </w:rPr>
        <w:t>Hildebrand</w:t>
      </w:r>
      <w:r w:rsidRPr="00464982">
        <w:t xml:space="preserve"> v </w:t>
      </w:r>
      <w:r w:rsidRPr="00464982">
        <w:rPr>
          <w:i/>
        </w:rPr>
        <w:t>Hildebrand</w:t>
      </w:r>
      <w:r w:rsidRPr="00464982">
        <w:t xml:space="preserve"> [1992] 1 FLR 244, [1992] Fam. Law 235.</w:t>
      </w:r>
    </w:p>
  </w:footnote>
  <w:footnote w:id="23">
    <w:p w14:paraId="36F76DE2" w14:textId="1463983C" w:rsidR="00EA6183" w:rsidRPr="00464982" w:rsidRDefault="00EA6183" w:rsidP="009E5E24">
      <w:pPr>
        <w:pStyle w:val="FootnoteText"/>
      </w:pPr>
      <w:r w:rsidRPr="00464982">
        <w:rPr>
          <w:rStyle w:val="FootnoteReference"/>
          <w:rFonts w:ascii="Garamond" w:hAnsi="Garamond"/>
        </w:rPr>
        <w:footnoteRef/>
      </w:r>
      <w:r w:rsidRPr="00464982">
        <w:t xml:space="preserve"> </w:t>
      </w:r>
      <w:r w:rsidR="007421E8" w:rsidRPr="00464982">
        <w:fldChar w:fldCharType="begin"/>
      </w:r>
      <w:r w:rsidR="007421E8" w:rsidRPr="00464982">
        <w:instrText xml:space="preserve"> ADDIN ZOTERO_ITEM CSL_CITATION {"citationID":"YjH4lks5","properties":{"formattedCitation":"Illegally Obtained Evidence in Civil and Family Proceedings, 3, http://www.barcouncil.org.uk/for-the-bar/practice-updates-and-guidance/guidance-on-the-professional-conduct-of-barristers/illegally-obtained-evidence-in-civil-and-family-proceedings/ (last visited Mar 1, 2013).","plainCitation":"Illegally Obtained Evidence in Civil and Family Proceedings, 3, http://www.barcouncil.org.uk/for-the-bar/practice-updates-and-guidance/guidance-on-the-professional-conduct-of-barristers/illegally-obtained-evidence-in-civil-and-family-proceedings/ (last visited Mar 1, 2013)."},"citationItems":[{"id":3056,"uris":["http://zotero.org/users/1004823/items/QJD8KXAB"],"uri":["http://zotero.org/users/1004823/items/QJD8KXAB"],"itemData":{"id":3056,"type":"webpage","multi":{"main":{},"_keys":{}},"system_id":"0_QJD8KXAB","title":"Illegally Obtained Evidence in Civil and Family Proceedings","URL":"http://www.barcouncil.org.uk/for-the-bar/practice-updates-and-guidance/guidance-on-the-professional-conduct-of-barristers/illegally-obtained-evidence-in-civil-and-family-proceedings/","accessed":{"date-parts":[["2013",3,1]]}},"locator":"3","label":"section"}],"schema":"https://github.com/citation-style-language/schema/raw/master/csl-citation.json"} </w:instrText>
      </w:r>
      <w:r w:rsidR="007421E8" w:rsidRPr="00464982">
        <w:fldChar w:fldCharType="separate"/>
      </w:r>
      <w:r w:rsidR="007421E8" w:rsidRPr="00464982">
        <w:t>Illegally Obtained Evidence in Civil and Family Proceedings, 3, http://www.barcouncil.org.uk/for-the-bar/practice-updates-and-guidance/guidance-on-the-professional-conduct-of-barristers/illegally-obtained-evidence-in-civil-and-family-proceedings/ (last visited Mar 1, 2013).</w:t>
      </w:r>
      <w:r w:rsidR="007421E8" w:rsidRPr="00464982">
        <w:fldChar w:fldCharType="end"/>
      </w:r>
    </w:p>
  </w:footnote>
  <w:footnote w:id="24">
    <w:p w14:paraId="1FB6A56B" w14:textId="2FFFC3C5" w:rsidR="007421E8" w:rsidRPr="00464982" w:rsidRDefault="007421E8" w:rsidP="009E5E24">
      <w:pPr>
        <w:pStyle w:val="FootnoteText"/>
      </w:pPr>
      <w:r w:rsidRPr="00464982">
        <w:rPr>
          <w:rStyle w:val="FootnoteReference"/>
          <w:rFonts w:ascii="Garamond" w:hAnsi="Garamond"/>
        </w:rPr>
        <w:footnoteRef/>
      </w:r>
      <w:r w:rsidRPr="002F55D3">
        <w:rPr>
          <w:lang w:val="fr-FR"/>
        </w:rPr>
        <w:t xml:space="preserve"> </w:t>
      </w:r>
      <w:r w:rsidRPr="002F55D3">
        <w:rPr>
          <w:i/>
          <w:lang w:val="fr-FR"/>
        </w:rPr>
        <w:t xml:space="preserve">See </w:t>
      </w:r>
      <w:r w:rsidRPr="002F55D3">
        <w:rPr>
          <w:lang w:val="fr-FR"/>
        </w:rPr>
        <w:t xml:space="preserve"> </w:t>
      </w:r>
      <w:r w:rsidRPr="00464982">
        <w:fldChar w:fldCharType="begin"/>
      </w:r>
      <w:r w:rsidR="006E3573" w:rsidRPr="002F55D3">
        <w:rPr>
          <w:lang w:val="fr-FR"/>
        </w:rPr>
        <w:instrText xml:space="preserve"> ADDIN ZOTERO_ITEM CSL_CITATION {"citationID":"jOHKTiri","properties":{"formattedCitation":"{\\rtf \\scaps Luca Passanate\\scaps0{}, \\scaps Modelli di tutela dei diritti. L\\uc0\\u8217{}esperienza inglese e italiana\\scaps0{} (2007).}","plainCitation":"Luca Passanate, Modelli di tutela dei diritti. L’esperienza inglese e italiana (2007)."},"citationItems":[{"id":3049,"uris":["http://zotero.org/users/1004823/items/6GAP82T6"],"uri":["http://zotero.org/users/1004823/items/6GAP82T6"],"itemData":{"id":3049,"type":"book","multi":{"main":{},"_keys":{}},"system_id":"0_6GAP82T6","title":"Modelli di tutela dei diritti. L'esperienza inglese e italiana","publisher":"CEDAM","publisher-place":"Padua","number-of-pages":"478","event-place":"Padua","archive-place":"Padua","language":"Italian","author":[{"family":"Passanate","given":"Luca","isInstitution":"","multi":{"_key":{},"main":false}}],"issued":{"date-parts":[["2007"]]}}}],"schema":"https://github.com/citation-style-language/schema/raw/master/csl-citation.json"} </w:instrText>
      </w:r>
      <w:r w:rsidRPr="00464982">
        <w:fldChar w:fldCharType="separate"/>
      </w:r>
      <w:r w:rsidR="006E3573" w:rsidRPr="002F55D3">
        <w:rPr>
          <w:lang w:val="fr-FR"/>
        </w:rPr>
        <w:t xml:space="preserve">Luca Passanate, </w:t>
      </w:r>
      <w:r w:rsidR="006E3573" w:rsidRPr="002F55D3">
        <w:rPr>
          <w:i/>
          <w:lang w:val="fr-FR"/>
        </w:rPr>
        <w:t xml:space="preserve">Modelli di tutela dei diritti. </w:t>
      </w:r>
      <w:r w:rsidR="006E3573" w:rsidRPr="00464982">
        <w:rPr>
          <w:i/>
        </w:rPr>
        <w:t xml:space="preserve">L’esperienza inglese e italiana </w:t>
      </w:r>
      <w:r w:rsidR="006E3573" w:rsidRPr="00464982">
        <w:t>(2007).</w:t>
      </w:r>
      <w:r w:rsidRPr="00464982">
        <w:fldChar w:fldCharType="end"/>
      </w:r>
    </w:p>
  </w:footnote>
  <w:footnote w:id="25">
    <w:p w14:paraId="5B97FC90" w14:textId="76C0FD9D" w:rsidR="00C00DC8" w:rsidRPr="00464982" w:rsidRDefault="00C00DC8"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{"citationID":"UOsb3OMX","properties":{"formattedCitation":"{\\rtf \\scaps Human Rights Act 1998 c.42\\scaps0{}, (1998).}","plainCitation":"Human Rights Act 1998 c.42, (1998)."},"citationItems":[{"id":3144,"uris":["http://zotero.org/users/1004823/items/DS8UBIIR"],"uri":["http://zotero.org/users/1004823/items/DS8UBIIR"],"itemData":{"id":3144,"type":"legislation","multi":{"main":{},"_keys":{}},"system_id":"0_DS8UBIIR","title":"Human Rights Act 1998 c.42","jurisdiction":"gb;england.and.wales","issued":{"date-parts":[["1998",9,11]]}}}],"schema":"https://github.com/citation-style-language/schema/raw/master/csl-citation.json"} </w:instrText>
      </w:r>
      <w:r w:rsidRPr="00464982">
        <w:fldChar w:fldCharType="separate"/>
      </w:r>
      <w:r w:rsidRPr="00464982">
        <w:t>Human Rights Act 1998 c.42, (1998).</w:t>
      </w:r>
      <w:r w:rsidRPr="00464982">
        <w:fldChar w:fldCharType="end"/>
      </w:r>
    </w:p>
  </w:footnote>
  <w:footnote w:id="26">
    <w:p w14:paraId="1EAD19F2" w14:textId="190620DF" w:rsidR="008A16AB" w:rsidRPr="00464982" w:rsidRDefault="008A16AB" w:rsidP="009E5E24">
      <w:pPr>
        <w:pStyle w:val="FootnoteText"/>
      </w:pPr>
      <w:r w:rsidRPr="00464982">
        <w:rPr>
          <w:rStyle w:val="FootnoteReference"/>
          <w:rFonts w:ascii="Garamond" w:hAnsi="Garamond"/>
        </w:rPr>
        <w:footnoteRef/>
      </w:r>
      <w:r w:rsidRPr="00464982">
        <w:t xml:space="preserve"> </w:t>
      </w:r>
      <w:r w:rsidR="00D7765D" w:rsidRPr="00464982">
        <w:t xml:space="preserve">ECHR, </w:t>
      </w:r>
      <w:r w:rsidRPr="00464982">
        <w:rPr>
          <w:i/>
          <w:iCs/>
        </w:rPr>
        <w:t>supra</w:t>
      </w:r>
      <w:r w:rsidRPr="00464982">
        <w:t xml:space="preserve"> note </w:t>
      </w:r>
      <w:r w:rsidR="00197FA7">
        <w:t>9</w:t>
      </w:r>
      <w:r w:rsidR="00D7765D" w:rsidRPr="00464982">
        <w:t>.</w:t>
      </w:r>
    </w:p>
  </w:footnote>
  <w:footnote w:id="27">
    <w:p w14:paraId="2448495D" w14:textId="7964A8E4" w:rsidR="00F60E23" w:rsidRPr="00464982" w:rsidRDefault="00F60E23" w:rsidP="009E5E24">
      <w:pPr>
        <w:pStyle w:val="FootnoteText"/>
      </w:pPr>
      <w:r w:rsidRPr="00464982">
        <w:rPr>
          <w:rStyle w:val="FootnoteReference"/>
          <w:rFonts w:ascii="Garamond" w:hAnsi="Garamond"/>
        </w:rPr>
        <w:footnoteRef/>
      </w:r>
      <w:r w:rsidRPr="00464982">
        <w:t xml:space="preserve"> </w:t>
      </w:r>
      <w:r w:rsidRPr="00464982">
        <w:fldChar w:fldCharType="begin"/>
      </w:r>
      <w:r w:rsidR="00D7765D" w:rsidRPr="00464982">
        <w:instrText xml:space="preserve"> ADDIN ZOTERO_ITEM CSL_CITATION {"citationID":"1U0f20t0","properties":{"formattedCitation":"{\\rtf \\scaps Adrian Keane\\scaps0{}, \\scaps The Modern Law of Evidence\\scaps0{} 56 (2008).}","plainCitation":"Adrian Keane, The Modern Law of Evidence 56 (2008)."},"citationItems":[{"id":3095,"uris":["http://zotero.org/users/1004823/items/C33ZHGRE"],"uri":["http://zotero.org/users/1004823/items/C33ZHGRE"],"itemData":{"id":3095,"type":"book","multi":{"main":{},"_keys":{}},"system_id":"0_C33ZHGRE","title":"The Modern Law of Evidence","publisher":"Oxford University Press","number-of-pages":"760","abstract":"The Modern Law of Evidence is well-established and widely relied upon as a lucid, engaging and authoritative exposition of the contemporary law of evidence. This book has been cited with approval by the highest appellate courts and continues to be a useful reference for practitioners and judges. . This seventh edition continues to provide up to date coverage of the burgeoning case law that has arisen since enactment of the Criminal Justice Act 2003. In particular, ongoing developments in the areas of hearsay and the bad character of the accused are thoroughly explained and analysed. This book has been cited with approval by the highest appellate courts and is an ideal text for the undergraduate student, students studying on the BVC and LPC. It also continues to be a useful reference for practitioners and judges.","ISBN":"9780199231669","language":"en","author":[{"family":"Keane","given":"Adrian","isInstitution":"","multi":{"_key":{},"main":false}}],"issued":{"date-parts":[["2008",1,17]]}},"locator":"56"}],"schema":"https://github.com/citation-style-language/schema/raw/master/csl-citation.json"} </w:instrText>
      </w:r>
      <w:r w:rsidRPr="00464982">
        <w:fldChar w:fldCharType="separate"/>
      </w:r>
      <w:r w:rsidR="00BE7C06" w:rsidRPr="00464982">
        <w:t>Adrian Keane, The Modern Law of Evidence 56 (2008).</w:t>
      </w:r>
      <w:r w:rsidRPr="00464982">
        <w:fldChar w:fldCharType="end"/>
      </w:r>
    </w:p>
  </w:footnote>
  <w:footnote w:id="28">
    <w:p w14:paraId="510FEFD6" w14:textId="1B27D857" w:rsidR="008A16AB" w:rsidRPr="00464982" w:rsidRDefault="008A16AB"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{"citationID":"aHwpyyxh","properties":{"formattedCitation":"{\\rtf \\scaps John Anthony Helliwell &amp; ors. v Terry D. Piggott-Sims\\scaps0{}, \\i supra\\i0{} note___.}","plainCitation":"John Anthony Helliwell &amp; ors. v Terry D. Piggott-Sims, supra note___."},"citationItems":[{"id":3127,"uris":["http://zotero.org/users/1004823/items/W4936NVP"],"uri":["http://zotero.org/users/1004823/items/W4936NVP"],"itemData":{"id":3127,"type":"legal_case","multi":{"main":{},"_keys":{}},"system_id":"0_W4936NVP","title":"John Anthony Helliwell &amp; ors. v Terry D. Piggott-Sims","container-title":"F.S.R.","collection-number":"1980","publisher-place":"Lodon","authority":"Court of Appeal","page":"356","event-place":"Lodon","archive-place":"Lodon","number":"6500","jurisdiction":"gb;england.and.wales","issued":{"date-parts":[["1980",3,18]]}}}],"schema":"https://github.com/citation-style-language/schema/raw/master/csl-citation.json"} </w:instrText>
      </w:r>
      <w:r w:rsidRPr="00464982">
        <w:fldChar w:fldCharType="separate"/>
      </w:r>
      <w:r w:rsidRPr="00464982">
        <w:t xml:space="preserve">John Anthony Helliwell &amp; ors. v Terry D. Piggott-Sims, </w:t>
      </w:r>
      <w:r w:rsidRPr="00464982">
        <w:rPr>
          <w:i/>
          <w:iCs/>
        </w:rPr>
        <w:t>supra</w:t>
      </w:r>
      <w:r w:rsidRPr="00464982">
        <w:t xml:space="preserve"> note</w:t>
      </w:r>
      <w:r w:rsidR="00197FA7">
        <w:t xml:space="preserve"> 3</w:t>
      </w:r>
      <w:r w:rsidRPr="00464982">
        <w:fldChar w:fldCharType="end"/>
      </w:r>
      <w:r w:rsidR="005A4DD9" w:rsidRPr="00464982">
        <w:t>.</w:t>
      </w:r>
    </w:p>
  </w:footnote>
  <w:footnote w:id="29">
    <w:p w14:paraId="566AA0A4" w14:textId="7E0505C6" w:rsidR="00C00DC8" w:rsidRPr="00464982" w:rsidRDefault="00C00DC8"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{"citationID":"S7cIQ6nO","properties":{"formattedCitation":"{\\rtf \\i Id.\\i0{} at 4.}","plainCitation":"Id. at 4."},"citationItems":[{"id":3127,"uris":["http://zotero.org/users/1004823/items/W4936NVP"],"uri":["http://zotero.org/users/1004823/items/W4936NVP"],"itemData":{"id":3127,"type":"legal_case","multi":{"main":{},"_keys":{}},"system_id":"0_W4936NVP","title":"John Anthony Helliwell &amp; ors. v Terry D. Piggott-Sims","container-title":"F.S.R.","collection-number":"1980","publisher-place":"Lodon","authority":"Court of Appeal","page":"356","event-place":"Lodon","archive-place":"Lodon","number":"6500","jurisdiction":"gb;england.and.wales","issued":{"date-parts":[["1980",3,18]]}},"locator":"4","label":"paragraph"}],"schema":"https://github.com/citation-style-language/schema/raw/master/csl-citation.json"} </w:instrText>
      </w:r>
      <w:r w:rsidRPr="00464982">
        <w:fldChar w:fldCharType="separate"/>
      </w:r>
      <w:r w:rsidRPr="00464982">
        <w:rPr>
          <w:i/>
          <w:iCs/>
        </w:rPr>
        <w:t>Id.</w:t>
      </w:r>
      <w:r w:rsidR="00423100" w:rsidRPr="00464982">
        <w:rPr>
          <w:i/>
          <w:iCs/>
        </w:rPr>
        <w:t>,</w:t>
      </w:r>
      <w:r w:rsidRPr="00464982">
        <w:t xml:space="preserve"> at 4.</w:t>
      </w:r>
      <w:r w:rsidRPr="00464982">
        <w:fldChar w:fldCharType="end"/>
      </w:r>
    </w:p>
  </w:footnote>
  <w:footnote w:id="30">
    <w:p w14:paraId="167A0407" w14:textId="40FA4836" w:rsidR="00EA6183" w:rsidRPr="00464982" w:rsidRDefault="00EA6183" w:rsidP="009E5E24">
      <w:pPr>
        <w:pStyle w:val="FootnoteText"/>
      </w:pPr>
      <w:r w:rsidRPr="00464982">
        <w:rPr>
          <w:rStyle w:val="FootnoteReference"/>
          <w:rFonts w:ascii="Garamond" w:hAnsi="Garamond"/>
        </w:rPr>
        <w:footnoteRef/>
      </w:r>
      <w:r w:rsidRPr="00464982">
        <w:t xml:space="preserve"> It is noteworthy that a first attempt to regulate IOE regimes was in rule 81 Supreme Court of Judicature Act 1873</w:t>
      </w:r>
      <w:r w:rsidR="00C00DC8" w:rsidRPr="00464982">
        <w:t xml:space="preserve"> Ch. 53</w:t>
      </w:r>
      <w:r w:rsidR="00F33C8C" w:rsidRPr="00464982">
        <w:t>.</w:t>
      </w:r>
    </w:p>
  </w:footnote>
  <w:footnote w:id="31">
    <w:p w14:paraId="2C4034D2" w14:textId="0FA0A0E6" w:rsidR="00542B2D" w:rsidRPr="00464982" w:rsidRDefault="00542B2D"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{"citationID":"oFigdObp","properties":{"formattedCitation":"{\\rtf \\scaps The Civil Procedure Rules 1998 n. 3132 (L.17)\\scaps0{}, Rule 31.1 ss k,l (1998).}","plainCitation":"The Civil Procedure Rules 1998 n. 3132 (L.17), Rule 31.1 ss k,l (1998)."},"citationItems":[{"id":3147,"uris":["http://zotero.org/users/1004823/items/D54CC6UX"],"uri":["http://zotero.org/users/1004823/items/D54CC6UX"],"itemData":{"id":3147,"type":"legislation","multi":{"main":{},"_keys":{}},"system_id":"0_D54CC6UX","title":"The Civil Procedure Rules 1998 n. 3132 (L.17)","jurisdiction":"gb;england.and.wales","issued":{"date-parts":[["1998",4,26]]}},"locator":"Rule 31.1 ss k,l","label":"section"}],"schema":"https://github.com/citation-style-language/schema/raw/master/csl-citation.json"} </w:instrText>
      </w:r>
      <w:r w:rsidRPr="00464982">
        <w:fldChar w:fldCharType="separate"/>
      </w:r>
      <w:r w:rsidRPr="00464982">
        <w:t>The Civil Procedure Rules 1998 n. 3132 (L.17)</w:t>
      </w:r>
      <w:r w:rsidR="00F33C8C" w:rsidRPr="00464982">
        <w:t xml:space="preserve">, Rule 31.1 ss. </w:t>
      </w:r>
      <w:r w:rsidRPr="00464982">
        <w:t>k,l (1998).</w:t>
      </w:r>
      <w:r w:rsidRPr="00464982">
        <w:fldChar w:fldCharType="end"/>
      </w:r>
    </w:p>
  </w:footnote>
  <w:footnote w:id="32">
    <w:p w14:paraId="78626D57" w14:textId="34ED9469" w:rsidR="00F33C8C" w:rsidRPr="00464982" w:rsidRDefault="00F33C8C" w:rsidP="009E5E24">
      <w:pPr>
        <w:pStyle w:val="FootnoteText"/>
      </w:pPr>
      <w:r w:rsidRPr="00464982">
        <w:rPr>
          <w:rStyle w:val="FootnoteReference"/>
          <w:rFonts w:ascii="Garamond" w:hAnsi="Garamond"/>
        </w:rPr>
        <w:footnoteRef/>
      </w:r>
      <w:r w:rsidRPr="00464982">
        <w:t xml:space="preserve"> </w:t>
      </w:r>
      <w:r w:rsidRPr="00464982">
        <w:rPr>
          <w:i/>
        </w:rPr>
        <w:t>Id.</w:t>
      </w:r>
      <w:r w:rsidR="00127AEE" w:rsidRPr="00464982">
        <w:t xml:space="preserve">, </w:t>
      </w:r>
      <w:r w:rsidRPr="00464982">
        <w:t>at s d</w:t>
      </w:r>
    </w:p>
  </w:footnote>
  <w:footnote w:id="33">
    <w:p w14:paraId="4D20227A" w14:textId="2CD31A4C" w:rsidR="00F33C8C" w:rsidRPr="00464982" w:rsidRDefault="00F33C8C" w:rsidP="009E5E24">
      <w:pPr>
        <w:pStyle w:val="FootnoteText"/>
      </w:pPr>
      <w:r w:rsidRPr="00464982">
        <w:rPr>
          <w:rStyle w:val="FootnoteReference"/>
          <w:rFonts w:ascii="Garamond" w:hAnsi="Garamond"/>
        </w:rPr>
        <w:footnoteRef/>
      </w:r>
      <w:r w:rsidRPr="00464982">
        <w:t xml:space="preserve"> </w:t>
      </w:r>
      <w:r w:rsidR="005A4DD9" w:rsidRPr="00464982">
        <w:t xml:space="preserve">HRA 1998  </w:t>
      </w:r>
      <w:r w:rsidR="005A4DD9" w:rsidRPr="00464982">
        <w:rPr>
          <w:i/>
        </w:rPr>
        <w:t xml:space="preserve">supra </w:t>
      </w:r>
      <w:r w:rsidR="005A4DD9" w:rsidRPr="00464982">
        <w:t xml:space="preserve">note </w:t>
      </w:r>
      <w:r w:rsidR="00197FA7">
        <w:t>22</w:t>
      </w:r>
      <w:r w:rsidR="00197FA7" w:rsidRPr="00464982">
        <w:t xml:space="preserve"> </w:t>
      </w:r>
      <w:r w:rsidR="005A4DD9" w:rsidRPr="00464982">
        <w:t xml:space="preserve">at 3 (1) </w:t>
      </w:r>
    </w:p>
  </w:footnote>
  <w:footnote w:id="34">
    <w:p w14:paraId="26701A3F" w14:textId="1C8BCF79" w:rsidR="00672D94" w:rsidRPr="00464982" w:rsidRDefault="00672D94"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{"citationID":"frjB1ds4","properties":{"formattedCitation":"Jean F Jones v University of Warwick [2003] EWCA Civ 151, 1 WLR 954 (2003).","plainCitation":"Jean F Jones v University of Warwick [2003] EWCA Civ 151, 1 WLR 954 (2003)."},"citationItems":[{"id":3150,"uris":["http://zotero.org/users/1004823/items/HXPN9U2M"],"uri":["http://zotero.org/users/1004823/items/HXPN9U2M"],"itemData":{"id":3150,"type":"legal_case","multi":{"main":{},"_keys":{}},"system_id":"0_HXPN9U2M","title":"Jean F Jones v University of Warwick [2003] EWCA Civ 151","container-title":"WLR","authority":"Court of Appeal (Civil Division)","page":"954","volume":"1","number":"B3/2002/1138","jurisdiction":"gb;england.and.wales","issued":{"date-parts":[["2003",4,2]]}}}],"schema":"https://github.com/citation-style-language/schema/raw/master/csl-citation.json"} </w:instrText>
      </w:r>
      <w:r w:rsidRPr="00464982">
        <w:fldChar w:fldCharType="separate"/>
      </w:r>
      <w:r w:rsidRPr="00464982">
        <w:t>Jean F Jones v University of Warwick [2003] EWCA Civ 151, 1 WLR 954 (2003).</w:t>
      </w:r>
      <w:r w:rsidRPr="00464982">
        <w:fldChar w:fldCharType="end"/>
      </w:r>
    </w:p>
  </w:footnote>
  <w:footnote w:id="35">
    <w:p w14:paraId="69AD0C37" w14:textId="2E956918"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i/>
        </w:rPr>
        <w:t>I</w:t>
      </w:r>
      <w:r w:rsidR="00F33C8C" w:rsidRPr="00464982">
        <w:rPr>
          <w:i/>
        </w:rPr>
        <w:t>d.</w:t>
      </w:r>
      <w:r w:rsidR="00423100" w:rsidRPr="00464982">
        <w:t>,</w:t>
      </w:r>
      <w:r w:rsidR="00127AEE" w:rsidRPr="00464982">
        <w:t xml:space="preserve"> </w:t>
      </w:r>
      <w:r w:rsidR="00F33C8C" w:rsidRPr="00464982">
        <w:t>at</w:t>
      </w:r>
      <w:r w:rsidRPr="00464982">
        <w:t xml:space="preserve"> 956.</w:t>
      </w:r>
    </w:p>
  </w:footnote>
  <w:footnote w:id="36">
    <w:p w14:paraId="4D49AD3B" w14:textId="4CAF5963"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i/>
        </w:rPr>
        <w:t>I</w:t>
      </w:r>
      <w:r w:rsidR="00F33C8C" w:rsidRPr="00464982">
        <w:rPr>
          <w:i/>
        </w:rPr>
        <w:t>d</w:t>
      </w:r>
      <w:r w:rsidR="00F33C8C" w:rsidRPr="00464982">
        <w:t>.</w:t>
      </w:r>
      <w:r w:rsidR="00423100" w:rsidRPr="00464982">
        <w:t>,</w:t>
      </w:r>
      <w:r w:rsidR="00F33C8C" w:rsidRPr="00464982">
        <w:t xml:space="preserve"> at</w:t>
      </w:r>
      <w:r w:rsidRPr="00464982">
        <w:t xml:space="preserve"> 961.</w:t>
      </w:r>
    </w:p>
  </w:footnote>
  <w:footnote w:id="37">
    <w:p w14:paraId="2CD748CA" w14:textId="51C4A05D" w:rsidR="00DA213A" w:rsidRPr="00464982" w:rsidRDefault="00DA213A" w:rsidP="009E5E24">
      <w:pPr>
        <w:pStyle w:val="FootnoteText"/>
      </w:pPr>
      <w:r w:rsidRPr="00464982">
        <w:rPr>
          <w:rStyle w:val="FootnoteReference"/>
          <w:rFonts w:ascii="Garamond" w:hAnsi="Garamond"/>
        </w:rPr>
        <w:footnoteRef/>
      </w:r>
      <w:r w:rsidRPr="00464982">
        <w:t xml:space="preserve"> </w:t>
      </w:r>
      <w:r w:rsidRPr="00464982">
        <w:rPr>
          <w:i/>
        </w:rPr>
        <w:t xml:space="preserve">See </w:t>
      </w:r>
      <w:r w:rsidRPr="00464982">
        <w:fldChar w:fldCharType="begin"/>
      </w:r>
      <w:r w:rsidRPr="00464982">
        <w:instrText xml:space="preserve"> ADDIN ZOTERO_ITEM CSL_CITATION {"citationID":"wIo6irfr","properties":{"formattedCitation":"{\\rtf \\scaps Lorenzo Zucca\\scaps0{}, \\scaps Constitutional dilemmas\\uc0\\u8239{}: conflicts of fundamental legal rights in Europe and the USA\\scaps0{} 1 (2007).}","plainCitation":"Lorenzo Zucca, Constitutional dilemmas</w:instrText>
      </w:r>
      <w:r w:rsidRPr="00464982">
        <w:rPr>
          <w:rFonts w:ascii="Times New Roman" w:hAnsi="Times New Roman"/>
        </w:rPr>
        <w:instrText> </w:instrText>
      </w:r>
      <w:r w:rsidRPr="00464982">
        <w:instrText xml:space="preserve">: conflicts of fundamental legal rights in Europe and the USA 1 (2007)."},"citationItems":[{"id":137,"uris":["http://zotero.org/users/1004823/items/94P66ZS3"],"uri":["http://zotero.org/users/1004823/items/94P66ZS3"],"itemData":{"id":137,"type":"book","multi":{"main":{},"_keys":{}},"system_id":"0_94P66ZS3","title":"Constitutional dilemmas : conflicts of fundamental legal rights in Europe and the USA","publisher":"Oxford University Press","publisher-place":"Oxford","number-of-pages":"xvi, 188 p.","event-place":"Oxford","archive-place":"Oxford","author":[{"family":"Zucca","given":"Lorenzo","isInstitution":"","multi":{"_key":{},"main":false}}],"issued":{"date-parts":[["2007"]]}},"locator":"1","label":"chapter"}],"schema":"https://github.com/citation-style-language/schema/raw/master/csl-citation.json"} </w:instrText>
      </w:r>
      <w:r w:rsidRPr="00464982">
        <w:fldChar w:fldCharType="separate"/>
      </w:r>
      <w:r w:rsidRPr="00464982">
        <w:t>Lorenzo Zucca, Constitutional dilemmas</w:t>
      </w:r>
      <w:r w:rsidRPr="00464982">
        <w:rPr>
          <w:rFonts w:ascii="Times New Roman" w:hAnsi="Times New Roman"/>
        </w:rPr>
        <w:t> </w:t>
      </w:r>
      <w:r w:rsidRPr="00464982">
        <w:t>: conflicts of fundamental legal rights in Europe and the USA 1 (2007).</w:t>
      </w:r>
      <w:r w:rsidRPr="00464982">
        <w:fldChar w:fldCharType="end"/>
      </w:r>
    </w:p>
  </w:footnote>
  <w:footnote w:id="38">
    <w:p w14:paraId="1D51F9DA" w14:textId="39A4B1FF"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rStyle w:val="Carpredefinitoparagrafo"/>
          <w:rFonts w:ascii="Garamond" w:eastAsia="Times New Roman" w:hAnsi="Garamond" w:cs="Times New Roman"/>
          <w:color w:val="000000"/>
          <w:lang w:val="en-GB"/>
        </w:rPr>
        <w:t>‘</w:t>
      </w:r>
      <w:r w:rsidRPr="00464982">
        <w:rPr>
          <w:rStyle w:val="Carpredefinitoparagrafo"/>
          <w:rFonts w:ascii="Garamond" w:hAnsi="Garamond" w:cs="Times New Roman"/>
        </w:rPr>
        <w:t xml:space="preserve">So the fact that in this case the defendant's insurers, as was accepted by Mr. Owen, have been responsible for the trespass involved in entering the claimant's house and infringing her privacy contrary to article 8(1) is a relevant circumstance for the court to weigh in the balance when coming to a decision as to how it should properly exercise its discretion in making orders as to the management of the proceedings.’ </w:t>
      </w:r>
      <w:r w:rsidR="005A4DD9" w:rsidRPr="00464982">
        <w:t xml:space="preserve">Jones v University of Warwick, </w:t>
      </w:r>
      <w:r w:rsidR="005A4DD9" w:rsidRPr="00464982">
        <w:rPr>
          <w:i/>
          <w:iCs/>
        </w:rPr>
        <w:t>supra</w:t>
      </w:r>
      <w:r w:rsidR="00127AEE" w:rsidRPr="00464982">
        <w:t xml:space="preserve"> note </w:t>
      </w:r>
      <w:r w:rsidR="00197FA7" w:rsidRPr="00464982">
        <w:t>2</w:t>
      </w:r>
      <w:r w:rsidR="00197FA7">
        <w:t>9</w:t>
      </w:r>
      <w:r w:rsidR="00197FA7" w:rsidRPr="00464982">
        <w:t xml:space="preserve"> </w:t>
      </w:r>
      <w:r w:rsidR="005A4DD9" w:rsidRPr="00464982">
        <w:t>at 962</w:t>
      </w:r>
      <w:r w:rsidR="005A4DD9" w:rsidRPr="00464982">
        <w:rPr>
          <w:rStyle w:val="Carpredefinitoparagrafo"/>
          <w:rFonts w:ascii="Garamond" w:hAnsi="Garamond" w:cs="Times New Roman"/>
        </w:rPr>
        <w:t>- 961.</w:t>
      </w:r>
    </w:p>
  </w:footnote>
  <w:footnote w:id="39">
    <w:p w14:paraId="2E77C55E" w14:textId="21BB82D4" w:rsidR="00672D94" w:rsidRPr="00464982" w:rsidRDefault="00672D94" w:rsidP="009E5E24">
      <w:pPr>
        <w:pStyle w:val="FootnoteText"/>
      </w:pPr>
      <w:r w:rsidRPr="00464982">
        <w:rPr>
          <w:rStyle w:val="FootnoteReference"/>
          <w:rFonts w:ascii="Garamond" w:hAnsi="Garamond"/>
        </w:rPr>
        <w:footnoteRef/>
      </w:r>
      <w:r w:rsidRPr="00464982">
        <w:t xml:space="preserve"> </w:t>
      </w:r>
      <w:r w:rsidR="005A4DD9" w:rsidRPr="00464982">
        <w:rPr>
          <w:i/>
        </w:rPr>
        <w:t>Id.</w:t>
      </w:r>
      <w:r w:rsidR="00423100" w:rsidRPr="00464982">
        <w:rPr>
          <w:i/>
        </w:rPr>
        <w:t>,</w:t>
      </w:r>
      <w:r w:rsidR="005A4DD9" w:rsidRPr="00464982">
        <w:t xml:space="preserve"> at 962</w:t>
      </w:r>
    </w:p>
  </w:footnote>
  <w:footnote w:id="40">
    <w:p w14:paraId="4CBE834B" w14:textId="572C2F6C" w:rsidR="00EA6183" w:rsidRPr="00464982" w:rsidRDefault="00EA6183" w:rsidP="009E5E24">
      <w:pPr>
        <w:pStyle w:val="FootnoteText"/>
      </w:pPr>
      <w:r w:rsidRPr="00464982">
        <w:rPr>
          <w:rStyle w:val="FootnoteReference"/>
          <w:rFonts w:ascii="Garamond" w:hAnsi="Garamond"/>
        </w:rPr>
        <w:footnoteRef/>
      </w:r>
      <w:r w:rsidRPr="00464982">
        <w:t xml:space="preserve"> Marcel v Commissioner of Police for the Metropolis </w:t>
      </w:r>
      <w:bookmarkStart w:id="2" w:name="PAGE_89"/>
      <w:r w:rsidRPr="00464982">
        <w:rPr>
          <w:rStyle w:val="italic"/>
          <w:rFonts w:ascii="Garamond" w:hAnsi="Garamond"/>
        </w:rPr>
        <w:t>[1992]</w:t>
      </w:r>
      <w:bookmarkEnd w:id="2"/>
      <w:r w:rsidRPr="00464982">
        <w:rPr>
          <w:rStyle w:val="italic"/>
          <w:rFonts w:ascii="Garamond" w:hAnsi="Garamond"/>
        </w:rPr>
        <w:t xml:space="preserve"> 4 Admin. LR 309</w:t>
      </w:r>
      <w:r w:rsidRPr="00464982">
        <w:t>.</w:t>
      </w:r>
    </w:p>
  </w:footnote>
  <w:footnote w:id="41">
    <w:p w14:paraId="50616CC6" w14:textId="65BA720C"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i/>
        </w:rPr>
        <w:t>Andrew</w:t>
      </w:r>
      <w:r w:rsidRPr="00464982">
        <w:t xml:space="preserve"> </w:t>
      </w:r>
      <w:r w:rsidRPr="00464982">
        <w:rPr>
          <w:rStyle w:val="Carpredefinitoparagrafo"/>
          <w:rFonts w:ascii="Garamond" w:eastAsia="Times New Roman" w:hAnsi="Garamond" w:cs="Times New Roman"/>
          <w:i/>
          <w:iCs/>
          <w:color w:val="000000"/>
        </w:rPr>
        <w:t>Lifely</w:t>
      </w:r>
      <w:r w:rsidRPr="00464982">
        <w:rPr>
          <w:rStyle w:val="Carpredefinitoparagrafo"/>
          <w:rFonts w:ascii="Garamond" w:eastAsia="Times New Roman" w:hAnsi="Garamond" w:cs="Times New Roman"/>
          <w:iCs/>
          <w:color w:val="000000"/>
        </w:rPr>
        <w:t xml:space="preserve"> v </w:t>
      </w:r>
      <w:r w:rsidRPr="00464982">
        <w:rPr>
          <w:rStyle w:val="Carpredefinitoparagrafo"/>
          <w:rFonts w:ascii="Garamond" w:eastAsia="Times New Roman" w:hAnsi="Garamond" w:cs="Times New Roman"/>
          <w:i/>
          <w:iCs/>
          <w:color w:val="000000"/>
        </w:rPr>
        <w:t>Nicholas Lifely</w:t>
      </w:r>
      <w:r w:rsidRPr="00464982">
        <w:rPr>
          <w:rStyle w:val="Carpredefinitoparagrafo"/>
          <w:rFonts w:ascii="Garamond" w:eastAsia="Times New Roman" w:hAnsi="Garamond" w:cs="Times New Roman"/>
          <w:color w:val="000000"/>
        </w:rPr>
        <w:t xml:space="preserve"> [2008] EWCA Civ 904.</w:t>
      </w:r>
    </w:p>
  </w:footnote>
  <w:footnote w:id="42">
    <w:p w14:paraId="3FAA05E5" w14:textId="3196C945" w:rsidR="00EA6183" w:rsidRPr="00464982" w:rsidRDefault="00EA6183" w:rsidP="009E5E24">
      <w:pPr>
        <w:pStyle w:val="FootnoteText"/>
      </w:pPr>
      <w:r w:rsidRPr="00464982">
        <w:rPr>
          <w:rStyle w:val="FootnoteReference"/>
          <w:rFonts w:ascii="Garamond" w:hAnsi="Garamond"/>
        </w:rPr>
        <w:footnoteRef/>
      </w:r>
      <w:r w:rsidRPr="00464982">
        <w:t xml:space="preserve"> </w:t>
      </w:r>
      <w:r w:rsidR="005A4DD9" w:rsidRPr="00464982">
        <w:rPr>
          <w:rStyle w:val="Carpredefinitoparagrafo"/>
          <w:rFonts w:ascii="Garamond" w:eastAsia="Times New Roman" w:hAnsi="Garamond" w:cs="Times New Roman"/>
          <w:i/>
          <w:iCs/>
          <w:color w:val="000000"/>
        </w:rPr>
        <w:t>Id</w:t>
      </w:r>
      <w:r w:rsidR="00672D94" w:rsidRPr="00464982">
        <w:rPr>
          <w:rStyle w:val="Carpredefinitoparagrafo"/>
          <w:rFonts w:ascii="Garamond" w:eastAsia="Times New Roman" w:hAnsi="Garamond" w:cs="Times New Roman"/>
          <w:i/>
          <w:iCs/>
          <w:color w:val="000000"/>
        </w:rPr>
        <w:t>.</w:t>
      </w:r>
      <w:r w:rsidR="00423100" w:rsidRPr="00464982">
        <w:rPr>
          <w:rStyle w:val="Carpredefinitoparagrafo"/>
          <w:rFonts w:ascii="Garamond" w:eastAsia="Times New Roman" w:hAnsi="Garamond" w:cs="Times New Roman"/>
          <w:i/>
          <w:iCs/>
          <w:color w:val="000000"/>
        </w:rPr>
        <w:t>,</w:t>
      </w:r>
      <w:r w:rsidR="00672D94" w:rsidRPr="00464982">
        <w:rPr>
          <w:rStyle w:val="Carpredefinitoparagrafo"/>
          <w:rFonts w:ascii="Garamond" w:eastAsia="Times New Roman" w:hAnsi="Garamond" w:cs="Times New Roman"/>
          <w:iCs/>
          <w:color w:val="000000"/>
        </w:rPr>
        <w:t xml:space="preserve"> at </w:t>
      </w:r>
      <w:r w:rsidR="005A4DD9" w:rsidRPr="00464982">
        <w:rPr>
          <w:rStyle w:val="Carpredefinitoparagrafo"/>
          <w:rFonts w:ascii="Garamond" w:eastAsia="Times New Roman" w:hAnsi="Garamond" w:cs="Times New Roman"/>
          <w:color w:val="000000"/>
        </w:rPr>
        <w:t xml:space="preserve">para </w:t>
      </w:r>
      <w:r w:rsidRPr="00464982">
        <w:rPr>
          <w:rStyle w:val="Carpredefinitoparagrafo"/>
          <w:rFonts w:ascii="Garamond" w:eastAsia="Times New Roman" w:hAnsi="Garamond" w:cs="Times New Roman"/>
          <w:color w:val="000000"/>
        </w:rPr>
        <w:t>32.</w:t>
      </w:r>
    </w:p>
  </w:footnote>
  <w:footnote w:id="43">
    <w:p w14:paraId="09C728E1" w14:textId="00B43622"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rStyle w:val="Carpredefinitoparagrafo"/>
          <w:rFonts w:ascii="Garamond" w:eastAsia="Times New Roman" w:hAnsi="Garamond" w:cs="Times New Roman"/>
          <w:i/>
          <w:iCs/>
          <w:color w:val="000000"/>
        </w:rPr>
        <w:t>I</w:t>
      </w:r>
      <w:r w:rsidR="005A4DD9" w:rsidRPr="00464982">
        <w:rPr>
          <w:rStyle w:val="Carpredefinitoparagrafo"/>
          <w:rFonts w:ascii="Garamond" w:eastAsia="Times New Roman" w:hAnsi="Garamond" w:cs="Times New Roman"/>
          <w:i/>
          <w:iCs/>
          <w:color w:val="000000"/>
        </w:rPr>
        <w:t>d</w:t>
      </w:r>
      <w:r w:rsidR="00672D94" w:rsidRPr="00464982">
        <w:rPr>
          <w:rStyle w:val="Carpredefinitoparagrafo"/>
          <w:rFonts w:ascii="Garamond" w:eastAsia="Times New Roman" w:hAnsi="Garamond" w:cs="Times New Roman"/>
          <w:i/>
          <w:iCs/>
          <w:color w:val="000000"/>
        </w:rPr>
        <w:t>.</w:t>
      </w:r>
      <w:r w:rsidR="00423100" w:rsidRPr="00464982">
        <w:rPr>
          <w:rStyle w:val="Carpredefinitoparagrafo"/>
          <w:rFonts w:ascii="Garamond" w:eastAsia="Times New Roman" w:hAnsi="Garamond" w:cs="Times New Roman"/>
          <w:i/>
          <w:iCs/>
          <w:color w:val="000000"/>
        </w:rPr>
        <w:t>,</w:t>
      </w:r>
      <w:r w:rsidR="00672D94" w:rsidRPr="00464982">
        <w:rPr>
          <w:rStyle w:val="Carpredefinitoparagrafo"/>
          <w:rFonts w:ascii="Garamond" w:eastAsia="Times New Roman" w:hAnsi="Garamond" w:cs="Times New Roman"/>
          <w:iCs/>
          <w:color w:val="000000"/>
        </w:rPr>
        <w:t xml:space="preserve"> at</w:t>
      </w:r>
      <w:r w:rsidR="005A4DD9" w:rsidRPr="00464982">
        <w:rPr>
          <w:rStyle w:val="Carpredefinitoparagrafo"/>
          <w:rFonts w:ascii="Garamond" w:eastAsia="Times New Roman" w:hAnsi="Garamond" w:cs="Times New Roman"/>
          <w:iCs/>
          <w:color w:val="000000"/>
        </w:rPr>
        <w:t xml:space="preserve"> para </w:t>
      </w:r>
      <w:r w:rsidRPr="00464982">
        <w:rPr>
          <w:rStyle w:val="Carpredefinitoparagrafo"/>
          <w:rFonts w:ascii="Garamond" w:eastAsia="Times New Roman" w:hAnsi="Garamond" w:cs="Times New Roman"/>
          <w:color w:val="000000"/>
        </w:rPr>
        <w:t xml:space="preserve"> 37.</w:t>
      </w:r>
    </w:p>
  </w:footnote>
  <w:footnote w:id="44">
    <w:p w14:paraId="671F382F" w14:textId="210EE4F5" w:rsidR="00EA6183" w:rsidRPr="00464982" w:rsidRDefault="00EA6183" w:rsidP="009E5E24">
      <w:pPr>
        <w:pStyle w:val="FootnoteText"/>
      </w:pPr>
      <w:r w:rsidRPr="00464982">
        <w:rPr>
          <w:rStyle w:val="FootnoteReference"/>
          <w:rFonts w:ascii="Garamond" w:hAnsi="Garamond"/>
        </w:rPr>
        <w:footnoteRef/>
      </w:r>
      <w:r w:rsidRPr="00464982">
        <w:t xml:space="preserve"> </w:t>
      </w:r>
      <w:r w:rsidR="00672D94" w:rsidRPr="00464982">
        <w:rPr>
          <w:rStyle w:val="Carpredefinitoparagrafo"/>
          <w:rFonts w:ascii="Garamond" w:eastAsia="Times New Roman" w:hAnsi="Garamond" w:cs="Times New Roman"/>
          <w:i/>
          <w:iCs/>
          <w:color w:val="000000"/>
        </w:rPr>
        <w:t>I</w:t>
      </w:r>
      <w:r w:rsidR="005A4DD9" w:rsidRPr="00464982">
        <w:rPr>
          <w:rStyle w:val="Carpredefinitoparagrafo"/>
          <w:rFonts w:ascii="Garamond" w:eastAsia="Times New Roman" w:hAnsi="Garamond" w:cs="Times New Roman"/>
          <w:i/>
          <w:iCs/>
          <w:color w:val="000000"/>
        </w:rPr>
        <w:t>d</w:t>
      </w:r>
      <w:r w:rsidR="00672D94" w:rsidRPr="00464982">
        <w:rPr>
          <w:rStyle w:val="Carpredefinitoparagrafo"/>
          <w:rFonts w:ascii="Garamond" w:eastAsia="Times New Roman" w:hAnsi="Garamond" w:cs="Times New Roman"/>
          <w:i/>
          <w:iCs/>
          <w:color w:val="000000"/>
        </w:rPr>
        <w:t>.</w:t>
      </w:r>
      <w:r w:rsidRPr="00464982">
        <w:t xml:space="preserve"> </w:t>
      </w:r>
    </w:p>
  </w:footnote>
  <w:footnote w:id="45">
    <w:p w14:paraId="78F24401" w14:textId="4DD5757C"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bCs/>
        </w:rPr>
        <w:t>Codice di Procedura Civile</w:t>
      </w:r>
      <w:r w:rsidRPr="00464982">
        <w:t xml:space="preserve">, Royal Decree n. 1443 28 September 1940. </w:t>
      </w:r>
      <w:r w:rsidR="00FF0A5C" w:rsidRPr="00464982">
        <w:t xml:space="preserve">Please note that the </w:t>
      </w:r>
      <w:r w:rsidRPr="00464982">
        <w:t xml:space="preserve">code has been reformed several times. </w:t>
      </w:r>
    </w:p>
  </w:footnote>
  <w:footnote w:id="46">
    <w:p w14:paraId="2BB028E0" w14:textId="3CB618F7" w:rsidR="00EA6183" w:rsidRPr="00464982" w:rsidRDefault="00EA6183" w:rsidP="009E5E24">
      <w:pPr>
        <w:pStyle w:val="FootnoteText"/>
      </w:pPr>
      <w:r w:rsidRPr="00464982">
        <w:rPr>
          <w:rStyle w:val="FootnoteReference"/>
          <w:rFonts w:ascii="Garamond" w:hAnsi="Garamond"/>
        </w:rPr>
        <w:footnoteRef/>
      </w:r>
      <w:r w:rsidRPr="00464982">
        <w:t xml:space="preserve"> Legislative Decree n.83 22 June 2012, articles 54–56.</w:t>
      </w:r>
    </w:p>
  </w:footnote>
  <w:footnote w:id="47">
    <w:p w14:paraId="581DA58E" w14:textId="2F84654F" w:rsidR="006D62CC" w:rsidRPr="00464982" w:rsidRDefault="006D62CC" w:rsidP="009E5E24">
      <w:pPr>
        <w:pStyle w:val="FootnoteText"/>
      </w:pPr>
      <w:r w:rsidRPr="00464982">
        <w:rPr>
          <w:rStyle w:val="FootnoteReference"/>
          <w:rFonts w:ascii="Garamond" w:hAnsi="Garamond"/>
        </w:rPr>
        <w:footnoteRef/>
      </w:r>
      <w:r w:rsidRPr="00464982">
        <w:t xml:space="preserve"> </w:t>
      </w:r>
      <w:r w:rsidRPr="00464982">
        <w:rPr>
          <w:i/>
        </w:rPr>
        <w:t xml:space="preserve">See </w:t>
      </w:r>
      <w:r w:rsidRPr="00464982">
        <w:fldChar w:fldCharType="begin"/>
      </w:r>
      <w:r w:rsidRPr="00464982">
        <w:instrText xml:space="preserve"> ADDIN ZOTERO_ITEM CSL_CITATION {"citationID":"HLYO1HxC","properties":{"formattedCitation":"{\\rtf \\scaps Luigi Paolo Comoglio\\scaps0{}, \\scaps Il problema delle prove illecite nell\\uc0\\u8217{}esperienza angloamericana e germanica\\scaps0{} (1966).}","plainCitation":"Luigi Paolo Comoglio, Il problema delle prove illecite nell’esperienza angloamericana e germanica (1966)."},"citationItems":[{"id":3058,"uris":["http://zotero.org/users/1004823/items/AH5K7DVU"],"uri":["http://zotero.org/users/1004823/items/AH5K7DVU"],"itemData":{"id":3058,"type":"book","multi":{"main":{},"_keys":{}},"system_id":"0_AH5K7DVU","title":"Il problema delle prove illecite nell'esperienza angloamericana e germanica","publisher":"Universita` di Pavia","publisher-place":"Pavia","source":"Open WorldCat","event-place":"Pavia","archive-place":"Pavia","language":"Italian","author":[{"family":"Comoglio","given":"Luigi Paolo","isInstitution":"","multi":{"_key":{},"main":false}}],"issued":{"date-parts":[["1966"]]}},"label":"page"}],"schema":"https://github.com/citation-style-language/schema/raw/master/csl-citation.json"} </w:instrText>
      </w:r>
      <w:r w:rsidRPr="00464982">
        <w:fldChar w:fldCharType="separate"/>
      </w:r>
      <w:r w:rsidRPr="00464982">
        <w:t xml:space="preserve">Luigi Paolo Comoglio, </w:t>
      </w:r>
      <w:r w:rsidR="00464982">
        <w:t>Il Problema delle Prove Illecite nell’E</w:t>
      </w:r>
      <w:r w:rsidR="00464982" w:rsidRPr="00464982">
        <w:t xml:space="preserve">sperienza Angloamericana </w:t>
      </w:r>
      <w:r w:rsidR="00464982">
        <w:t xml:space="preserve">e </w:t>
      </w:r>
      <w:r w:rsidR="00464982" w:rsidRPr="00464982">
        <w:t xml:space="preserve"> Germanica (1966).</w:t>
      </w:r>
      <w:r w:rsidRPr="00464982">
        <w:fldChar w:fldCharType="end"/>
      </w:r>
    </w:p>
  </w:footnote>
  <w:footnote w:id="48">
    <w:p w14:paraId="7A54672E" w14:textId="77777777" w:rsidR="00EA6183" w:rsidRPr="00464982" w:rsidRDefault="00EA6183" w:rsidP="009E5E24">
      <w:pPr>
        <w:pStyle w:val="FootnoteText"/>
        <w:rPr>
          <w:lang w:val="it-IT"/>
        </w:rPr>
      </w:pPr>
      <w:r w:rsidRPr="00464982">
        <w:rPr>
          <w:rStyle w:val="FootnoteReference"/>
          <w:rFonts w:ascii="Garamond" w:hAnsi="Garamond"/>
        </w:rPr>
        <w:footnoteRef/>
      </w:r>
      <w:r w:rsidRPr="00464982">
        <w:rPr>
          <w:lang w:val="it-IT"/>
        </w:rPr>
        <w:t xml:space="preserve"> Corte di Cassazione, 8 May 1884.</w:t>
      </w:r>
    </w:p>
  </w:footnote>
  <w:footnote w:id="49">
    <w:p w14:paraId="7CB45C29" w14:textId="7E4D5C0C" w:rsidR="00EA6183" w:rsidRPr="00464982" w:rsidRDefault="00EA6183" w:rsidP="00127AEE">
      <w:pPr>
        <w:pStyle w:val="Footnote"/>
        <w:contextualSpacing/>
        <w:rPr>
          <w:rFonts w:ascii="Garamond" w:hAnsi="Garamond"/>
          <w:sz w:val="16"/>
          <w:szCs w:val="16"/>
        </w:rPr>
      </w:pPr>
      <w:r w:rsidRPr="00464982">
        <w:rPr>
          <w:rStyle w:val="FootnoteReference"/>
          <w:rFonts w:ascii="Garamond" w:hAnsi="Garamond"/>
          <w:sz w:val="16"/>
          <w:szCs w:val="16"/>
        </w:rPr>
        <w:footnoteRef/>
      </w:r>
      <w:r w:rsidRPr="00464982">
        <w:rPr>
          <w:rFonts w:ascii="Garamond" w:hAnsi="Garamond"/>
          <w:sz w:val="16"/>
          <w:szCs w:val="16"/>
        </w:rPr>
        <w:t xml:space="preserve"> </w:t>
      </w:r>
      <w:r w:rsidR="00127AEE" w:rsidRPr="00464982">
        <w:rPr>
          <w:rFonts w:ascii="Garamond" w:hAnsi="Garamond"/>
          <w:sz w:val="16"/>
          <w:szCs w:val="16"/>
        </w:rPr>
        <w:t xml:space="preserve">Court of Appeal, </w:t>
      </w:r>
      <w:r w:rsidR="00127AEE" w:rsidRPr="00464982">
        <w:rPr>
          <w:rFonts w:ascii="Garamond" w:hAnsi="Garamond"/>
          <w:i/>
          <w:sz w:val="16"/>
          <w:szCs w:val="16"/>
        </w:rPr>
        <w:t>s</w:t>
      </w:r>
      <w:r w:rsidR="006D62CC" w:rsidRPr="00464982">
        <w:rPr>
          <w:rFonts w:ascii="Garamond" w:hAnsi="Garamond"/>
          <w:i/>
          <w:sz w:val="16"/>
          <w:szCs w:val="16"/>
        </w:rPr>
        <w:t xml:space="preserve">upra </w:t>
      </w:r>
      <w:r w:rsidRPr="00464982">
        <w:rPr>
          <w:rStyle w:val="Carpredefinitoparagrafo"/>
          <w:rFonts w:ascii="Garamond" w:hAnsi="Garamond" w:cs="Times New Roman"/>
          <w:sz w:val="16"/>
          <w:szCs w:val="16"/>
          <w:lang w:val="it-IT"/>
        </w:rPr>
        <w:t>n</w:t>
      </w:r>
      <w:r w:rsidR="006D62CC" w:rsidRPr="00464982">
        <w:rPr>
          <w:rStyle w:val="Carpredefinitoparagrafo"/>
          <w:rFonts w:ascii="Garamond" w:hAnsi="Garamond" w:cs="Times New Roman"/>
          <w:sz w:val="16"/>
          <w:szCs w:val="16"/>
          <w:lang w:val="it-IT"/>
        </w:rPr>
        <w:t>ote</w:t>
      </w:r>
      <w:r w:rsidRPr="00464982">
        <w:rPr>
          <w:rStyle w:val="Carpredefinitoparagrafo"/>
          <w:rFonts w:ascii="Garamond" w:hAnsi="Garamond" w:cs="Times New Roman"/>
          <w:sz w:val="16"/>
          <w:szCs w:val="16"/>
          <w:lang w:val="it-IT"/>
        </w:rPr>
        <w:t xml:space="preserve"> </w:t>
      </w:r>
      <w:r w:rsidR="00197FA7">
        <w:rPr>
          <w:rStyle w:val="Carpredefinitoparagrafo"/>
          <w:rFonts w:ascii="Garamond" w:hAnsi="Garamond" w:cs="Times New Roman"/>
          <w:sz w:val="16"/>
          <w:szCs w:val="16"/>
          <w:lang w:val="it-IT"/>
        </w:rPr>
        <w:t>4</w:t>
      </w:r>
      <w:r w:rsidR="005A4DD9" w:rsidRPr="00464982">
        <w:rPr>
          <w:rStyle w:val="Carpredefinitoparagrafo"/>
          <w:rFonts w:ascii="Garamond" w:hAnsi="Garamond" w:cs="Times New Roman"/>
          <w:sz w:val="16"/>
          <w:szCs w:val="16"/>
          <w:lang w:val="it-IT"/>
        </w:rPr>
        <w:t>.</w:t>
      </w:r>
    </w:p>
  </w:footnote>
  <w:footnote w:id="50">
    <w:p w14:paraId="1CC9496A" w14:textId="65F8511F" w:rsidR="00EA6183" w:rsidRPr="00464982" w:rsidRDefault="00EA6183" w:rsidP="009E5E24">
      <w:pPr>
        <w:pStyle w:val="FootnoteText"/>
        <w:rPr>
          <w:lang w:val="it-IT"/>
        </w:rPr>
      </w:pPr>
      <w:r w:rsidRPr="00464982">
        <w:rPr>
          <w:rStyle w:val="FootnoteReference"/>
          <w:rFonts w:ascii="Garamond" w:hAnsi="Garamond"/>
        </w:rPr>
        <w:footnoteRef/>
      </w:r>
      <w:r w:rsidRPr="00464982">
        <w:rPr>
          <w:lang w:val="it-IT"/>
        </w:rPr>
        <w:t xml:space="preserve"> Cassazione del Regno, 8 Febraury 1935, in </w:t>
      </w:r>
      <w:r w:rsidRPr="00464982">
        <w:rPr>
          <w:rFonts w:eastAsia="BookAntiqua-Italic"/>
          <w:i/>
          <w:lang w:val="it-IT"/>
        </w:rPr>
        <w:t>Foro Italiano</w:t>
      </w:r>
      <w:r w:rsidRPr="00464982">
        <w:rPr>
          <w:lang w:val="it-IT"/>
        </w:rPr>
        <w:t>, 1935, I, c.c. 1083.</w:t>
      </w:r>
    </w:p>
  </w:footnote>
  <w:footnote w:id="51">
    <w:p w14:paraId="5A4A2E9F" w14:textId="052F50FC" w:rsidR="00EA6183" w:rsidRPr="00464982" w:rsidRDefault="00EA6183" w:rsidP="009E5E24">
      <w:pPr>
        <w:pStyle w:val="FootnoteText"/>
        <w:rPr>
          <w:lang w:val="it-IT"/>
        </w:rPr>
      </w:pPr>
      <w:r w:rsidRPr="00464982">
        <w:rPr>
          <w:rStyle w:val="FootnoteReference"/>
          <w:rFonts w:ascii="Garamond" w:hAnsi="Garamond"/>
        </w:rPr>
        <w:footnoteRef/>
      </w:r>
      <w:r w:rsidRPr="00464982">
        <w:rPr>
          <w:lang w:val="it-IT"/>
        </w:rPr>
        <w:t xml:space="preserve"> </w:t>
      </w:r>
      <w:r w:rsidR="00FF0A5C" w:rsidRPr="00464982">
        <w:rPr>
          <w:lang w:val="it-IT"/>
        </w:rPr>
        <w:t xml:space="preserve"> See </w:t>
      </w:r>
      <w:r w:rsidRPr="00464982">
        <w:rPr>
          <w:lang w:val="it-IT"/>
        </w:rPr>
        <w:t xml:space="preserve">Comoglio Luigi Paolo, </w:t>
      </w:r>
      <w:r w:rsidRPr="00464982">
        <w:rPr>
          <w:i/>
          <w:iCs/>
          <w:lang w:val="it-IT"/>
        </w:rPr>
        <w:t>Le Prove Civili</w:t>
      </w:r>
      <w:r w:rsidRPr="00464982">
        <w:rPr>
          <w:lang w:val="it-IT"/>
        </w:rPr>
        <w:t xml:space="preserve"> (Milan: Wolters Kluwer Italia 2010)</w:t>
      </w:r>
    </w:p>
  </w:footnote>
  <w:footnote w:id="52">
    <w:p w14:paraId="3E61C495" w14:textId="5CBCC9FF" w:rsidR="006D62CC" w:rsidRPr="00464982" w:rsidRDefault="006D62CC"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{"citationID":"D6AUTdsB","properties":{"formattedCitation":"{\\rtf William T. Pizzi &amp; Luca Marafioti, \\i New Italian Code of Criminal Procedure: The Difficulties of Building an Adversarial Trial System on a Civil Law Foundation\\i0{}, 17 \\scaps The Yale Journal of International Law\\scaps0{} 1 (1992).}","plainCitation":"William T. Pizzi &amp; Luca Marafioti, New Italian Code of Criminal Procedure: The Difficulties of Building an Adversarial Trial System on a Civil Law Foundation, 17 The Yale Journal of International Law 1 (1992)."},"citationItems":[{"id":3126,"uris":["http://zotero.org/users/1004823/items/IBC5KWWN"],"uri":["http://zotero.org/users/1004823/items/IBC5KWWN"],"itemData":{"id":3126,"type":"article-journal","multi":{"main":{},"_keys":{}},"system_id":"0_IBC5KWWN","title":"New Italian Code of Criminal Procedure: The Difficulties of Building an Adversarial Trial System on a Civil Law Foundation","container-title":"The Yale Journal of International Law","page":"1","volume":"17","source":"Google Scholar","shortTitle":"New Italian Code of Criminal Procedure","author":[{"family":"Pizzi","given":"William T.","isInstitution":"","multi":{"_key":{},"main":false}},{"family":"Marafioti","given":"Luca","isInstitution":"","multi":{"_key":{},"main":false}}],"issued":{"date-parts":[["1992"]]},"accessed":{"date-parts":[["2013",4,23]]}},"label":"page"}],"schema":"https://github.com/citation-style-language/schema/raw/master/csl-citation.json"} </w:instrText>
      </w:r>
      <w:r w:rsidRPr="00464982">
        <w:fldChar w:fldCharType="separate"/>
      </w:r>
      <w:r w:rsidRPr="00464982">
        <w:t xml:space="preserve">William T. Pizzi &amp; Luca Marafioti, </w:t>
      </w:r>
      <w:r w:rsidRPr="00464982">
        <w:rPr>
          <w:iCs/>
        </w:rPr>
        <w:t>New Italian Code of Criminal Procedure: The Difficulties of Building an Adversarial Trial System on a Civil Law Foundation</w:t>
      </w:r>
      <w:r w:rsidRPr="00464982">
        <w:rPr>
          <w:i/>
        </w:rPr>
        <w:t>, 17 The Yale Journal of International Law</w:t>
      </w:r>
      <w:r w:rsidRPr="00464982">
        <w:t xml:space="preserve"> 1 (1992).</w:t>
      </w:r>
      <w:r w:rsidRPr="00464982">
        <w:fldChar w:fldCharType="end"/>
      </w:r>
    </w:p>
  </w:footnote>
  <w:footnote w:id="53">
    <w:p w14:paraId="6B38803B" w14:textId="4AC00288" w:rsidR="008D558A" w:rsidRPr="00464982" w:rsidRDefault="008D558A" w:rsidP="009E5E24">
      <w:pPr>
        <w:pStyle w:val="FootnoteText"/>
      </w:pPr>
      <w:r w:rsidRPr="00464982">
        <w:rPr>
          <w:rStyle w:val="FootnoteReference"/>
          <w:rFonts w:ascii="Garamond" w:hAnsi="Garamond"/>
        </w:rPr>
        <w:footnoteRef/>
      </w:r>
      <w:r w:rsidR="001627A7" w:rsidRPr="00464982">
        <w:rPr>
          <w:i/>
        </w:rPr>
        <w:t xml:space="preserve">See </w:t>
      </w:r>
      <w:r w:rsidRPr="00464982">
        <w:fldChar w:fldCharType="begin"/>
      </w:r>
      <w:r w:rsidR="006D62CC" w:rsidRPr="00464982">
        <w:instrText xml:space="preserve"> ADDIN ZOTERO_ITEM CSL_CITATION {"citationID":"muk8Fvfe","properties":{"formattedCitation":"{\\rtf Elisabetta Grande, \\i Italian Criminal Justice: Borrowing and Resistance\\i0{}, 48 \\scaps The American Journal of Comparative Law\\scaps0{} 227\\uc0\\u8211{}259 (2000).}","plainCitation":"Elisabetta Grande, Italian Criminal Justice: Borrowing and Resistance, 48 The American Journal of Comparative Law 227–259 (2000)."},"citationItems":[{"id":1747,"uris":["http://zotero.org/users/1004823/items/QABS8HWX"],"uri":["http://zotero.org/users/1004823/items/QABS8HWX"],"itemData":{"id":1747,"type":"article-journal","multi":{"main":{},"_keys":{}},"system_id":"0_QABS8HWX","title":"Italian Criminal Justice: Borrowing and Resistance","container-title":"The American Journal of Comparative Law","page":"227-259","volume":"48","issue":"2","source":"JSTOR","DOI":"10.2307/840971","ISSN":"0002-919X","note":"ArticleType: research-article / Full publication date: Spring, 2000 / Copyright © 2000 American Society of Comparative Law","shortTitle":"Italian Criminal Justice","journalAbbreviation":"The American Journal of Comparative Law","author":[{"family":"Grande","given":"Elisabetta","isInstitution":"","multi":{"_key":{},"main":false}}],"issued":{"date-parts":[["2000",4,1]]},"accessed":{"date-parts":[["2013",4,22]]}},"label":"page"}],"schema":"https://github.com/citation-style-language/schema/raw/master/csl-citation.json"} </w:instrText>
      </w:r>
      <w:r w:rsidRPr="00464982">
        <w:fldChar w:fldCharType="separate"/>
      </w:r>
      <w:r w:rsidR="006D62CC" w:rsidRPr="00464982">
        <w:t xml:space="preserve">Elisabetta Grande, </w:t>
      </w:r>
      <w:r w:rsidR="006D62CC" w:rsidRPr="00464982">
        <w:rPr>
          <w:iCs/>
        </w:rPr>
        <w:t>Italian Criminal Justice: Borrowing and Resistance</w:t>
      </w:r>
      <w:r w:rsidR="006D62CC" w:rsidRPr="00464982">
        <w:t>, 48</w:t>
      </w:r>
      <w:r w:rsidR="006D62CC" w:rsidRPr="00464982">
        <w:rPr>
          <w:i/>
        </w:rPr>
        <w:t xml:space="preserve"> The American Journal of Comparative Law</w:t>
      </w:r>
      <w:r w:rsidR="006D62CC" w:rsidRPr="00464982">
        <w:t xml:space="preserve"> 227–259 (2000).</w:t>
      </w:r>
      <w:r w:rsidRPr="00464982">
        <w:fldChar w:fldCharType="end"/>
      </w:r>
    </w:p>
  </w:footnote>
  <w:footnote w:id="54">
    <w:p w14:paraId="3804F757" w14:textId="2B6C2667" w:rsidR="00EA6183" w:rsidRPr="00464982" w:rsidRDefault="00EA6183" w:rsidP="009E5E24">
      <w:pPr>
        <w:pStyle w:val="FootnoteText"/>
      </w:pPr>
      <w:r w:rsidRPr="00464982">
        <w:rPr>
          <w:rStyle w:val="FootnoteReference"/>
          <w:rFonts w:ascii="Garamond" w:hAnsi="Garamond"/>
        </w:rPr>
        <w:footnoteRef/>
      </w:r>
      <w:r w:rsidR="006E3573" w:rsidRPr="00464982">
        <w:t xml:space="preserve"> </w:t>
      </w:r>
      <w:r w:rsidR="006E3573" w:rsidRPr="00464982">
        <w:rPr>
          <w:i/>
        </w:rPr>
        <w:t>Id</w:t>
      </w:r>
      <w:r w:rsidR="00FF0A5C" w:rsidRPr="00464982">
        <w:t>.</w:t>
      </w:r>
    </w:p>
  </w:footnote>
  <w:footnote w:id="55">
    <w:p w14:paraId="17B0D422" w14:textId="41576A32" w:rsidR="00EA6183" w:rsidRPr="00464982" w:rsidRDefault="00EA6183" w:rsidP="009E5E24">
      <w:pPr>
        <w:pStyle w:val="FootnoteText"/>
      </w:pPr>
      <w:r w:rsidRPr="00464982">
        <w:rPr>
          <w:rStyle w:val="FootnoteReference"/>
          <w:rFonts w:ascii="Garamond" w:hAnsi="Garamond"/>
        </w:rPr>
        <w:footnoteRef/>
      </w:r>
      <w:r w:rsidRPr="00464982">
        <w:t xml:space="preserve"> Legislative Decree n.196, 30 June 2003. Article 24 (f)</w:t>
      </w:r>
      <w:r w:rsidRPr="00464982">
        <w:rPr>
          <w:bCs/>
        </w:rPr>
        <w:t>–</w:t>
      </w:r>
      <w:r w:rsidRPr="00464982">
        <w:t>26 (4 c).</w:t>
      </w:r>
    </w:p>
  </w:footnote>
  <w:footnote w:id="56">
    <w:p w14:paraId="6FE6ECEF" w14:textId="77777777" w:rsidR="00EA6183" w:rsidRPr="00464982" w:rsidRDefault="00EA6183" w:rsidP="009E5E24">
      <w:pPr>
        <w:pStyle w:val="FootnoteText"/>
      </w:pPr>
      <w:r w:rsidRPr="00464982">
        <w:rPr>
          <w:rStyle w:val="FootnoteReference"/>
          <w:rFonts w:ascii="Garamond" w:hAnsi="Garamond"/>
        </w:rPr>
        <w:footnoteRef/>
      </w:r>
      <w:r w:rsidRPr="00464982">
        <w:t xml:space="preserve"> Tribunal of Bari, Order 16 February 2007.</w:t>
      </w:r>
    </w:p>
  </w:footnote>
  <w:footnote w:id="57">
    <w:p w14:paraId="59EC8135" w14:textId="77777777" w:rsidR="00EA6183" w:rsidRPr="00464982" w:rsidRDefault="00EA6183" w:rsidP="009E5E24">
      <w:pPr>
        <w:pStyle w:val="FootnoteText"/>
      </w:pPr>
      <w:r w:rsidRPr="00464982">
        <w:rPr>
          <w:rStyle w:val="FootnoteReference"/>
          <w:rFonts w:ascii="Garamond" w:hAnsi="Garamond"/>
        </w:rPr>
        <w:footnoteRef/>
      </w:r>
      <w:r w:rsidRPr="00464982">
        <w:t xml:space="preserve"> Legislative Decree n.196 30 June 2003, Article 26. </w:t>
      </w:r>
    </w:p>
  </w:footnote>
  <w:footnote w:id="58">
    <w:p w14:paraId="65731670" w14:textId="78D14572" w:rsidR="00EA6183" w:rsidRPr="00464982" w:rsidRDefault="00EA6183" w:rsidP="009E5E24">
      <w:pPr>
        <w:pStyle w:val="FootnoteText"/>
        <w:rPr>
          <w:lang w:val="it-IT"/>
        </w:rPr>
      </w:pPr>
      <w:r w:rsidRPr="00464982">
        <w:rPr>
          <w:rStyle w:val="FootnoteReference"/>
          <w:rFonts w:ascii="Garamond" w:hAnsi="Garamond"/>
        </w:rPr>
        <w:footnoteRef/>
      </w:r>
      <w:r w:rsidRPr="00464982">
        <w:rPr>
          <w:lang w:val="it-IT"/>
        </w:rPr>
        <w:t xml:space="preserve"> </w:t>
      </w:r>
      <w:r w:rsidR="006D62CC" w:rsidRPr="00464982">
        <w:rPr>
          <w:lang w:val="it-IT"/>
        </w:rPr>
        <w:t>Origianal text in Italian:</w:t>
      </w:r>
      <w:r w:rsidRPr="00464982">
        <w:rPr>
          <w:lang w:val="it-IT"/>
        </w:rPr>
        <w:t>‘[S]i osserva infatti che il documento acquisito al processo resta pur sempre il medesimo sia che venga introdotto lecitamente sia illecitamente, e ciò proprio ed evidentemente perché si parla di prove precostituite. Naturalmente, nulla esclude che la violazione del divieto che comunque viene a consumarsi (sebbene fuori del processo) incontri le sanzioni di legge: ma le stesse non avranno influenza alcuna sul piano dell'efficacia probatoria.’</w:t>
      </w:r>
      <w:r w:rsidR="006D62CC" w:rsidRPr="00464982">
        <w:rPr>
          <w:rFonts w:eastAsia="BookAntiqua"/>
          <w:lang w:val="it-IT"/>
        </w:rPr>
        <w:t xml:space="preserve"> Supra note </w:t>
      </w:r>
      <w:r w:rsidRPr="00464982">
        <w:rPr>
          <w:rFonts w:eastAsia="BookAntiqua"/>
          <w:lang w:val="it-IT"/>
        </w:rPr>
        <w:t xml:space="preserve"> </w:t>
      </w:r>
      <w:r w:rsidR="00197FA7" w:rsidRPr="00464982">
        <w:rPr>
          <w:rFonts w:eastAsia="BookAntiqua"/>
          <w:lang w:val="it-IT"/>
        </w:rPr>
        <w:t>4</w:t>
      </w:r>
      <w:r w:rsidR="00197FA7">
        <w:rPr>
          <w:rFonts w:eastAsia="BookAntiqua"/>
          <w:lang w:val="it-IT"/>
        </w:rPr>
        <w:t>7</w:t>
      </w:r>
      <w:r w:rsidRPr="00464982">
        <w:rPr>
          <w:rFonts w:eastAsia="BookAntiqua"/>
          <w:lang w:val="it-IT"/>
        </w:rPr>
        <w:t xml:space="preserve">, para 7. </w:t>
      </w:r>
    </w:p>
  </w:footnote>
  <w:footnote w:id="59">
    <w:p w14:paraId="26251FA9" w14:textId="429A7ACC" w:rsidR="006D62CC" w:rsidRPr="00464982" w:rsidRDefault="006D62CC" w:rsidP="009E5E24">
      <w:pPr>
        <w:pStyle w:val="FootnoteText"/>
      </w:pPr>
      <w:r w:rsidRPr="00464982">
        <w:rPr>
          <w:rStyle w:val="FootnoteReference"/>
          <w:rFonts w:ascii="Garamond" w:hAnsi="Garamond"/>
        </w:rPr>
        <w:footnoteRef/>
      </w:r>
      <w:r w:rsidRPr="00464982">
        <w:t xml:space="preserve"> </w:t>
      </w:r>
      <w:r w:rsidRPr="00464982">
        <w:fldChar w:fldCharType="begin"/>
      </w:r>
      <w:r w:rsidRPr="00464982">
        <w:instrText xml:space="preserve"> ADDIN ZOTERO_ITEM CSL_CITATION {"citationID":"f6gm8Nvc","properties":{"formattedCitation":"{\\rtf Neil MacCormick, \\i Reasonableness and Objectivity\\i0{}, 74 \\scaps Notre Dame Law Review\\scaps0{} 1575 (1998).}","plainCitation":"Neil MacCormick, Reasonableness and Objectivity, 74 Notre Dame Law Review 1575 (1998)."},"citationItems":[{"id":329,"uris":["http://zotero.org/users/1004823/items/IKQXTH55"],"uri":["http://zotero.org/users/1004823/items/IKQXTH55"],"itemData":{"id":329,"type":"article-journal","multi":{"main":{},"_keys":{}},"system_id":"0_IKQXTH55","title":"Reasonableness and Objectivity","container-title":"Notre Dame Law  Review","page":"1575","volume":"74","journalAbbreviation":"Notre Dame L. Rev.","author":[{"family":"MacCormick","given":"Neil","isInstitution":"","multi":{"_key":{},"main":false}}],"issued":{"date-parts":[["1998"]],"season":"1999"}}}],"schema":"https://github.com/citation-style-language/schema/raw/master/csl-citation.json"} </w:instrText>
      </w:r>
      <w:r w:rsidRPr="00464982">
        <w:fldChar w:fldCharType="separate"/>
      </w:r>
      <w:r w:rsidRPr="00464982">
        <w:t xml:space="preserve">Neil MacCormick, </w:t>
      </w:r>
      <w:r w:rsidRPr="00464982">
        <w:rPr>
          <w:iCs/>
        </w:rPr>
        <w:t>Reasonableness and Objectivity</w:t>
      </w:r>
      <w:r w:rsidRPr="00464982">
        <w:t>, 74</w:t>
      </w:r>
      <w:r w:rsidRPr="00464982">
        <w:rPr>
          <w:i/>
        </w:rPr>
        <w:t xml:space="preserve"> Notre Dame Law Review </w:t>
      </w:r>
      <w:r w:rsidRPr="00464982">
        <w:t>1575 (1998).</w:t>
      </w:r>
      <w:r w:rsidRPr="00464982">
        <w:fldChar w:fldCharType="end"/>
      </w:r>
    </w:p>
  </w:footnote>
  <w:footnote w:id="60">
    <w:p w14:paraId="1D9CDCAB" w14:textId="77777777" w:rsidR="00EA6183" w:rsidRPr="00464982" w:rsidRDefault="00EA6183" w:rsidP="009E5E24">
      <w:pPr>
        <w:pStyle w:val="FootnoteText"/>
      </w:pPr>
      <w:r w:rsidRPr="00464982">
        <w:rPr>
          <w:rStyle w:val="FootnoteReference"/>
          <w:rFonts w:ascii="Garamond" w:hAnsi="Garamond"/>
        </w:rPr>
        <w:footnoteRef/>
      </w:r>
      <w:r w:rsidRPr="00464982">
        <w:t xml:space="preserve"> Tribunal of Turin, n. 4885, 28 September 2007.</w:t>
      </w:r>
    </w:p>
  </w:footnote>
  <w:footnote w:id="61">
    <w:p w14:paraId="4168B95A" w14:textId="4B8D0B84" w:rsidR="00EA6183" w:rsidRPr="00464982" w:rsidRDefault="00EA6183" w:rsidP="009E5E24">
      <w:pPr>
        <w:pStyle w:val="FootnoteText"/>
        <w:rPr>
          <w:lang w:val="it-IT"/>
        </w:rPr>
      </w:pPr>
      <w:r w:rsidRPr="00464982">
        <w:rPr>
          <w:rStyle w:val="FootnoteReference"/>
          <w:rFonts w:ascii="Garamond" w:hAnsi="Garamond"/>
        </w:rPr>
        <w:footnoteRef/>
      </w:r>
      <w:r w:rsidRPr="00464982">
        <w:rPr>
          <w:rFonts w:eastAsia="BookAntiqua"/>
          <w:lang w:val="it-IT"/>
        </w:rPr>
        <w:t xml:space="preserve"> </w:t>
      </w:r>
      <w:r w:rsidR="004C0981" w:rsidRPr="00464982">
        <w:rPr>
          <w:lang w:val="it-IT"/>
        </w:rPr>
        <w:fldChar w:fldCharType="begin"/>
      </w:r>
      <w:r w:rsidR="004C0981" w:rsidRPr="00464982">
        <w:rPr>
          <w:lang w:val="it-IT"/>
        </w:rPr>
        <w:instrText xml:space="preserve"> ADDIN ZOTERO_ITEM CSL_CITATION {"citationID":"8FyuG8m0","properties":{"formattedCitation":"{\\rtf Daniele Iarussi, \\i L\\uc0\\u8217{}utilizzabilit\\uc0\\u224{} delle prove acquisite a sostegno del licenziamento disciplinare\\i0{}, 9 \\scaps Il Giurista del Lavoro\\scaps0{} 42 (2008).}","plainCitation":"Daniele Iarussi, L’utilizzabilità delle prove acquisite a sostegno del licenziamento disciplinare, 9 Il Giurista del Lavoro 42 (2008)."},"citationItems":[{"id":3063,"uris":["http://zotero.org/users/1004823/items/DMQT3NCN"],"uri":["http://zotero.org/users/1004823/items/DMQT3NCN"],"itemData":{"id":3063,"type":"article-journal","multi":{"main":{},"_keys":{}},"system_id":"0_DMQT3NCN","title":"L'utilizzabilità delle prove acquisite a sostegno del licenziamento disciplinare","container-title":"Il Giurista del Lavoro","page":"42","volume":"9","author":[{"family":"Iarussi","given":"Daniele","isInstitution":"","multi":{"_key":{},"main":false}}],"issued":{"date-parts":[["2008"]]},"accessed":{"date-parts":[["2013",3,3]]}}}],"schema":"https://github.com/citation-style-language/schema/raw/master/csl-citation.json"} </w:instrText>
      </w:r>
      <w:r w:rsidR="004C0981" w:rsidRPr="00464982">
        <w:rPr>
          <w:lang w:val="it-IT"/>
        </w:rPr>
        <w:fldChar w:fldCharType="separate"/>
      </w:r>
      <w:r w:rsidR="004C0981" w:rsidRPr="002F55D3">
        <w:rPr>
          <w:lang w:val="fr-FR"/>
        </w:rPr>
        <w:t xml:space="preserve">Daniele Iarussi, </w:t>
      </w:r>
      <w:r w:rsidR="004C0981" w:rsidRPr="002F55D3">
        <w:rPr>
          <w:iCs/>
          <w:lang w:val="fr-FR"/>
        </w:rPr>
        <w:t>L’utilizzabilità delle prove acquisite a sostegno del licenziamento disciplinare</w:t>
      </w:r>
      <w:r w:rsidR="004C0981" w:rsidRPr="002F55D3">
        <w:rPr>
          <w:lang w:val="fr-FR"/>
        </w:rPr>
        <w:t xml:space="preserve">, 9 </w:t>
      </w:r>
      <w:r w:rsidR="004C0981" w:rsidRPr="002F55D3">
        <w:rPr>
          <w:i/>
          <w:lang w:val="fr-FR"/>
        </w:rPr>
        <w:t>Il Giurista del Lavoro</w:t>
      </w:r>
      <w:r w:rsidR="004C0981" w:rsidRPr="002F55D3">
        <w:rPr>
          <w:lang w:val="fr-FR"/>
        </w:rPr>
        <w:t xml:space="preserve"> 42 (2008).</w:t>
      </w:r>
      <w:r w:rsidR="004C0981" w:rsidRPr="00464982">
        <w:rPr>
          <w:lang w:val="it-IT"/>
        </w:rPr>
        <w:fldChar w:fldCharType="end"/>
      </w:r>
    </w:p>
  </w:footnote>
  <w:footnote w:id="62">
    <w:p w14:paraId="6A85FA8D" w14:textId="3CD2BFDC" w:rsidR="00EA6183" w:rsidRPr="00464982" w:rsidRDefault="00EA6183" w:rsidP="009E5E24">
      <w:pPr>
        <w:pStyle w:val="FootnoteText"/>
      </w:pPr>
      <w:r w:rsidRPr="00464982">
        <w:rPr>
          <w:rStyle w:val="FootnoteReference"/>
          <w:rFonts w:ascii="Garamond" w:hAnsi="Garamond"/>
        </w:rPr>
        <w:footnoteRef/>
      </w:r>
      <w:r w:rsidR="00BF6167" w:rsidRPr="00464982">
        <w:t xml:space="preserve"> Legislative Decree n</w:t>
      </w:r>
      <w:r w:rsidRPr="00464982">
        <w:t>. 196 of 30 June 2003 (Italian Personal Data Protection Code).</w:t>
      </w:r>
    </w:p>
  </w:footnote>
  <w:footnote w:id="63">
    <w:p w14:paraId="23AEB212" w14:textId="21423843" w:rsidR="00EA6183" w:rsidRPr="00464982" w:rsidRDefault="00EA6183" w:rsidP="009E5E24">
      <w:pPr>
        <w:pStyle w:val="FootnoteText"/>
      </w:pPr>
      <w:r w:rsidRPr="00464982">
        <w:rPr>
          <w:rStyle w:val="FootnoteReference"/>
          <w:rFonts w:ascii="Garamond" w:hAnsi="Garamond"/>
        </w:rPr>
        <w:footnoteRef/>
      </w:r>
      <w:r w:rsidRPr="00464982">
        <w:t xml:space="preserve"> </w:t>
      </w:r>
      <w:r w:rsidR="00FF0A5C" w:rsidRPr="00464982">
        <w:t>I</w:t>
      </w:r>
      <w:r w:rsidR="006E3573" w:rsidRPr="00464982">
        <w:t>d</w:t>
      </w:r>
      <w:r w:rsidRPr="00464982">
        <w:t>.</w:t>
      </w:r>
    </w:p>
  </w:footnote>
  <w:footnote w:id="64">
    <w:p w14:paraId="1A2DFF34" w14:textId="2AB3030D" w:rsidR="00EA6183" w:rsidRPr="00464982" w:rsidRDefault="00EA6183" w:rsidP="009E5E24">
      <w:pPr>
        <w:pStyle w:val="FootnoteText"/>
      </w:pPr>
      <w:r w:rsidRPr="00464982">
        <w:rPr>
          <w:rStyle w:val="FootnoteReference"/>
          <w:rFonts w:ascii="Garamond" w:hAnsi="Garamond"/>
        </w:rPr>
        <w:footnoteRef/>
      </w:r>
      <w:r w:rsidRPr="00464982">
        <w:t xml:space="preserve"> </w:t>
      </w:r>
      <w:r w:rsidR="00F04449" w:rsidRPr="00464982">
        <w:t>Tribunal of Turin, n. 4885</w:t>
      </w:r>
      <w:r w:rsidR="00F04449" w:rsidRPr="00464982">
        <w:rPr>
          <w:i/>
        </w:rPr>
        <w:t xml:space="preserve"> s</w:t>
      </w:r>
      <w:r w:rsidR="00FF0A5C" w:rsidRPr="00464982">
        <w:rPr>
          <w:i/>
        </w:rPr>
        <w:t xml:space="preserve">upra </w:t>
      </w:r>
      <w:r w:rsidR="00FF0A5C" w:rsidRPr="00464982">
        <w:t xml:space="preserve">note </w:t>
      </w:r>
      <w:r w:rsidRPr="00464982">
        <w:t xml:space="preserve"> </w:t>
      </w:r>
      <w:r w:rsidR="00197FA7" w:rsidRPr="00464982">
        <w:t>5</w:t>
      </w:r>
      <w:r w:rsidR="00197FA7">
        <w:t>7</w:t>
      </w:r>
      <w:r w:rsidR="00197FA7" w:rsidRPr="00464982">
        <w:t xml:space="preserve"> </w:t>
      </w:r>
      <w:r w:rsidR="005A4DD9" w:rsidRPr="00464982">
        <w:t>paras</w:t>
      </w:r>
      <w:r w:rsidRPr="00464982">
        <w:t xml:space="preserve"> 7, 5–8.</w:t>
      </w:r>
    </w:p>
  </w:footnote>
  <w:footnote w:id="65">
    <w:p w14:paraId="504F9916" w14:textId="0AB91C72" w:rsidR="00EA6183" w:rsidRPr="00464982" w:rsidRDefault="00EA6183" w:rsidP="009E5E24">
      <w:pPr>
        <w:pStyle w:val="FootnoteText"/>
      </w:pPr>
      <w:r w:rsidRPr="00464982">
        <w:rPr>
          <w:rStyle w:val="FootnoteReference"/>
          <w:rFonts w:ascii="Garamond" w:hAnsi="Garamond"/>
        </w:rPr>
        <w:footnoteRef/>
      </w:r>
      <w:r w:rsidRPr="00464982">
        <w:t xml:space="preserve"> </w:t>
      </w:r>
      <w:r w:rsidRPr="00464982">
        <w:rPr>
          <w:i/>
        </w:rPr>
        <w:t>I</w:t>
      </w:r>
      <w:r w:rsidR="006E3573" w:rsidRPr="00464982">
        <w:rPr>
          <w:i/>
        </w:rPr>
        <w:t>d</w:t>
      </w:r>
      <w:r w:rsidR="00FF0A5C" w:rsidRPr="00464982">
        <w:rPr>
          <w:i/>
        </w:rPr>
        <w:t>.</w:t>
      </w:r>
      <w:r w:rsidR="00FF0A5C" w:rsidRPr="00464982">
        <w:t xml:space="preserve"> at </w:t>
      </w:r>
      <w:r w:rsidR="005A4DD9" w:rsidRPr="00464982">
        <w:t>paras</w:t>
      </w:r>
      <w:r w:rsidR="00BF6167" w:rsidRPr="00464982">
        <w:t xml:space="preserve"> 2</w:t>
      </w:r>
      <w:r w:rsidRPr="00464982">
        <w:t xml:space="preserve"> </w:t>
      </w:r>
      <w:r w:rsidR="00BF6167" w:rsidRPr="00464982">
        <w:t>(</w:t>
      </w:r>
      <w:r w:rsidRPr="00464982">
        <w:t>2</w:t>
      </w:r>
      <w:r w:rsidR="00BF6167" w:rsidRPr="00464982">
        <w:t>)</w:t>
      </w:r>
      <w:r w:rsidRPr="00464982">
        <w:t>, 10–17.</w:t>
      </w:r>
    </w:p>
  </w:footnote>
  <w:footnote w:id="66">
    <w:p w14:paraId="35F56E80" w14:textId="71AE05B5" w:rsidR="00EA6183" w:rsidRPr="00464982" w:rsidRDefault="00EA6183" w:rsidP="009E5E24">
      <w:pPr>
        <w:pStyle w:val="FootnoteText"/>
      </w:pPr>
      <w:r w:rsidRPr="00464982">
        <w:rPr>
          <w:rStyle w:val="FootnoteReference"/>
          <w:rFonts w:ascii="Garamond" w:hAnsi="Garamond"/>
        </w:rPr>
        <w:footnoteRef/>
      </w:r>
      <w:r w:rsidRPr="00464982">
        <w:t xml:space="preserve"> </w:t>
      </w:r>
      <w:r w:rsidR="00FF0A5C" w:rsidRPr="00464982">
        <w:rPr>
          <w:i/>
        </w:rPr>
        <w:t>I</w:t>
      </w:r>
      <w:r w:rsidR="006E3573" w:rsidRPr="00464982">
        <w:rPr>
          <w:i/>
        </w:rPr>
        <w:t>d</w:t>
      </w:r>
      <w:r w:rsidR="00FF0A5C" w:rsidRPr="00464982">
        <w:rPr>
          <w:i/>
        </w:rPr>
        <w:t>.</w:t>
      </w:r>
      <w:r w:rsidR="00FF0A5C" w:rsidRPr="00464982">
        <w:t xml:space="preserve"> at </w:t>
      </w:r>
      <w:r w:rsidR="005A4DD9" w:rsidRPr="00464982">
        <w:t>para</w:t>
      </w:r>
      <w:r w:rsidRPr="00464982">
        <w:t xml:space="preserve"> 5.</w:t>
      </w:r>
    </w:p>
  </w:footnote>
  <w:footnote w:id="67">
    <w:p w14:paraId="5550031D" w14:textId="50175779" w:rsidR="00EA6183" w:rsidRPr="00464982" w:rsidRDefault="00EA6183" w:rsidP="009E5E24">
      <w:pPr>
        <w:pStyle w:val="FootnoteText"/>
      </w:pPr>
      <w:r w:rsidRPr="00464982">
        <w:rPr>
          <w:rStyle w:val="FootnoteReference"/>
          <w:rFonts w:ascii="Garamond" w:hAnsi="Garamond"/>
        </w:rPr>
        <w:footnoteRef/>
      </w:r>
      <w:r w:rsidRPr="00464982">
        <w:t xml:space="preserve"> </w:t>
      </w:r>
      <w:r w:rsidR="006E3573" w:rsidRPr="00464982">
        <w:rPr>
          <w:i/>
        </w:rPr>
        <w:t>Id</w:t>
      </w:r>
      <w:r w:rsidR="00FF0A5C" w:rsidRPr="00464982">
        <w:t xml:space="preserve">. at </w:t>
      </w:r>
      <w:r w:rsidR="00F04449" w:rsidRPr="00464982">
        <w:t>paras</w:t>
      </w:r>
      <w:r w:rsidR="00FF0A5C" w:rsidRPr="00464982">
        <w:t xml:space="preserve"> </w:t>
      </w:r>
      <w:r w:rsidRPr="00464982">
        <w:t>7–12.</w:t>
      </w:r>
    </w:p>
  </w:footnote>
  <w:footnote w:id="68">
    <w:p w14:paraId="7041C173" w14:textId="0A34E481" w:rsidR="00EA6183" w:rsidRPr="00464982" w:rsidRDefault="00EA6183" w:rsidP="009E5E24">
      <w:pPr>
        <w:pStyle w:val="FootnoteText"/>
      </w:pPr>
      <w:r w:rsidRPr="00464982">
        <w:rPr>
          <w:rStyle w:val="FootnoteReference"/>
          <w:rFonts w:ascii="Garamond" w:hAnsi="Garamond"/>
        </w:rPr>
        <w:footnoteRef/>
      </w:r>
      <w:r w:rsidRPr="00464982">
        <w:t xml:space="preserve"> </w:t>
      </w:r>
      <w:r w:rsidR="00F04449" w:rsidRPr="00464982">
        <w:rPr>
          <w:rFonts w:eastAsia="BookAntiqua"/>
          <w:i/>
        </w:rPr>
        <w:t>Id</w:t>
      </w:r>
      <w:r w:rsidR="00FF0A5C" w:rsidRPr="00464982">
        <w:rPr>
          <w:rFonts w:eastAsia="BookAntiqua"/>
          <w:i/>
        </w:rPr>
        <w:t>.</w:t>
      </w:r>
      <w:r w:rsidR="00FF0A5C" w:rsidRPr="00464982">
        <w:rPr>
          <w:rFonts w:eastAsia="BookAntiqua"/>
        </w:rPr>
        <w:t xml:space="preserve"> at </w:t>
      </w:r>
      <w:r w:rsidR="00F04449" w:rsidRPr="00464982">
        <w:rPr>
          <w:rFonts w:eastAsia="BookAntiqua"/>
        </w:rPr>
        <w:t>paras.</w:t>
      </w:r>
      <w:r w:rsidR="00FF0A5C" w:rsidRPr="00464982">
        <w:rPr>
          <w:rFonts w:eastAsia="BookAntiqua"/>
        </w:rPr>
        <w:t xml:space="preserve"> </w:t>
      </w:r>
      <w:r w:rsidRPr="00464982">
        <w:t>7, 7–8. The specific effects of IOEs are set in the Crimi</w:t>
      </w:r>
      <w:r w:rsidR="00FF0A5C" w:rsidRPr="00464982">
        <w:t>nal Procedures Code in articles</w:t>
      </w:r>
      <w:r w:rsidR="00115602" w:rsidRPr="00464982">
        <w:t>:</w:t>
      </w:r>
      <w:r w:rsidRPr="00464982">
        <w:t xml:space="preserve"> 62, 63, 103, 18</w:t>
      </w:r>
      <w:r w:rsidR="00BF6167" w:rsidRPr="00464982">
        <w:t>8, 195, 197, 203, 234, 254, 270-</w:t>
      </w:r>
      <w:r w:rsidRPr="00464982">
        <w:t>271, 200. Decree of the President of the Republic n.447, 22 September 1988.</w:t>
      </w:r>
    </w:p>
  </w:footnote>
  <w:footnote w:id="69">
    <w:p w14:paraId="3D6D608E" w14:textId="19FEC327" w:rsidR="00EA6183" w:rsidRPr="00464982" w:rsidRDefault="00EA6183" w:rsidP="009E5E24">
      <w:pPr>
        <w:pStyle w:val="FootnoteText"/>
      </w:pPr>
      <w:r w:rsidRPr="00464982">
        <w:rPr>
          <w:rStyle w:val="FootnoteReference"/>
          <w:rFonts w:ascii="Garamond" w:hAnsi="Garamond"/>
        </w:rPr>
        <w:footnoteRef/>
      </w:r>
      <w:r w:rsidR="00FF0A5C" w:rsidRPr="00464982">
        <w:t xml:space="preserve"> </w:t>
      </w:r>
      <w:r w:rsidR="00F04449" w:rsidRPr="00464982">
        <w:rPr>
          <w:bCs/>
        </w:rPr>
        <w:t>Codice di Procedura Civile</w:t>
      </w:r>
      <w:r w:rsidR="00F04449" w:rsidRPr="00464982">
        <w:rPr>
          <w:i/>
        </w:rPr>
        <w:t>, s</w:t>
      </w:r>
      <w:r w:rsidR="00FF0A5C" w:rsidRPr="00464982">
        <w:rPr>
          <w:i/>
        </w:rPr>
        <w:t xml:space="preserve">upra </w:t>
      </w:r>
      <w:r w:rsidR="00FF0A5C" w:rsidRPr="00464982">
        <w:t>note</w:t>
      </w:r>
      <w:r w:rsidR="00FF0A5C" w:rsidRPr="00464982">
        <w:rPr>
          <w:i/>
        </w:rPr>
        <w:t xml:space="preserve"> </w:t>
      </w:r>
      <w:r w:rsidRPr="00464982">
        <w:t xml:space="preserve"> </w:t>
      </w:r>
      <w:r w:rsidR="00197FA7">
        <w:t>40</w:t>
      </w:r>
      <w:r w:rsidR="00197FA7" w:rsidRPr="00464982">
        <w:t xml:space="preserve"> </w:t>
      </w:r>
      <w:r w:rsidRPr="00464982">
        <w:t>article 222.</w:t>
      </w:r>
    </w:p>
  </w:footnote>
  <w:footnote w:id="70">
    <w:p w14:paraId="03BF861B" w14:textId="1FD7019F" w:rsidR="00EA6183" w:rsidRPr="00464982" w:rsidRDefault="00EA6183" w:rsidP="009E5E24">
      <w:pPr>
        <w:pStyle w:val="FootnoteText"/>
      </w:pPr>
      <w:r w:rsidRPr="00464982">
        <w:rPr>
          <w:rStyle w:val="FootnoteReference"/>
          <w:rFonts w:ascii="Garamond" w:hAnsi="Garamond"/>
        </w:rPr>
        <w:footnoteRef/>
      </w:r>
      <w:r w:rsidRPr="00464982">
        <w:t xml:space="preserve"> </w:t>
      </w:r>
      <w:r w:rsidR="00FF0A5C" w:rsidRPr="00464982">
        <w:t xml:space="preserve"> </w:t>
      </w:r>
      <w:r w:rsidR="00FF0A5C" w:rsidRPr="00464982">
        <w:rPr>
          <w:i/>
        </w:rPr>
        <w:t>See</w:t>
      </w:r>
      <w:r w:rsidR="00FF0A5C" w:rsidRPr="00464982">
        <w:t xml:space="preserve"> </w:t>
      </w:r>
      <w:r w:rsidR="00FF0A5C" w:rsidRPr="00464982">
        <w:fldChar w:fldCharType="begin"/>
      </w:r>
      <w:r w:rsidR="00FF0A5C" w:rsidRPr="00464982">
        <w:instrText xml:space="preserve"> ADDIN ZOTERO_ITEM CSL_CITATION {"citationID":"nh8TuBu9","properties":{"formattedCitation":"{\\rtf \\scaps Neil MacCormick\\scaps0{}, \\scaps Legal reasoning and legal theory\\scaps0{} 4 (1994).}","plainCitation":"Neil MacCormick, Legal reasoning and legal theory 4 (1994)."},"citationItems":[{"id":3151,"uris":["http://zotero.org/users/1004823/items/W6A6W5IF"],"uri":["http://zotero.org/users/1004823/items/W6A6W5IF"],"itemData":{"id":3151,"type":"book","multi":{"main":{},"_keys":{}},"system_id":"0_W6A6W5IF","title":"Legal reasoning and legal theory","publisher":"Clarendon Press","publisher-place":"Oxford","source":"Open WorldCat","event-place":"Oxford","archive-place":"Oxford","ISBN":"0198763840  9780198763840","language":"English","author":[{"family":"MacCormick","given":"Neil","isInstitution":"","multi":{"_key":{},"main":false}}],"issued":{"date-parts":[["1994"]]}},"locator":"4","label":"chapter"}],"schema":"https://github.com/citation-style-language/schema/raw/master/csl-citation.json"} </w:instrText>
      </w:r>
      <w:r w:rsidR="00FF0A5C" w:rsidRPr="00464982">
        <w:fldChar w:fldCharType="separate"/>
      </w:r>
      <w:r w:rsidR="00FF0A5C" w:rsidRPr="00464982">
        <w:t>Neil MacCormick, Legal reasoning and legal theory 4 (1994).</w:t>
      </w:r>
      <w:r w:rsidR="00FF0A5C" w:rsidRPr="00464982">
        <w:fldChar w:fldCharType="end"/>
      </w:r>
    </w:p>
  </w:footnote>
  <w:footnote w:id="71">
    <w:p w14:paraId="2C3E84A1" w14:textId="5D91730D" w:rsidR="00616C19" w:rsidRPr="00464982" w:rsidRDefault="00616C19" w:rsidP="009E5E24">
      <w:pPr>
        <w:pStyle w:val="FootnoteText"/>
      </w:pPr>
      <w:r w:rsidRPr="00464982">
        <w:rPr>
          <w:rStyle w:val="FootnoteReference"/>
          <w:rFonts w:ascii="Garamond" w:hAnsi="Garamond"/>
        </w:rPr>
        <w:footnoteRef/>
      </w:r>
      <w:r w:rsidRPr="00464982">
        <w:t xml:space="preserve"> </w:t>
      </w:r>
      <w:r w:rsidR="00197FA7" w:rsidRPr="00464982">
        <w:fldChar w:fldCharType="begin"/>
      </w:r>
      <w:r w:rsidR="00197FA7" w:rsidRPr="00464982">
        <w:instrText xml:space="preserve"> ADDIN ZOTERO_ITEM CSL_CITATION {"citationID":"wdAKSt2i","properties":{"formattedCitation":"{\\rtf Taruffo, \\i supra\\i0{} note___.}","plainCitation":"Taruffo, supra note___."},"citationItems":[{"id":725,"uris":["http://zotero.org/users/1004823/items/HBAZR28N"],"uri":["http://zotero.org/users/1004823/items/HBAZR28N"],"itemData":{"id":725,"type":"article-journal","multi":{"main":{},"_keys":{}},"system_id":"0_HBAZR28N","title":"La Verita` nel Processo","container-title":"Rivista Trimestrale di Diritto e Procedura Civile","page":"1117-1135","issue":"4","author":[{"family":"Taruffo","given":"Michele","isInstitution":"","multi":{"_key":{},"main":false}}],"issued":{"date-parts":[["2012"]]}}}],"schema":"https://github.com/citation-style-language/schema/raw/master/csl-citation.json"} </w:instrText>
      </w:r>
      <w:r w:rsidR="00197FA7" w:rsidRPr="00464982">
        <w:fldChar w:fldCharType="separate"/>
      </w:r>
      <w:r w:rsidR="00197FA7" w:rsidRPr="00464982">
        <w:t xml:space="preserve">Taruffo, </w:t>
      </w:r>
      <w:r w:rsidR="00197FA7" w:rsidRPr="00464982">
        <w:rPr>
          <w:i/>
          <w:iCs/>
        </w:rPr>
        <w:t>supra</w:t>
      </w:r>
      <w:r w:rsidR="00197FA7" w:rsidRPr="00464982">
        <w:t xml:space="preserve"> note </w:t>
      </w:r>
      <w:r w:rsidR="00197FA7">
        <w:t>3</w:t>
      </w:r>
      <w:r w:rsidR="00197FA7" w:rsidRPr="00464982">
        <w:fldChar w:fldCharType="end"/>
      </w:r>
      <w:r w:rsidR="00F04449" w:rsidRPr="0046498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00160" w14:textId="77777777" w:rsidR="000B215B" w:rsidRDefault="000B2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179C" w14:textId="77777777" w:rsidR="000B215B" w:rsidRDefault="000B2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527F" w14:textId="77777777" w:rsidR="000B215B" w:rsidRDefault="000B2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5CE2"/>
    <w:rsid w:val="00021EA6"/>
    <w:rsid w:val="000339C1"/>
    <w:rsid w:val="000368C3"/>
    <w:rsid w:val="0004677F"/>
    <w:rsid w:val="00055DA3"/>
    <w:rsid w:val="0006750C"/>
    <w:rsid w:val="000753AB"/>
    <w:rsid w:val="00093AFA"/>
    <w:rsid w:val="0009542B"/>
    <w:rsid w:val="000971AB"/>
    <w:rsid w:val="000B1084"/>
    <w:rsid w:val="000B215B"/>
    <w:rsid w:val="000B4BA8"/>
    <w:rsid w:val="000D5857"/>
    <w:rsid w:val="000E4C71"/>
    <w:rsid w:val="000F0374"/>
    <w:rsid w:val="000F170E"/>
    <w:rsid w:val="000F52A9"/>
    <w:rsid w:val="00102D86"/>
    <w:rsid w:val="0011283D"/>
    <w:rsid w:val="00115602"/>
    <w:rsid w:val="00127AEE"/>
    <w:rsid w:val="001301D3"/>
    <w:rsid w:val="0013627B"/>
    <w:rsid w:val="0014634D"/>
    <w:rsid w:val="00151025"/>
    <w:rsid w:val="001627A7"/>
    <w:rsid w:val="00171D5D"/>
    <w:rsid w:val="00173109"/>
    <w:rsid w:val="00173324"/>
    <w:rsid w:val="00197FA7"/>
    <w:rsid w:val="001B18FB"/>
    <w:rsid w:val="001B2ECC"/>
    <w:rsid w:val="001B47CD"/>
    <w:rsid w:val="001B5744"/>
    <w:rsid w:val="001C06A8"/>
    <w:rsid w:val="001C4BE2"/>
    <w:rsid w:val="001F273D"/>
    <w:rsid w:val="001F59DC"/>
    <w:rsid w:val="0020145B"/>
    <w:rsid w:val="002033D5"/>
    <w:rsid w:val="0021438F"/>
    <w:rsid w:val="002250E3"/>
    <w:rsid w:val="00253EE6"/>
    <w:rsid w:val="00291400"/>
    <w:rsid w:val="00294D8F"/>
    <w:rsid w:val="002B3CEA"/>
    <w:rsid w:val="002D48D2"/>
    <w:rsid w:val="002E560F"/>
    <w:rsid w:val="002E7572"/>
    <w:rsid w:val="002F55D3"/>
    <w:rsid w:val="003534CE"/>
    <w:rsid w:val="003567BF"/>
    <w:rsid w:val="003711AD"/>
    <w:rsid w:val="00372A79"/>
    <w:rsid w:val="00380B79"/>
    <w:rsid w:val="00392455"/>
    <w:rsid w:val="003A0809"/>
    <w:rsid w:val="003B49DA"/>
    <w:rsid w:val="003B6B7F"/>
    <w:rsid w:val="003E6331"/>
    <w:rsid w:val="004023E1"/>
    <w:rsid w:val="00406951"/>
    <w:rsid w:val="004156FD"/>
    <w:rsid w:val="00415C79"/>
    <w:rsid w:val="00423100"/>
    <w:rsid w:val="00424093"/>
    <w:rsid w:val="00426CC0"/>
    <w:rsid w:val="00440F54"/>
    <w:rsid w:val="004439BD"/>
    <w:rsid w:val="004545A5"/>
    <w:rsid w:val="00464146"/>
    <w:rsid w:val="00464982"/>
    <w:rsid w:val="00471F45"/>
    <w:rsid w:val="004733F1"/>
    <w:rsid w:val="004948FC"/>
    <w:rsid w:val="004A191F"/>
    <w:rsid w:val="004A2FD0"/>
    <w:rsid w:val="004A62D8"/>
    <w:rsid w:val="004B76B8"/>
    <w:rsid w:val="004B7E82"/>
    <w:rsid w:val="004C0981"/>
    <w:rsid w:val="004C5B34"/>
    <w:rsid w:val="004C6605"/>
    <w:rsid w:val="004E7EB3"/>
    <w:rsid w:val="005009DF"/>
    <w:rsid w:val="00542B2D"/>
    <w:rsid w:val="0055531D"/>
    <w:rsid w:val="0055588F"/>
    <w:rsid w:val="00563AFC"/>
    <w:rsid w:val="00566C1D"/>
    <w:rsid w:val="00567981"/>
    <w:rsid w:val="005817BF"/>
    <w:rsid w:val="00584F92"/>
    <w:rsid w:val="00593D4F"/>
    <w:rsid w:val="005A0DBF"/>
    <w:rsid w:val="005A4DD9"/>
    <w:rsid w:val="005A5639"/>
    <w:rsid w:val="005B3CF6"/>
    <w:rsid w:val="005C09F8"/>
    <w:rsid w:val="005C64F6"/>
    <w:rsid w:val="005D080C"/>
    <w:rsid w:val="0060467E"/>
    <w:rsid w:val="00604A06"/>
    <w:rsid w:val="00605CE2"/>
    <w:rsid w:val="0061237B"/>
    <w:rsid w:val="00616C19"/>
    <w:rsid w:val="006269A0"/>
    <w:rsid w:val="0063123C"/>
    <w:rsid w:val="006647D8"/>
    <w:rsid w:val="006701D2"/>
    <w:rsid w:val="00672D94"/>
    <w:rsid w:val="006746D2"/>
    <w:rsid w:val="006754AE"/>
    <w:rsid w:val="006868A9"/>
    <w:rsid w:val="00691E3E"/>
    <w:rsid w:val="00693E3B"/>
    <w:rsid w:val="006A0B80"/>
    <w:rsid w:val="006A223B"/>
    <w:rsid w:val="006B63B0"/>
    <w:rsid w:val="006C3790"/>
    <w:rsid w:val="006D62CC"/>
    <w:rsid w:val="006E3573"/>
    <w:rsid w:val="00712153"/>
    <w:rsid w:val="00717A2E"/>
    <w:rsid w:val="007421E8"/>
    <w:rsid w:val="00760B5F"/>
    <w:rsid w:val="00762D59"/>
    <w:rsid w:val="00763452"/>
    <w:rsid w:val="007670B5"/>
    <w:rsid w:val="00767DFC"/>
    <w:rsid w:val="00772762"/>
    <w:rsid w:val="00780D5D"/>
    <w:rsid w:val="00782302"/>
    <w:rsid w:val="007853C8"/>
    <w:rsid w:val="00786E38"/>
    <w:rsid w:val="007879AB"/>
    <w:rsid w:val="0079142B"/>
    <w:rsid w:val="007A6FE2"/>
    <w:rsid w:val="007B416E"/>
    <w:rsid w:val="007B7880"/>
    <w:rsid w:val="007D2A52"/>
    <w:rsid w:val="0080687B"/>
    <w:rsid w:val="008340C3"/>
    <w:rsid w:val="0084463F"/>
    <w:rsid w:val="0085752A"/>
    <w:rsid w:val="00862CD7"/>
    <w:rsid w:val="00863AB3"/>
    <w:rsid w:val="00870B0D"/>
    <w:rsid w:val="008824CD"/>
    <w:rsid w:val="0089306B"/>
    <w:rsid w:val="00894F8D"/>
    <w:rsid w:val="008A16AB"/>
    <w:rsid w:val="008A20B9"/>
    <w:rsid w:val="008B345B"/>
    <w:rsid w:val="008B380C"/>
    <w:rsid w:val="008D4793"/>
    <w:rsid w:val="008D4E13"/>
    <w:rsid w:val="008D558A"/>
    <w:rsid w:val="008E0828"/>
    <w:rsid w:val="008F2B00"/>
    <w:rsid w:val="00914CE9"/>
    <w:rsid w:val="00917C1B"/>
    <w:rsid w:val="0092080C"/>
    <w:rsid w:val="00924371"/>
    <w:rsid w:val="0093200F"/>
    <w:rsid w:val="00950478"/>
    <w:rsid w:val="00951D9C"/>
    <w:rsid w:val="0096353D"/>
    <w:rsid w:val="009660FE"/>
    <w:rsid w:val="009712E1"/>
    <w:rsid w:val="00993A5D"/>
    <w:rsid w:val="00995DDB"/>
    <w:rsid w:val="009A3814"/>
    <w:rsid w:val="009B4AC9"/>
    <w:rsid w:val="009B75B9"/>
    <w:rsid w:val="009C06F7"/>
    <w:rsid w:val="009E0154"/>
    <w:rsid w:val="009E1669"/>
    <w:rsid w:val="009E5E24"/>
    <w:rsid w:val="009F0268"/>
    <w:rsid w:val="009F55D1"/>
    <w:rsid w:val="00A26DE4"/>
    <w:rsid w:val="00A303A0"/>
    <w:rsid w:val="00A30C3E"/>
    <w:rsid w:val="00A45B1E"/>
    <w:rsid w:val="00A55F3A"/>
    <w:rsid w:val="00A564C3"/>
    <w:rsid w:val="00A65C0E"/>
    <w:rsid w:val="00A66B12"/>
    <w:rsid w:val="00A67D3F"/>
    <w:rsid w:val="00A7552D"/>
    <w:rsid w:val="00A774B7"/>
    <w:rsid w:val="00A85131"/>
    <w:rsid w:val="00A95AD6"/>
    <w:rsid w:val="00A95D1D"/>
    <w:rsid w:val="00AA60BA"/>
    <w:rsid w:val="00AB27CF"/>
    <w:rsid w:val="00AB5488"/>
    <w:rsid w:val="00AD081C"/>
    <w:rsid w:val="00AE5AD3"/>
    <w:rsid w:val="00B033F2"/>
    <w:rsid w:val="00B32397"/>
    <w:rsid w:val="00B33027"/>
    <w:rsid w:val="00B50D56"/>
    <w:rsid w:val="00B5258C"/>
    <w:rsid w:val="00B54104"/>
    <w:rsid w:val="00B70E13"/>
    <w:rsid w:val="00B75251"/>
    <w:rsid w:val="00B75CB7"/>
    <w:rsid w:val="00BB4C30"/>
    <w:rsid w:val="00BD2EE3"/>
    <w:rsid w:val="00BE512B"/>
    <w:rsid w:val="00BE7C06"/>
    <w:rsid w:val="00BF4C78"/>
    <w:rsid w:val="00BF6167"/>
    <w:rsid w:val="00C00DC8"/>
    <w:rsid w:val="00C10272"/>
    <w:rsid w:val="00C10D33"/>
    <w:rsid w:val="00C21EBD"/>
    <w:rsid w:val="00C63230"/>
    <w:rsid w:val="00C75786"/>
    <w:rsid w:val="00C8457E"/>
    <w:rsid w:val="00CB1DD6"/>
    <w:rsid w:val="00CB49BA"/>
    <w:rsid w:val="00CB5E00"/>
    <w:rsid w:val="00CF1D0D"/>
    <w:rsid w:val="00CF1D8E"/>
    <w:rsid w:val="00CF4A34"/>
    <w:rsid w:val="00D13877"/>
    <w:rsid w:val="00D32802"/>
    <w:rsid w:val="00D60985"/>
    <w:rsid w:val="00D7765D"/>
    <w:rsid w:val="00D82F8E"/>
    <w:rsid w:val="00D857B3"/>
    <w:rsid w:val="00D913F9"/>
    <w:rsid w:val="00DA213A"/>
    <w:rsid w:val="00DA40A9"/>
    <w:rsid w:val="00DA5FEE"/>
    <w:rsid w:val="00DB1CEC"/>
    <w:rsid w:val="00DB3FBF"/>
    <w:rsid w:val="00DD18D5"/>
    <w:rsid w:val="00DE051E"/>
    <w:rsid w:val="00E02385"/>
    <w:rsid w:val="00E05F9E"/>
    <w:rsid w:val="00E4321A"/>
    <w:rsid w:val="00E452C7"/>
    <w:rsid w:val="00E5541F"/>
    <w:rsid w:val="00E973F4"/>
    <w:rsid w:val="00EA6183"/>
    <w:rsid w:val="00EA695D"/>
    <w:rsid w:val="00EB781D"/>
    <w:rsid w:val="00EB7BCD"/>
    <w:rsid w:val="00EE5FDD"/>
    <w:rsid w:val="00EF587E"/>
    <w:rsid w:val="00EF5AE7"/>
    <w:rsid w:val="00EF6C80"/>
    <w:rsid w:val="00EF77F8"/>
    <w:rsid w:val="00F04449"/>
    <w:rsid w:val="00F33C8C"/>
    <w:rsid w:val="00F453DB"/>
    <w:rsid w:val="00F60E23"/>
    <w:rsid w:val="00F66322"/>
    <w:rsid w:val="00F77C91"/>
    <w:rsid w:val="00F86F64"/>
    <w:rsid w:val="00FA06E0"/>
    <w:rsid w:val="00FA3DD8"/>
    <w:rsid w:val="00FA5974"/>
    <w:rsid w:val="00FD4BDE"/>
    <w:rsid w:val="00FE61D9"/>
    <w:rsid w:val="00FE78CA"/>
    <w:rsid w:val="00FF0A5C"/>
    <w:rsid w:val="00FF44CF"/>
    <w:rsid w:val="06E650E3"/>
    <w:rsid w:val="1FDEDE4F"/>
    <w:rsid w:val="21321E9D"/>
    <w:rsid w:val="27848CE8"/>
    <w:rsid w:val="2CC6D6E1"/>
    <w:rsid w:val="2E3206C5"/>
    <w:rsid w:val="2E792AB4"/>
    <w:rsid w:val="31DFD3B4"/>
    <w:rsid w:val="34BFEE3E"/>
    <w:rsid w:val="3781DBE9"/>
    <w:rsid w:val="4B9DEDCA"/>
    <w:rsid w:val="5F20CF34"/>
    <w:rsid w:val="6FBA8531"/>
    <w:rsid w:val="71F19472"/>
    <w:rsid w:val="7827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pacing w:after="200" w:line="276" w:lineRule="auto"/>
      <w:textAlignment w:val="auto"/>
    </w:pPr>
    <w:rPr>
      <w:rFonts w:ascii="Calibri" w:eastAsia="Calibri" w:hAnsi="Calibri" w:cs="Times New Roman"/>
      <w:kern w:val="0"/>
      <w:sz w:val="22"/>
      <w:szCs w:val="22"/>
      <w:lang w:val="en-GB" w:eastAsia="en-US" w:bidi="ar-SA"/>
    </w:rPr>
  </w:style>
  <w:style w:type="paragraph" w:styleId="Heading1">
    <w:name w:val="heading 1"/>
    <w:basedOn w:val="Heading"/>
    <w:next w:val="Textbody"/>
    <w:pPr>
      <w:outlineLvl w:val="0"/>
    </w:pPr>
    <w:rPr>
      <w:rFonts w:eastAsia="SimSun"/>
      <w:b/>
      <w:bCs w:val="0"/>
      <w:sz w:val="48"/>
      <w:szCs w:val="48"/>
    </w:rPr>
  </w:style>
  <w:style w:type="paragraph" w:styleId="Heading2">
    <w:name w:val="heading 2"/>
    <w:basedOn w:val="Normal"/>
    <w:next w:val="Normal"/>
    <w:pPr>
      <w:keepNext/>
      <w:keepLines/>
      <w:suppressAutoHyphens/>
      <w:spacing w:before="200" w:after="0"/>
      <w:outlineLvl w:val="1"/>
    </w:pPr>
    <w:rPr>
      <w:rFonts w:ascii="Cambria" w:eastAsia="Times New Roman" w:hAnsi="Cambria"/>
      <w:b/>
      <w:bCs/>
      <w:lang w:val="en-US"/>
    </w:rPr>
  </w:style>
  <w:style w:type="paragraph" w:styleId="Heading3">
    <w:name w:val="heading 3"/>
    <w:basedOn w:val="Normal"/>
    <w:next w:val="Normal"/>
    <w:link w:val="Heading3Char"/>
    <w:uiPriority w:val="9"/>
    <w:semiHidden/>
    <w:unhideWhenUsed/>
    <w:qFormat/>
    <w:rsid w:val="00AA60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0981"/>
    <w:pPr>
      <w:suppressAutoHyphens/>
      <w:spacing w:before="113" w:after="113" w:line="360" w:lineRule="auto"/>
      <w:ind w:firstLine="284"/>
      <w:jc w:val="both"/>
    </w:pPr>
    <w:rPr>
      <w:rFonts w:cs="Times New Roman"/>
      <w:bCs/>
      <w:color w:val="000000"/>
      <w:shd w:val="clear" w:color="auto" w:fill="FFFFFF"/>
      <w:lang w:val="en-US"/>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before="0"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spacing w:before="85" w:after="85"/>
      <w:textAlignment w:val="auto"/>
    </w:pPr>
    <w:rPr>
      <w:rFonts w:ascii="Book Antiqua" w:hAnsi="Book Antiqua"/>
      <w:sz w:val="20"/>
      <w:szCs w:val="20"/>
    </w:rPr>
  </w:style>
  <w:style w:type="paragraph" w:styleId="FootnoteText">
    <w:name w:val="footnote text"/>
    <w:aliases w:val="Footnote Text Char1,Footnote Text Char Char,Footnote1 Char Char,Footnote Text Char2 Char Char,Footnote Text Char Char Char Char,Footnote Text Char1 Char Char Char Char,Footnote Text Char Char Char Char Char Char,Footnote1"/>
    <w:basedOn w:val="Normal"/>
    <w:autoRedefine/>
    <w:uiPriority w:val="99"/>
    <w:rsid w:val="009E5E24"/>
    <w:pPr>
      <w:suppressAutoHyphens/>
      <w:spacing w:after="0"/>
      <w:ind w:left="284"/>
      <w:contextualSpacing/>
    </w:pPr>
    <w:rPr>
      <w:rFonts w:asciiTheme="minorHAnsi" w:hAnsiTheme="minorHAnsi"/>
      <w:sz w:val="16"/>
      <w:szCs w:val="16"/>
    </w:rPr>
  </w:style>
  <w:style w:type="paragraph" w:styleId="Quote">
    <w:name w:val="Quote"/>
    <w:basedOn w:val="Normal"/>
    <w:next w:val="Normal"/>
    <w:pPr>
      <w:suppressAutoHyphens/>
    </w:pPr>
    <w:rPr>
      <w:i/>
      <w:iCs/>
      <w:color w:val="000000"/>
      <w:szCs w:val="21"/>
    </w:rPr>
  </w:style>
  <w:style w:type="paragraph" w:styleId="BodyText">
    <w:name w:val="Body Text"/>
    <w:basedOn w:val="Normal"/>
    <w:pPr>
      <w:suppressAutoHyphens/>
      <w:jc w:val="both"/>
    </w:pPr>
  </w:style>
  <w:style w:type="paragraph" w:styleId="Header">
    <w:name w:val="header"/>
    <w:basedOn w:val="Normal"/>
    <w:pPr>
      <w:tabs>
        <w:tab w:val="center" w:pos="4513"/>
        <w:tab w:val="right" w:pos="9026"/>
      </w:tabs>
      <w:suppressAutoHyphens/>
    </w:pPr>
    <w:rPr>
      <w:szCs w:val="21"/>
    </w:rPr>
  </w:style>
  <w:style w:type="paragraph" w:styleId="Footer">
    <w:name w:val="footer"/>
    <w:basedOn w:val="Normal"/>
    <w:uiPriority w:val="99"/>
    <w:pPr>
      <w:tabs>
        <w:tab w:val="center" w:pos="4513"/>
        <w:tab w:val="right" w:pos="9026"/>
      </w:tabs>
      <w:suppressAutoHyphens/>
    </w:pPr>
    <w:rPr>
      <w:szCs w:val="21"/>
    </w:rPr>
  </w:style>
  <w:style w:type="character" w:customStyle="1" w:styleId="Carpredefinitoparagrafo">
    <w:name w:val="Car. predefinito paragrafo"/>
    <w:rPr>
      <w:rFonts w:ascii="Arial" w:hAnsi="Arial" w:cs="Arial"/>
      <w:lang w:val="en-U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Rimandonotaapidipagina">
    <w:name w:val="Rimando nota a piè di pagina"/>
    <w:basedOn w:val="Carpredefinitoparagrafo"/>
    <w:rPr>
      <w:rFonts w:ascii="Arial" w:hAnsi="Arial" w:cs="Arial"/>
      <w:position w:val="0"/>
      <w:vertAlign w:val="superscript"/>
      <w:lang w:val="en-US"/>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FootnoteReference">
    <w:name w:val="footnote reference"/>
    <w:basedOn w:val="DefaultParagraphFont"/>
    <w:uiPriority w:val="99"/>
    <w:rPr>
      <w:position w:val="0"/>
      <w:vertAlign w:val="superscript"/>
    </w:rPr>
  </w:style>
  <w:style w:type="character" w:styleId="Emphasis">
    <w:name w:val="Emphasis"/>
    <w:basedOn w:val="DefaultParagraphFont"/>
    <w:uiPriority w:val="20"/>
    <w:qFormat/>
    <w:rPr>
      <w:i/>
      <w:iCs/>
    </w:rPr>
  </w:style>
  <w:style w:type="character" w:customStyle="1" w:styleId="FootnoteTextChar">
    <w:name w:val="Footnote Text Char"/>
    <w:aliases w:val="Footnote Text Char1 Char,Footnote Text Char Char Char,Footnote1 Char Char Char,Footnote Text Char2 Char Char Char,Footnote Text Char Char Char Char Char,Footnote Text Char1 Char Char Char Char Char,Footnote1 Char"/>
    <w:basedOn w:val="DefaultParagraphFont"/>
    <w:uiPriority w:val="99"/>
    <w:rPr>
      <w:sz w:val="20"/>
      <w:szCs w:val="18"/>
    </w:rPr>
  </w:style>
  <w:style w:type="character" w:customStyle="1" w:styleId="Heading2Char">
    <w:name w:val="Heading 2 Char"/>
    <w:basedOn w:val="DefaultParagraphFont"/>
    <w:rPr>
      <w:rFonts w:ascii="Cambria" w:eastAsia="Times New Roman" w:hAnsi="Cambria"/>
      <w:b/>
      <w:bCs/>
      <w:lang w:val="en-US"/>
    </w:rPr>
  </w:style>
  <w:style w:type="character" w:customStyle="1" w:styleId="QuoteChar">
    <w:name w:val="Quote Char"/>
    <w:basedOn w:val="DefaultParagraphFont"/>
    <w:rPr>
      <w:i/>
      <w:iCs/>
      <w:color w:val="000000"/>
      <w:szCs w:val="21"/>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BodyTextChar">
    <w:name w:val="Body Text Char"/>
    <w:basedOn w:val="DefaultParagraphFont"/>
  </w:style>
  <w:style w:type="character" w:customStyle="1" w:styleId="HeaderChar">
    <w:name w:val="Header Char"/>
    <w:basedOn w:val="DefaultParagraphFont"/>
    <w:rPr>
      <w:szCs w:val="21"/>
    </w:rPr>
  </w:style>
  <w:style w:type="character" w:customStyle="1" w:styleId="FooterChar">
    <w:name w:val="Footer Char"/>
    <w:basedOn w:val="DefaultParagraphFont"/>
    <w:uiPriority w:val="99"/>
    <w:rPr>
      <w:szCs w:val="21"/>
    </w:rPr>
  </w:style>
  <w:style w:type="character" w:customStyle="1" w:styleId="italic">
    <w:name w:val="italic"/>
    <w:basedOn w:val="DefaultParagraphFont"/>
  </w:style>
  <w:style w:type="paragraph" w:styleId="Subtitle">
    <w:name w:val="Subtitle"/>
    <w:basedOn w:val="Normal"/>
    <w:next w:val="Normal"/>
    <w:rPr>
      <w:rFonts w:ascii="Cambria" w:eastAsia="Times New Roman" w:hAnsi="Cambria"/>
      <w:i/>
      <w:iCs/>
      <w:color w:val="4F81BD"/>
      <w:spacing w:val="15"/>
      <w:sz w:val="24"/>
      <w:szCs w:val="24"/>
    </w:rPr>
  </w:style>
  <w:style w:type="character" w:customStyle="1" w:styleId="SubtitleChar">
    <w:name w:val="Subtitle Char"/>
    <w:basedOn w:val="DefaultParagraphFont"/>
    <w:rPr>
      <w:rFonts w:ascii="Cambria" w:eastAsia="Times New Roman" w:hAnsi="Cambria" w:cs="Times New Roman"/>
      <w:i/>
      <w:iCs/>
      <w:color w:val="4F81BD"/>
      <w:spacing w:val="15"/>
      <w:kern w:val="0"/>
      <w:lang w:val="en-GB" w:eastAsia="en-US" w:bidi="ar-SA"/>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kern w:val="0"/>
      <w:sz w:val="20"/>
      <w:szCs w:val="20"/>
      <w:lang w:val="en-GB" w:eastAsia="en-US" w:bidi="ar-SA"/>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kern w:val="0"/>
      <w:sz w:val="20"/>
      <w:szCs w:val="20"/>
      <w:lang w:val="en-GB" w:eastAsia="en-US" w:bidi="ar-SA"/>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kern w:val="0"/>
      <w:sz w:val="16"/>
      <w:szCs w:val="16"/>
      <w:lang w:val="en-GB" w:eastAsia="en-US" w:bidi="ar-SA"/>
    </w:rPr>
  </w:style>
  <w:style w:type="paragraph" w:styleId="Revision">
    <w:name w:val="Revision"/>
    <w:hidden/>
    <w:uiPriority w:val="99"/>
    <w:semiHidden/>
    <w:rsid w:val="00CB1DD6"/>
    <w:pPr>
      <w:widowControl/>
      <w:autoSpaceDN/>
      <w:textAlignment w:val="auto"/>
    </w:pPr>
    <w:rPr>
      <w:rFonts w:ascii="Calibri" w:eastAsia="Calibri" w:hAnsi="Calibri" w:cs="Times New Roman"/>
      <w:kern w:val="0"/>
      <w:sz w:val="22"/>
      <w:szCs w:val="22"/>
      <w:lang w:val="en-GB" w:eastAsia="en-US" w:bidi="ar-SA"/>
    </w:rPr>
  </w:style>
  <w:style w:type="table" w:styleId="TableGrid">
    <w:name w:val="Table Grid"/>
    <w:basedOn w:val="TableNormal"/>
    <w:uiPriority w:val="59"/>
    <w:rsid w:val="00171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26DE4"/>
  </w:style>
  <w:style w:type="character" w:customStyle="1" w:styleId="Heading3Char">
    <w:name w:val="Heading 3 Char"/>
    <w:basedOn w:val="DefaultParagraphFont"/>
    <w:link w:val="Heading3"/>
    <w:uiPriority w:val="9"/>
    <w:semiHidden/>
    <w:rsid w:val="00AA60BA"/>
    <w:rPr>
      <w:rFonts w:asciiTheme="majorHAnsi" w:eastAsiaTheme="majorEastAsia" w:hAnsiTheme="majorHAnsi" w:cstheme="majorBidi"/>
      <w:b/>
      <w:bCs/>
      <w:color w:val="4F81BD" w:themeColor="accent1"/>
      <w:kern w:val="0"/>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pacing w:after="200" w:line="276" w:lineRule="auto"/>
      <w:textAlignment w:val="auto"/>
    </w:pPr>
    <w:rPr>
      <w:rFonts w:ascii="Calibri" w:eastAsia="Calibri" w:hAnsi="Calibri" w:cs="Times New Roman"/>
      <w:kern w:val="0"/>
      <w:sz w:val="22"/>
      <w:szCs w:val="22"/>
      <w:lang w:val="en-GB" w:eastAsia="en-US" w:bidi="ar-SA"/>
    </w:rPr>
  </w:style>
  <w:style w:type="paragraph" w:styleId="Heading1">
    <w:name w:val="heading 1"/>
    <w:basedOn w:val="Heading"/>
    <w:next w:val="Textbody"/>
    <w:pPr>
      <w:outlineLvl w:val="0"/>
    </w:pPr>
    <w:rPr>
      <w:rFonts w:eastAsia="SimSun"/>
      <w:b/>
      <w:bCs w:val="0"/>
      <w:sz w:val="48"/>
      <w:szCs w:val="48"/>
    </w:rPr>
  </w:style>
  <w:style w:type="paragraph" w:styleId="Heading2">
    <w:name w:val="heading 2"/>
    <w:basedOn w:val="Normal"/>
    <w:next w:val="Normal"/>
    <w:pPr>
      <w:keepNext/>
      <w:keepLines/>
      <w:suppressAutoHyphens/>
      <w:spacing w:before="200" w:after="0"/>
      <w:outlineLvl w:val="1"/>
    </w:pPr>
    <w:rPr>
      <w:rFonts w:ascii="Cambria" w:eastAsia="Times New Roman" w:hAnsi="Cambria"/>
      <w:b/>
      <w:bCs/>
      <w:lang w:val="en-US"/>
    </w:rPr>
  </w:style>
  <w:style w:type="paragraph" w:styleId="Heading3">
    <w:name w:val="heading 3"/>
    <w:basedOn w:val="Normal"/>
    <w:next w:val="Normal"/>
    <w:link w:val="Heading3Char"/>
    <w:uiPriority w:val="9"/>
    <w:semiHidden/>
    <w:unhideWhenUsed/>
    <w:qFormat/>
    <w:rsid w:val="00AA60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0981"/>
    <w:pPr>
      <w:suppressAutoHyphens/>
      <w:spacing w:before="113" w:after="113" w:line="360" w:lineRule="auto"/>
      <w:ind w:firstLine="284"/>
      <w:jc w:val="both"/>
    </w:pPr>
    <w:rPr>
      <w:rFonts w:cs="Times New Roman"/>
      <w:bCs/>
      <w:color w:val="000000"/>
      <w:shd w:val="clear" w:color="auto" w:fill="FFFFFF"/>
      <w:lang w:val="en-US"/>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before="0"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spacing w:before="85" w:after="85"/>
      <w:textAlignment w:val="auto"/>
    </w:pPr>
    <w:rPr>
      <w:rFonts w:ascii="Book Antiqua" w:hAnsi="Book Antiqua"/>
      <w:sz w:val="20"/>
      <w:szCs w:val="20"/>
    </w:rPr>
  </w:style>
  <w:style w:type="paragraph" w:styleId="FootnoteText">
    <w:name w:val="footnote text"/>
    <w:aliases w:val="Footnote Text Char1,Footnote Text Char Char,Footnote1 Char Char,Footnote Text Char2 Char Char,Footnote Text Char Char Char Char,Footnote Text Char1 Char Char Char Char,Footnote Text Char Char Char Char Char Char,Footnote1"/>
    <w:basedOn w:val="Normal"/>
    <w:autoRedefine/>
    <w:uiPriority w:val="99"/>
    <w:rsid w:val="009E5E24"/>
    <w:pPr>
      <w:suppressAutoHyphens/>
      <w:spacing w:after="0"/>
      <w:ind w:left="284"/>
      <w:contextualSpacing/>
    </w:pPr>
    <w:rPr>
      <w:rFonts w:asciiTheme="minorHAnsi" w:hAnsiTheme="minorHAnsi"/>
      <w:sz w:val="16"/>
      <w:szCs w:val="16"/>
    </w:rPr>
  </w:style>
  <w:style w:type="paragraph" w:styleId="Quote">
    <w:name w:val="Quote"/>
    <w:basedOn w:val="Normal"/>
    <w:next w:val="Normal"/>
    <w:pPr>
      <w:suppressAutoHyphens/>
    </w:pPr>
    <w:rPr>
      <w:i/>
      <w:iCs/>
      <w:color w:val="000000"/>
      <w:szCs w:val="21"/>
    </w:rPr>
  </w:style>
  <w:style w:type="paragraph" w:styleId="BodyText">
    <w:name w:val="Body Text"/>
    <w:basedOn w:val="Normal"/>
    <w:pPr>
      <w:suppressAutoHyphens/>
      <w:jc w:val="both"/>
    </w:pPr>
  </w:style>
  <w:style w:type="paragraph" w:styleId="Header">
    <w:name w:val="header"/>
    <w:basedOn w:val="Normal"/>
    <w:pPr>
      <w:tabs>
        <w:tab w:val="center" w:pos="4513"/>
        <w:tab w:val="right" w:pos="9026"/>
      </w:tabs>
      <w:suppressAutoHyphens/>
    </w:pPr>
    <w:rPr>
      <w:szCs w:val="21"/>
    </w:rPr>
  </w:style>
  <w:style w:type="paragraph" w:styleId="Footer">
    <w:name w:val="footer"/>
    <w:basedOn w:val="Normal"/>
    <w:uiPriority w:val="99"/>
    <w:pPr>
      <w:tabs>
        <w:tab w:val="center" w:pos="4513"/>
        <w:tab w:val="right" w:pos="9026"/>
      </w:tabs>
      <w:suppressAutoHyphens/>
    </w:pPr>
    <w:rPr>
      <w:szCs w:val="21"/>
    </w:rPr>
  </w:style>
  <w:style w:type="character" w:customStyle="1" w:styleId="Carpredefinitoparagrafo">
    <w:name w:val="Car. predefinito paragrafo"/>
    <w:rPr>
      <w:rFonts w:ascii="Arial" w:hAnsi="Arial" w:cs="Arial"/>
      <w:lang w:val="en-U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Rimandonotaapidipagina">
    <w:name w:val="Rimando nota a piè di pagina"/>
    <w:basedOn w:val="Carpredefinitoparagrafo"/>
    <w:rPr>
      <w:rFonts w:ascii="Arial" w:hAnsi="Arial" w:cs="Arial"/>
      <w:position w:val="0"/>
      <w:vertAlign w:val="superscript"/>
      <w:lang w:val="en-US"/>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FootnoteReference">
    <w:name w:val="footnote reference"/>
    <w:basedOn w:val="DefaultParagraphFont"/>
    <w:uiPriority w:val="99"/>
    <w:rPr>
      <w:position w:val="0"/>
      <w:vertAlign w:val="superscript"/>
    </w:rPr>
  </w:style>
  <w:style w:type="character" w:styleId="Emphasis">
    <w:name w:val="Emphasis"/>
    <w:basedOn w:val="DefaultParagraphFont"/>
    <w:uiPriority w:val="20"/>
    <w:qFormat/>
    <w:rPr>
      <w:i/>
      <w:iCs/>
    </w:rPr>
  </w:style>
  <w:style w:type="character" w:customStyle="1" w:styleId="FootnoteTextChar">
    <w:name w:val="Footnote Text Char"/>
    <w:aliases w:val="Footnote Text Char1 Char,Footnote Text Char Char Char,Footnote1 Char Char Char,Footnote Text Char2 Char Char Char,Footnote Text Char Char Char Char Char,Footnote Text Char1 Char Char Char Char Char,Footnote1 Char"/>
    <w:basedOn w:val="DefaultParagraphFont"/>
    <w:uiPriority w:val="99"/>
    <w:rPr>
      <w:sz w:val="20"/>
      <w:szCs w:val="18"/>
    </w:rPr>
  </w:style>
  <w:style w:type="character" w:customStyle="1" w:styleId="Heading2Char">
    <w:name w:val="Heading 2 Char"/>
    <w:basedOn w:val="DefaultParagraphFont"/>
    <w:rPr>
      <w:rFonts w:ascii="Cambria" w:eastAsia="Times New Roman" w:hAnsi="Cambria"/>
      <w:b/>
      <w:bCs/>
      <w:lang w:val="en-US"/>
    </w:rPr>
  </w:style>
  <w:style w:type="character" w:customStyle="1" w:styleId="QuoteChar">
    <w:name w:val="Quote Char"/>
    <w:basedOn w:val="DefaultParagraphFont"/>
    <w:rPr>
      <w:i/>
      <w:iCs/>
      <w:color w:val="000000"/>
      <w:szCs w:val="21"/>
    </w:rPr>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BodyTextChar">
    <w:name w:val="Body Text Char"/>
    <w:basedOn w:val="DefaultParagraphFont"/>
  </w:style>
  <w:style w:type="character" w:customStyle="1" w:styleId="HeaderChar">
    <w:name w:val="Header Char"/>
    <w:basedOn w:val="DefaultParagraphFont"/>
    <w:rPr>
      <w:szCs w:val="21"/>
    </w:rPr>
  </w:style>
  <w:style w:type="character" w:customStyle="1" w:styleId="FooterChar">
    <w:name w:val="Footer Char"/>
    <w:basedOn w:val="DefaultParagraphFont"/>
    <w:uiPriority w:val="99"/>
    <w:rPr>
      <w:szCs w:val="21"/>
    </w:rPr>
  </w:style>
  <w:style w:type="character" w:customStyle="1" w:styleId="italic">
    <w:name w:val="italic"/>
    <w:basedOn w:val="DefaultParagraphFont"/>
  </w:style>
  <w:style w:type="paragraph" w:styleId="Subtitle">
    <w:name w:val="Subtitle"/>
    <w:basedOn w:val="Normal"/>
    <w:next w:val="Normal"/>
    <w:rPr>
      <w:rFonts w:ascii="Cambria" w:eastAsia="Times New Roman" w:hAnsi="Cambria"/>
      <w:i/>
      <w:iCs/>
      <w:color w:val="4F81BD"/>
      <w:spacing w:val="15"/>
      <w:sz w:val="24"/>
      <w:szCs w:val="24"/>
    </w:rPr>
  </w:style>
  <w:style w:type="character" w:customStyle="1" w:styleId="SubtitleChar">
    <w:name w:val="Subtitle Char"/>
    <w:basedOn w:val="DefaultParagraphFont"/>
    <w:rPr>
      <w:rFonts w:ascii="Cambria" w:eastAsia="Times New Roman" w:hAnsi="Cambria" w:cs="Times New Roman"/>
      <w:i/>
      <w:iCs/>
      <w:color w:val="4F81BD"/>
      <w:spacing w:val="15"/>
      <w:kern w:val="0"/>
      <w:lang w:val="en-GB" w:eastAsia="en-US" w:bidi="ar-SA"/>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kern w:val="0"/>
      <w:sz w:val="20"/>
      <w:szCs w:val="20"/>
      <w:lang w:val="en-GB" w:eastAsia="en-US" w:bidi="ar-SA"/>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kern w:val="0"/>
      <w:sz w:val="20"/>
      <w:szCs w:val="20"/>
      <w:lang w:val="en-GB" w:eastAsia="en-US" w:bidi="ar-SA"/>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kern w:val="0"/>
      <w:sz w:val="16"/>
      <w:szCs w:val="16"/>
      <w:lang w:val="en-GB" w:eastAsia="en-US" w:bidi="ar-SA"/>
    </w:rPr>
  </w:style>
  <w:style w:type="paragraph" w:styleId="Revision">
    <w:name w:val="Revision"/>
    <w:hidden/>
    <w:uiPriority w:val="99"/>
    <w:semiHidden/>
    <w:rsid w:val="00CB1DD6"/>
    <w:pPr>
      <w:widowControl/>
      <w:autoSpaceDN/>
      <w:textAlignment w:val="auto"/>
    </w:pPr>
    <w:rPr>
      <w:rFonts w:ascii="Calibri" w:eastAsia="Calibri" w:hAnsi="Calibri" w:cs="Times New Roman"/>
      <w:kern w:val="0"/>
      <w:sz w:val="22"/>
      <w:szCs w:val="22"/>
      <w:lang w:val="en-GB" w:eastAsia="en-US" w:bidi="ar-SA"/>
    </w:rPr>
  </w:style>
  <w:style w:type="table" w:styleId="TableGrid">
    <w:name w:val="Table Grid"/>
    <w:basedOn w:val="TableNormal"/>
    <w:uiPriority w:val="59"/>
    <w:rsid w:val="00171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26DE4"/>
  </w:style>
  <w:style w:type="character" w:customStyle="1" w:styleId="Heading3Char">
    <w:name w:val="Heading 3 Char"/>
    <w:basedOn w:val="DefaultParagraphFont"/>
    <w:link w:val="Heading3"/>
    <w:uiPriority w:val="9"/>
    <w:semiHidden/>
    <w:rsid w:val="00AA60BA"/>
    <w:rPr>
      <w:rFonts w:asciiTheme="majorHAnsi" w:eastAsiaTheme="majorEastAsia" w:hAnsiTheme="majorHAnsi" w:cstheme="majorBidi"/>
      <w:b/>
      <w:bCs/>
      <w:color w:val="4F81BD" w:themeColor="accent1"/>
      <w:kern w:val="0"/>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8516">
      <w:bodyDiv w:val="1"/>
      <w:marLeft w:val="0"/>
      <w:marRight w:val="0"/>
      <w:marTop w:val="0"/>
      <w:marBottom w:val="0"/>
      <w:divBdr>
        <w:top w:val="none" w:sz="0" w:space="0" w:color="auto"/>
        <w:left w:val="none" w:sz="0" w:space="0" w:color="auto"/>
        <w:bottom w:val="none" w:sz="0" w:space="0" w:color="auto"/>
        <w:right w:val="none" w:sz="0" w:space="0" w:color="auto"/>
      </w:divBdr>
    </w:div>
    <w:div w:id="510489588">
      <w:bodyDiv w:val="1"/>
      <w:marLeft w:val="0"/>
      <w:marRight w:val="0"/>
      <w:marTop w:val="0"/>
      <w:marBottom w:val="0"/>
      <w:divBdr>
        <w:top w:val="none" w:sz="0" w:space="0" w:color="auto"/>
        <w:left w:val="none" w:sz="0" w:space="0" w:color="auto"/>
        <w:bottom w:val="none" w:sz="0" w:space="0" w:color="auto"/>
        <w:right w:val="none" w:sz="0" w:space="0" w:color="auto"/>
      </w:divBdr>
    </w:div>
    <w:div w:id="797721430">
      <w:bodyDiv w:val="1"/>
      <w:marLeft w:val="0"/>
      <w:marRight w:val="0"/>
      <w:marTop w:val="0"/>
      <w:marBottom w:val="0"/>
      <w:divBdr>
        <w:top w:val="none" w:sz="0" w:space="0" w:color="auto"/>
        <w:left w:val="none" w:sz="0" w:space="0" w:color="auto"/>
        <w:bottom w:val="none" w:sz="0" w:space="0" w:color="auto"/>
        <w:right w:val="none" w:sz="0" w:space="0" w:color="auto"/>
      </w:divBdr>
    </w:div>
    <w:div w:id="1044910904">
      <w:bodyDiv w:val="1"/>
      <w:marLeft w:val="0"/>
      <w:marRight w:val="0"/>
      <w:marTop w:val="0"/>
      <w:marBottom w:val="0"/>
      <w:divBdr>
        <w:top w:val="none" w:sz="0" w:space="0" w:color="auto"/>
        <w:left w:val="none" w:sz="0" w:space="0" w:color="auto"/>
        <w:bottom w:val="none" w:sz="0" w:space="0" w:color="auto"/>
        <w:right w:val="none" w:sz="0" w:space="0" w:color="auto"/>
      </w:divBdr>
    </w:div>
    <w:div w:id="1264996237">
      <w:bodyDiv w:val="1"/>
      <w:marLeft w:val="0"/>
      <w:marRight w:val="0"/>
      <w:marTop w:val="0"/>
      <w:marBottom w:val="0"/>
      <w:divBdr>
        <w:top w:val="none" w:sz="0" w:space="0" w:color="auto"/>
        <w:left w:val="none" w:sz="0" w:space="0" w:color="auto"/>
        <w:bottom w:val="none" w:sz="0" w:space="0" w:color="auto"/>
        <w:right w:val="none" w:sz="0" w:space="0" w:color="auto"/>
      </w:divBdr>
      <w:divsChild>
        <w:div w:id="800000590">
          <w:marLeft w:val="0"/>
          <w:marRight w:val="0"/>
          <w:marTop w:val="0"/>
          <w:marBottom w:val="0"/>
          <w:divBdr>
            <w:top w:val="none" w:sz="0" w:space="0" w:color="auto"/>
            <w:left w:val="none" w:sz="0" w:space="0" w:color="auto"/>
            <w:bottom w:val="none" w:sz="0" w:space="0" w:color="auto"/>
            <w:right w:val="none" w:sz="0" w:space="0" w:color="auto"/>
          </w:divBdr>
        </w:div>
        <w:div w:id="1534423591">
          <w:marLeft w:val="0"/>
          <w:marRight w:val="0"/>
          <w:marTop w:val="0"/>
          <w:marBottom w:val="0"/>
          <w:divBdr>
            <w:top w:val="none" w:sz="0" w:space="0" w:color="auto"/>
            <w:left w:val="none" w:sz="0" w:space="0" w:color="auto"/>
            <w:bottom w:val="none" w:sz="0" w:space="0" w:color="auto"/>
            <w:right w:val="none" w:sz="0" w:space="0" w:color="auto"/>
          </w:divBdr>
        </w:div>
        <w:div w:id="2091583028">
          <w:marLeft w:val="0"/>
          <w:marRight w:val="0"/>
          <w:marTop w:val="0"/>
          <w:marBottom w:val="0"/>
          <w:divBdr>
            <w:top w:val="none" w:sz="0" w:space="0" w:color="auto"/>
            <w:left w:val="none" w:sz="0" w:space="0" w:color="auto"/>
            <w:bottom w:val="none" w:sz="0" w:space="0" w:color="auto"/>
            <w:right w:val="none" w:sz="0" w:space="0" w:color="auto"/>
          </w:divBdr>
        </w:div>
        <w:div w:id="2024472685">
          <w:marLeft w:val="0"/>
          <w:marRight w:val="0"/>
          <w:marTop w:val="0"/>
          <w:marBottom w:val="0"/>
          <w:divBdr>
            <w:top w:val="none" w:sz="0" w:space="0" w:color="auto"/>
            <w:left w:val="none" w:sz="0" w:space="0" w:color="auto"/>
            <w:bottom w:val="none" w:sz="0" w:space="0" w:color="auto"/>
            <w:right w:val="none" w:sz="0" w:space="0" w:color="auto"/>
          </w:divBdr>
        </w:div>
        <w:div w:id="1874534164">
          <w:marLeft w:val="0"/>
          <w:marRight w:val="0"/>
          <w:marTop w:val="0"/>
          <w:marBottom w:val="0"/>
          <w:divBdr>
            <w:top w:val="none" w:sz="0" w:space="0" w:color="auto"/>
            <w:left w:val="none" w:sz="0" w:space="0" w:color="auto"/>
            <w:bottom w:val="none" w:sz="0" w:space="0" w:color="auto"/>
            <w:right w:val="none" w:sz="0" w:space="0" w:color="auto"/>
          </w:divBdr>
        </w:div>
      </w:divsChild>
    </w:div>
    <w:div w:id="1591233219">
      <w:bodyDiv w:val="1"/>
      <w:marLeft w:val="0"/>
      <w:marRight w:val="0"/>
      <w:marTop w:val="0"/>
      <w:marBottom w:val="0"/>
      <w:divBdr>
        <w:top w:val="none" w:sz="0" w:space="0" w:color="auto"/>
        <w:left w:val="none" w:sz="0" w:space="0" w:color="auto"/>
        <w:bottom w:val="none" w:sz="0" w:space="0" w:color="auto"/>
        <w:right w:val="none" w:sz="0" w:space="0" w:color="auto"/>
      </w:divBdr>
    </w:div>
    <w:div w:id="1750955286">
      <w:bodyDiv w:val="1"/>
      <w:marLeft w:val="0"/>
      <w:marRight w:val="0"/>
      <w:marTop w:val="0"/>
      <w:marBottom w:val="0"/>
      <w:divBdr>
        <w:top w:val="none" w:sz="0" w:space="0" w:color="auto"/>
        <w:left w:val="none" w:sz="0" w:space="0" w:color="auto"/>
        <w:bottom w:val="none" w:sz="0" w:space="0" w:color="auto"/>
        <w:right w:val="none" w:sz="0" w:space="0" w:color="auto"/>
      </w:divBdr>
      <w:divsChild>
        <w:div w:id="522519107">
          <w:marLeft w:val="0"/>
          <w:marRight w:val="0"/>
          <w:marTop w:val="0"/>
          <w:marBottom w:val="0"/>
          <w:divBdr>
            <w:top w:val="none" w:sz="0" w:space="0" w:color="auto"/>
            <w:left w:val="none" w:sz="0" w:space="0" w:color="auto"/>
            <w:bottom w:val="none" w:sz="0" w:space="0" w:color="auto"/>
            <w:right w:val="none" w:sz="0" w:space="0" w:color="auto"/>
          </w:divBdr>
          <w:divsChild>
            <w:div w:id="873083541">
              <w:marLeft w:val="0"/>
              <w:marRight w:val="0"/>
              <w:marTop w:val="0"/>
              <w:marBottom w:val="0"/>
              <w:divBdr>
                <w:top w:val="none" w:sz="0" w:space="0" w:color="auto"/>
                <w:left w:val="none" w:sz="0" w:space="0" w:color="auto"/>
                <w:bottom w:val="none" w:sz="0" w:space="0" w:color="auto"/>
                <w:right w:val="none" w:sz="0" w:space="0" w:color="auto"/>
              </w:divBdr>
              <w:divsChild>
                <w:div w:id="13379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774">
          <w:marLeft w:val="0"/>
          <w:marRight w:val="0"/>
          <w:marTop w:val="0"/>
          <w:marBottom w:val="0"/>
          <w:divBdr>
            <w:top w:val="none" w:sz="0" w:space="0" w:color="auto"/>
            <w:left w:val="none" w:sz="0" w:space="0" w:color="auto"/>
            <w:bottom w:val="none" w:sz="0" w:space="0" w:color="auto"/>
            <w:right w:val="none" w:sz="0" w:space="0" w:color="auto"/>
          </w:divBdr>
          <w:divsChild>
            <w:div w:id="1353335282">
              <w:marLeft w:val="0"/>
              <w:marRight w:val="0"/>
              <w:marTop w:val="0"/>
              <w:marBottom w:val="0"/>
              <w:divBdr>
                <w:top w:val="none" w:sz="0" w:space="0" w:color="auto"/>
                <w:left w:val="none" w:sz="0" w:space="0" w:color="auto"/>
                <w:bottom w:val="none" w:sz="0" w:space="0" w:color="auto"/>
                <w:right w:val="none" w:sz="0" w:space="0" w:color="auto"/>
              </w:divBdr>
              <w:divsChild>
                <w:div w:id="15383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8651">
          <w:marLeft w:val="0"/>
          <w:marRight w:val="0"/>
          <w:marTop w:val="0"/>
          <w:marBottom w:val="0"/>
          <w:divBdr>
            <w:top w:val="none" w:sz="0" w:space="0" w:color="auto"/>
            <w:left w:val="none" w:sz="0" w:space="0" w:color="auto"/>
            <w:bottom w:val="none" w:sz="0" w:space="0" w:color="auto"/>
            <w:right w:val="none" w:sz="0" w:space="0" w:color="auto"/>
          </w:divBdr>
          <w:divsChild>
            <w:div w:id="923761814">
              <w:marLeft w:val="0"/>
              <w:marRight w:val="0"/>
              <w:marTop w:val="0"/>
              <w:marBottom w:val="0"/>
              <w:divBdr>
                <w:top w:val="none" w:sz="0" w:space="0" w:color="auto"/>
                <w:left w:val="none" w:sz="0" w:space="0" w:color="auto"/>
                <w:bottom w:val="none" w:sz="0" w:space="0" w:color="auto"/>
                <w:right w:val="none" w:sz="0" w:space="0" w:color="auto"/>
              </w:divBdr>
              <w:divsChild>
                <w:div w:id="4539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2737-EB75-473C-8608-145EAD25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6389</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2014-05-15T02:48:00Z</dcterms:created>
  <dcterms:modified xsi:type="dcterms:W3CDTF">2014-05-15T02:48:00Z</dcterms:modified>
</cp:coreProperties>
</file>