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76F28" w14:textId="77777777" w:rsidR="006F064A" w:rsidRPr="00BB5F0B" w:rsidRDefault="00BB5F0B" w:rsidP="00BB5F0B">
      <w:pPr>
        <w:jc w:val="center"/>
        <w:rPr>
          <w:b/>
          <w:sz w:val="24"/>
          <w:szCs w:val="24"/>
        </w:rPr>
      </w:pPr>
      <w:r w:rsidRPr="00BB5F0B">
        <w:rPr>
          <w:b/>
          <w:sz w:val="24"/>
          <w:szCs w:val="24"/>
        </w:rPr>
        <w:t>Predicting</w:t>
      </w:r>
      <w:r w:rsidR="006227CA" w:rsidRPr="00BB5F0B">
        <w:rPr>
          <w:b/>
          <w:sz w:val="24"/>
          <w:szCs w:val="24"/>
        </w:rPr>
        <w:t xml:space="preserve"> the failure of timber bridges by using current inspection report</w:t>
      </w:r>
      <w:r w:rsidRPr="00BB5F0B">
        <w:rPr>
          <w:b/>
          <w:sz w:val="24"/>
          <w:szCs w:val="24"/>
        </w:rPr>
        <w:t>s</w:t>
      </w:r>
    </w:p>
    <w:p w14:paraId="214042C0" w14:textId="4C1618DC" w:rsidR="00B72DC7" w:rsidRPr="00D33238" w:rsidRDefault="00B72DC7" w:rsidP="00B72DC7">
      <w:pPr>
        <w:spacing w:before="52"/>
        <w:ind w:left="834" w:right="832"/>
        <w:jc w:val="center"/>
        <w:rPr>
          <w:szCs w:val="24"/>
        </w:rPr>
      </w:pPr>
      <w:r w:rsidRPr="00D33238">
        <w:rPr>
          <w:szCs w:val="24"/>
        </w:rPr>
        <w:t>Weena Lokuge</w:t>
      </w:r>
      <w:r w:rsidRPr="00D33238">
        <w:rPr>
          <w:szCs w:val="24"/>
          <w:vertAlign w:val="superscript"/>
        </w:rPr>
        <w:t>a</w:t>
      </w:r>
      <w:r w:rsidR="00906E43">
        <w:rPr>
          <w:szCs w:val="24"/>
          <w:vertAlign w:val="superscript"/>
        </w:rPr>
        <w:t>*</w:t>
      </w:r>
      <w:r w:rsidRPr="00D33238">
        <w:rPr>
          <w:szCs w:val="24"/>
        </w:rPr>
        <w:t>, Matthew Wilson</w:t>
      </w:r>
      <w:r w:rsidRPr="00D33238">
        <w:rPr>
          <w:szCs w:val="24"/>
          <w:vertAlign w:val="superscript"/>
        </w:rPr>
        <w:t>b</w:t>
      </w:r>
      <w:r w:rsidRPr="00D33238">
        <w:rPr>
          <w:szCs w:val="24"/>
        </w:rPr>
        <w:t>, Huu Tran</w:t>
      </w:r>
      <w:r w:rsidRPr="00D33238">
        <w:rPr>
          <w:szCs w:val="24"/>
          <w:vertAlign w:val="superscript"/>
        </w:rPr>
        <w:t>c</w:t>
      </w:r>
      <w:r w:rsidRPr="00D33238">
        <w:rPr>
          <w:szCs w:val="24"/>
        </w:rPr>
        <w:t>, Sujeeva Setunge</w:t>
      </w:r>
      <w:r w:rsidRPr="00D33238">
        <w:rPr>
          <w:szCs w:val="24"/>
          <w:vertAlign w:val="superscript"/>
        </w:rPr>
        <w:t>d</w:t>
      </w:r>
    </w:p>
    <w:p w14:paraId="394D84E9" w14:textId="06C4900F" w:rsidR="00B72DC7" w:rsidRDefault="00B72DC7" w:rsidP="00B72DC7">
      <w:pPr>
        <w:spacing w:before="52"/>
        <w:ind w:left="834" w:right="832"/>
        <w:jc w:val="center"/>
        <w:rPr>
          <w:szCs w:val="24"/>
        </w:rPr>
      </w:pPr>
      <w:r w:rsidRPr="00D33238">
        <w:rPr>
          <w:szCs w:val="24"/>
          <w:vertAlign w:val="superscript"/>
        </w:rPr>
        <w:t xml:space="preserve">a </w:t>
      </w:r>
      <w:r w:rsidRPr="00D33238">
        <w:rPr>
          <w:szCs w:val="24"/>
        </w:rPr>
        <w:t xml:space="preserve">Senior Lecturer, </w:t>
      </w:r>
      <w:r w:rsidRPr="00D33238">
        <w:rPr>
          <w:szCs w:val="24"/>
          <w:vertAlign w:val="superscript"/>
        </w:rPr>
        <w:t xml:space="preserve">b </w:t>
      </w:r>
      <w:r w:rsidRPr="00D33238">
        <w:rPr>
          <w:szCs w:val="24"/>
        </w:rPr>
        <w:t>Honours Student, Centre for Future Materials, School of Civil Engineering and Surveying, University of Southern Queensland, Springfield, QLD 4300</w:t>
      </w:r>
    </w:p>
    <w:p w14:paraId="3DD744A6" w14:textId="59790248" w:rsidR="00906E43" w:rsidRPr="00D33238" w:rsidRDefault="00906E43" w:rsidP="00B72DC7">
      <w:pPr>
        <w:spacing w:before="52"/>
        <w:ind w:left="834" w:right="832"/>
        <w:jc w:val="center"/>
        <w:rPr>
          <w:szCs w:val="24"/>
        </w:rPr>
      </w:pPr>
      <w:r>
        <w:rPr>
          <w:szCs w:val="24"/>
        </w:rPr>
        <w:t xml:space="preserve">(*Corresponding author: </w:t>
      </w:r>
      <w:r w:rsidRPr="00906E43">
        <w:rPr>
          <w:szCs w:val="24"/>
        </w:rPr>
        <w:t xml:space="preserve">Tel.: </w:t>
      </w:r>
      <w:r>
        <w:rPr>
          <w:szCs w:val="24"/>
        </w:rPr>
        <w:t>07</w:t>
      </w:r>
      <w:r w:rsidRPr="00906E43">
        <w:rPr>
          <w:szCs w:val="24"/>
        </w:rPr>
        <w:t xml:space="preserve"> </w:t>
      </w:r>
      <w:r>
        <w:rPr>
          <w:szCs w:val="24"/>
        </w:rPr>
        <w:t>3470 4477</w:t>
      </w:r>
      <w:r w:rsidRPr="00906E43">
        <w:rPr>
          <w:szCs w:val="24"/>
        </w:rPr>
        <w:t xml:space="preserve">; E-mail: </w:t>
      </w:r>
      <w:r>
        <w:rPr>
          <w:szCs w:val="24"/>
        </w:rPr>
        <w:t>Weena.lokuge@usq</w:t>
      </w:r>
      <w:bookmarkStart w:id="0" w:name="_GoBack"/>
      <w:bookmarkEnd w:id="0"/>
      <w:r w:rsidRPr="00906E43">
        <w:rPr>
          <w:szCs w:val="24"/>
        </w:rPr>
        <w:t>.edu.au</w:t>
      </w:r>
    </w:p>
    <w:p w14:paraId="6DF0AB38" w14:textId="77777777" w:rsidR="00B72DC7" w:rsidRPr="00D33238" w:rsidRDefault="00B72DC7" w:rsidP="00B72DC7">
      <w:pPr>
        <w:spacing w:before="52"/>
        <w:ind w:left="834" w:right="832"/>
        <w:jc w:val="center"/>
        <w:rPr>
          <w:szCs w:val="24"/>
        </w:rPr>
      </w:pPr>
      <w:r w:rsidRPr="00D33238">
        <w:rPr>
          <w:szCs w:val="24"/>
          <w:vertAlign w:val="superscript"/>
        </w:rPr>
        <w:t xml:space="preserve">c </w:t>
      </w:r>
      <w:r w:rsidRPr="00D33238">
        <w:rPr>
          <w:szCs w:val="24"/>
        </w:rPr>
        <w:t xml:space="preserve">Research Fellow, </w:t>
      </w:r>
      <w:r w:rsidRPr="00D33238">
        <w:rPr>
          <w:szCs w:val="24"/>
          <w:vertAlign w:val="superscript"/>
        </w:rPr>
        <w:t xml:space="preserve">d </w:t>
      </w:r>
      <w:r w:rsidRPr="00D33238">
        <w:rPr>
          <w:szCs w:val="24"/>
        </w:rPr>
        <w:t>Professor</w:t>
      </w:r>
      <w:r>
        <w:rPr>
          <w:szCs w:val="24"/>
        </w:rPr>
        <w:t>,</w:t>
      </w:r>
      <w:r w:rsidRPr="00D33238">
        <w:rPr>
          <w:szCs w:val="24"/>
        </w:rPr>
        <w:t xml:space="preserve"> School of Engineering, RMIT University, Melbourne, VIC 3001</w:t>
      </w:r>
    </w:p>
    <w:p w14:paraId="44E5759C" w14:textId="77777777" w:rsidR="006F064A" w:rsidRDefault="006F064A" w:rsidP="006F064A"/>
    <w:p w14:paraId="31DDBBA9" w14:textId="77777777" w:rsidR="00BB5F0B" w:rsidRPr="00B71198" w:rsidRDefault="006F064A" w:rsidP="005E70A1">
      <w:pPr>
        <w:spacing w:before="240" w:after="120"/>
        <w:rPr>
          <w:b/>
        </w:rPr>
      </w:pPr>
      <w:r w:rsidRPr="00B71198">
        <w:rPr>
          <w:b/>
        </w:rPr>
        <w:t xml:space="preserve">Abstract </w:t>
      </w:r>
    </w:p>
    <w:p w14:paraId="22752201" w14:textId="47F3083C" w:rsidR="001C749A" w:rsidRDefault="001C749A" w:rsidP="001C749A">
      <w:r>
        <w:t xml:space="preserve">There </w:t>
      </w:r>
      <w:r w:rsidR="00AB67AB">
        <w:t xml:space="preserve">is a large </w:t>
      </w:r>
      <w:r>
        <w:t>timber bridge</w:t>
      </w:r>
      <w:r w:rsidR="00AB67AB">
        <w:t xml:space="preserve"> stock</w:t>
      </w:r>
      <w:r>
        <w:t xml:space="preserve"> in service within Australia and </w:t>
      </w:r>
      <w:r w:rsidR="00AB67AB">
        <w:t xml:space="preserve">currently </w:t>
      </w:r>
      <w:r>
        <w:t xml:space="preserve">over 300 </w:t>
      </w:r>
      <w:r w:rsidR="00AB67AB">
        <w:t xml:space="preserve">timber bridges </w:t>
      </w:r>
      <w:r>
        <w:t xml:space="preserve">on Queensland state controlled roads. Majority of these timber bridges are in the latter half of their service life and require constant maintenance as the timber components deteriorate over time. Detailed level 2 inspections are </w:t>
      </w:r>
      <w:r w:rsidR="00B71198">
        <w:t>performed</w:t>
      </w:r>
      <w:r>
        <w:t xml:space="preserve"> as part of the </w:t>
      </w:r>
      <w:r w:rsidR="00B71198">
        <w:t>bridge management systems used by road authorities</w:t>
      </w:r>
      <w:r>
        <w:t>. This paper discusses a simple method to use an inspection report to predict the chance of the failure of the bridge in a given number of years. Although the Markov process adopted in this research was based on inspection reports for several timber bridges for three time periods, it can further be refined using a data base of inspections</w:t>
      </w:r>
      <w:r w:rsidR="00B71198">
        <w:t xml:space="preserve"> for many time periods</w:t>
      </w:r>
      <w:r w:rsidR="000A6129">
        <w:t xml:space="preserve"> and environmental conditions</w:t>
      </w:r>
      <w:r>
        <w:t>. The proposed method is demonstrated using an inspection report for a hypothetical timber bridge.</w:t>
      </w:r>
    </w:p>
    <w:p w14:paraId="02A65184" w14:textId="77777777" w:rsidR="006F064A" w:rsidRPr="00EC7AE4" w:rsidRDefault="006F064A" w:rsidP="005E70A1">
      <w:pPr>
        <w:spacing w:before="240" w:after="120"/>
        <w:rPr>
          <w:b/>
        </w:rPr>
      </w:pPr>
      <w:r w:rsidRPr="00EC7AE4">
        <w:rPr>
          <w:b/>
        </w:rPr>
        <w:t>Introduction</w:t>
      </w:r>
    </w:p>
    <w:p w14:paraId="4191DD91" w14:textId="6A93FA90" w:rsidR="006F064A" w:rsidRDefault="006E742C" w:rsidP="006F064A">
      <w:r>
        <w:t xml:space="preserve">There is a significant number of timber bridges still in service in the road and rail network of Australia. </w:t>
      </w:r>
      <w:r w:rsidR="006F064A">
        <w:t xml:space="preserve">Timber bridges </w:t>
      </w:r>
      <w:r w:rsidR="00131231">
        <w:t>a</w:t>
      </w:r>
      <w:r w:rsidR="006F064A">
        <w:t xml:space="preserve">re relatively </w:t>
      </w:r>
      <w:r>
        <w:t xml:space="preserve">economical in terms of the associated costs as well as the </w:t>
      </w:r>
      <w:r w:rsidR="00131231">
        <w:t xml:space="preserve">construction time </w:t>
      </w:r>
      <w:r w:rsidR="00CB1086">
        <w:fldChar w:fldCharType="begin"/>
      </w:r>
      <w:r w:rsidR="00920909">
        <w:instrText xml:space="preserve"> ADDIN EN.CITE &lt;EndNote&gt;&lt;Cite&gt;&lt;Author&gt;Crawford&lt;/Author&gt;&lt;Year&gt;2014&lt;/Year&gt;&lt;RecNum&gt;112&lt;/RecNum&gt;&lt;DisplayText&gt;(Crawford 2014)&lt;/DisplayText&gt;&lt;record&gt;&lt;rec-number&gt;112&lt;/rec-number&gt;&lt;foreign-keys&gt;&lt;key app="EN" db-id="e5sde22ps9zdspe9evnpfrfoxa5xdrv9vpr0" timestamp="1503717076"&gt;112&lt;/key&gt;&lt;/foreign-keys&gt;&lt;ref-type name="Conference Proceedings"&gt;10&lt;/ref-type&gt;&lt;contributors&gt;&lt;authors&gt;&lt;author&gt;Crawford, SK&lt;/author&gt;&lt;/authors&gt;&lt;/contributors&gt;&lt;titles&gt;&lt;title&gt;Timber Bridge Management: Past, Present and Future&lt;/title&gt;&lt;secondary-title&gt;Engineering and Technology Forum&lt;/secondary-title&gt;&lt;/titles&gt;&lt;dates&gt;&lt;year&gt;2014&lt;/year&gt;&lt;/dates&gt;&lt;pub-location&gt;TMR&lt;/pub-location&gt;&lt;urls&gt;&lt;/urls&gt;&lt;/record&gt;&lt;/Cite&gt;&lt;/EndNote&gt;</w:instrText>
      </w:r>
      <w:r w:rsidR="00CB1086">
        <w:fldChar w:fldCharType="separate"/>
      </w:r>
      <w:r w:rsidR="00920909">
        <w:rPr>
          <w:noProof/>
        </w:rPr>
        <w:t>(Crawford 2014)</w:t>
      </w:r>
      <w:r w:rsidR="00CB1086">
        <w:fldChar w:fldCharType="end"/>
      </w:r>
      <w:r w:rsidR="006F064A">
        <w:t xml:space="preserve">, which allowed for the rapid expansion of Australia’s nascent road and rail net-works. </w:t>
      </w:r>
      <w:r w:rsidR="00920909">
        <w:t xml:space="preserve">The </w:t>
      </w:r>
      <w:r w:rsidR="00307232">
        <w:t>short-term</w:t>
      </w:r>
      <w:r w:rsidR="00920909">
        <w:t xml:space="preserve"> benefits of timber such as low cost, availability and ease of </w:t>
      </w:r>
      <w:r w:rsidR="00307232">
        <w:t>construction</w:t>
      </w:r>
      <w:r w:rsidR="00920909">
        <w:t xml:space="preserve"> were the dominant factors influencing early decision makers. It is important to recognize the contribution provided by timber bridges in the rapid social and economic expansion of Australia. </w:t>
      </w:r>
      <w:r w:rsidR="006F064A">
        <w:t xml:space="preserve">However, timber bridges have a shorter design life than </w:t>
      </w:r>
      <w:r w:rsidR="00920909">
        <w:t>concrete or steel bridges</w:t>
      </w:r>
      <w:r w:rsidR="00307232">
        <w:t>, and re</w:t>
      </w:r>
      <w:r w:rsidR="006F064A">
        <w:t xml:space="preserve">quire more in-service maintenance. </w:t>
      </w:r>
      <w:r w:rsidR="00920909">
        <w:t>They</w:t>
      </w:r>
      <w:r w:rsidR="006F064A">
        <w:t xml:space="preserve"> were never intended to handle present day traffic volumes and loads. However, the popularity of timber in the past has left behind a legacy of ongoing maintenance, rehabilitation and eventual replacement of Australia’s timber</w:t>
      </w:r>
      <w:r w:rsidR="00920909">
        <w:t xml:space="preserve"> bridge stock</w:t>
      </w:r>
      <w:r w:rsidR="009F051D">
        <w:t xml:space="preserve"> assets </w:t>
      </w:r>
      <w:r w:rsidR="00037A93">
        <w:fldChar w:fldCharType="begin"/>
      </w:r>
      <w:r w:rsidR="00037A93">
        <w:instrText xml:space="preserve"> ADDIN EN.CITE &lt;EndNote&gt;&lt;Cite&gt;&lt;Author&gt;Ranjith&lt;/Author&gt;&lt;Year&gt;2013&lt;/Year&gt;&lt;RecNum&gt;34&lt;/RecNum&gt;&lt;DisplayText&gt;(Ranjith, Setunge et al. 2013)&lt;/DisplayText&gt;&lt;record&gt;&lt;rec-number&gt;34&lt;/rec-number&gt;&lt;foreign-keys&gt;&lt;key app="EN" db-id="9ffxp2xv35prrxevef2xvxdw0590wtr20e9t" timestamp="1452749534"&gt;34&lt;/key&gt;&lt;/foreign-keys&gt;&lt;ref-type name="Journal Article"&gt;17&lt;/ref-type&gt;&lt;contributors&gt;&lt;authors&gt;&lt;author&gt;Ranjith, S., &lt;/author&gt;&lt;author&gt;Setunge, S., &lt;/author&gt;&lt;author&gt;Gravina, R., &lt;/author&gt;&lt;author&gt;Venkatesan, S.&lt;/author&gt;&lt;/authors&gt;&lt;/contributors&gt;&lt;titles&gt;&lt;title&gt;Deterioration Prediction of Timber Bridge Elements Using the Markov Chain&lt;/title&gt;&lt;secondary-title&gt;Journal of Performance of Constructed Facilities&lt;/secondary-title&gt;&lt;/titles&gt;&lt;periodical&gt;&lt;full-title&gt;Journal of Performance of Constructed Facilities&lt;/full-title&gt;&lt;/periodical&gt;&lt;pages&gt;319-325&lt;/pages&gt;&lt;volume&gt;27&lt;/volume&gt;&lt;number&gt;3&lt;/number&gt;&lt;dates&gt;&lt;year&gt;2013&lt;/year&gt;&lt;/dates&gt;&lt;urls&gt;&lt;/urls&gt;&lt;/record&gt;&lt;/Cite&gt;&lt;/EndNote&gt;</w:instrText>
      </w:r>
      <w:r w:rsidR="00037A93">
        <w:fldChar w:fldCharType="separate"/>
      </w:r>
      <w:r w:rsidR="00037A93">
        <w:rPr>
          <w:noProof/>
        </w:rPr>
        <w:t>(Ranjith, Setunge et al. 2013)</w:t>
      </w:r>
      <w:r w:rsidR="00037A93">
        <w:fldChar w:fldCharType="end"/>
      </w:r>
      <w:r w:rsidR="009F051D">
        <w:t>.</w:t>
      </w:r>
      <w:r w:rsidR="00920909">
        <w:t xml:space="preserve"> Slow rates of re</w:t>
      </w:r>
      <w:r w:rsidR="006F064A">
        <w:t>placement mean there will be a requirement to keep timber bridges in service for decades to come. This requirement is a huge chal</w:t>
      </w:r>
      <w:r w:rsidR="00920909">
        <w:t>lenge to transportation authori</w:t>
      </w:r>
      <w:r w:rsidR="006F064A">
        <w:t>ties, who need to minimize the cost of inspecting and maintaining timber bridges, while planning future rehabilitation and replacement programs.</w:t>
      </w:r>
    </w:p>
    <w:p w14:paraId="13EDC864" w14:textId="77777777" w:rsidR="00B96736" w:rsidRDefault="006F064A" w:rsidP="00B96736">
      <w:r>
        <w:lastRenderedPageBreak/>
        <w:t xml:space="preserve">In </w:t>
      </w:r>
      <w:r w:rsidR="001C6C56">
        <w:t>2005,</w:t>
      </w:r>
      <w:r>
        <w:t xml:space="preserve"> there were approximately 500 timber bridges in services on state con-trolled roads in Queensland. The mean age of timber bridges </w:t>
      </w:r>
      <w:r w:rsidR="003A36CA">
        <w:t>is</w:t>
      </w:r>
      <w:r>
        <w:t xml:space="preserve"> approximately 60 years and at current rates of replacement, some of these bridges will need to remain in service for the next 30 to 40 years. All timber truss-type bridges have been removed from service on the Queensland state controlled road network. The remaining timber bridges are mostly timber girder bridges </w:t>
      </w:r>
      <w:r w:rsidR="00BA4B4C">
        <w:t xml:space="preserve">which </w:t>
      </w:r>
      <w:r>
        <w:t xml:space="preserve">typically include timber piles, headstocks, corbels, girders and decks, although sometimes steel or concrete components are substituted. </w:t>
      </w:r>
      <w:r w:rsidR="00B96736" w:rsidRPr="00B96736">
        <w:t>Early diagnosis of possible deterioration scenarios will be useful for formulating an effective asset management strategy. Thus, infrastructure managers from many road authorities and councils across Australia need predictive deterioration models for condition assessment to optimize the repair and maintenance management process over the life cycle of a given timber bridge.</w:t>
      </w:r>
      <w:r w:rsidR="00B96736">
        <w:t xml:space="preserve"> </w:t>
      </w:r>
    </w:p>
    <w:p w14:paraId="242D5E1A" w14:textId="4A005462" w:rsidR="00037A93" w:rsidRDefault="00037A93" w:rsidP="00B96736">
      <w:r w:rsidRPr="00037A93">
        <w:t xml:space="preserve">This </w:t>
      </w:r>
      <w:r w:rsidR="00B96736">
        <w:t>paper outlines</w:t>
      </w:r>
      <w:r w:rsidRPr="00037A93">
        <w:t xml:space="preserve"> the condition-based reliability analysis to provide the predicted probability of future conditions for key components of timber </w:t>
      </w:r>
      <w:r w:rsidRPr="00037A93">
        <w:t>bridges</w:t>
      </w:r>
      <w:r w:rsidR="00062626">
        <w:t>. The reliability analysis is based on the use of discrete Markov chain process for modelling the deteriorated condition change of timber bridge components</w:t>
      </w:r>
      <w:r w:rsidRPr="00037A93">
        <w:t xml:space="preserve">. The predicted probability of future failure </w:t>
      </w:r>
      <w:r w:rsidRPr="00037A93">
        <w:t xml:space="preserve">of the timber bridge is then </w:t>
      </w:r>
      <w:r w:rsidR="00B96736">
        <w:t>evaluated by using</w:t>
      </w:r>
      <w:r w:rsidRPr="00037A93">
        <w:t xml:space="preserve"> a fault tree analysis on timber bridge components and their predicted probabilities</w:t>
      </w:r>
      <w:r w:rsidR="00B96736">
        <w:t xml:space="preserve"> </w:t>
      </w:r>
      <w:r w:rsidR="00B96736">
        <w:fldChar w:fldCharType="begin"/>
      </w:r>
      <w:r w:rsidR="00B96736">
        <w:instrText xml:space="preserve"> ADDIN EN.CITE &lt;EndNote&gt;&lt;Cite&gt;&lt;Author&gt;Lokuge&lt;/Author&gt;&lt;Year&gt;2016&lt;/Year&gt;&lt;RecNum&gt;164&lt;/RecNum&gt;&lt;DisplayText&gt;(Lokuge, Gamage et al. 2016)&lt;/DisplayText&gt;&lt;record&gt;&lt;rec-number&gt;164&lt;/rec-number&gt;&lt;foreign-keys&gt;&lt;key app="EN" db-id="9ffxp2xv35prrxevef2xvxdw0590wtr20e9t" timestamp="1487835128"&gt;164&lt;/key&gt;&lt;/foreign-keys&gt;&lt;ref-type name="Journal Article"&gt;17&lt;/ref-type&gt;&lt;contributors&gt;&lt;authors&gt;&lt;author&gt;Lokuge, W&lt;/author&gt;&lt;author&gt;Gamage, N.&lt;/author&gt;&lt;author&gt;Sujeeva Setunge&lt;/author&gt;&lt;/authors&gt;&lt;/contributors&gt;&lt;titles&gt;&lt;title&gt;Fault tree analysis method for deterioration of timber bridges using an Australian case study&lt;/title&gt;&lt;secondary-title&gt;Build Environment Project and Management&lt;/secondary-title&gt;&lt;/titles&gt;&lt;periodical&gt;&lt;full-title&gt;Build Environment Project and Management&lt;/full-title&gt;&lt;/periodical&gt;&lt;pages&gt;332 – 344&lt;/pages&gt;&lt;volume&gt;6&lt;/volume&gt;&lt;number&gt;3&lt;/number&gt;&lt;dates&gt;&lt;year&gt;2016&lt;/year&gt;&lt;/dates&gt;&lt;urls&gt;&lt;/urls&gt;&lt;/record&gt;&lt;/Cite&gt;&lt;/EndNote&gt;</w:instrText>
      </w:r>
      <w:r w:rsidR="00B96736">
        <w:fldChar w:fldCharType="separate"/>
      </w:r>
      <w:r w:rsidR="00B96736">
        <w:rPr>
          <w:noProof/>
        </w:rPr>
        <w:t>(Lokuge, Gamage et al. 2016)</w:t>
      </w:r>
      <w:r w:rsidR="00B96736">
        <w:fldChar w:fldCharType="end"/>
      </w:r>
      <w:r w:rsidRPr="00037A93">
        <w:t xml:space="preserve">. The outcomes of this study can help focusing routine inspection and maintenance on timber bridge components with high likelihood of failure and help conducting risk assessment for network of timber bridges. </w:t>
      </w:r>
    </w:p>
    <w:p w14:paraId="7B7FC0A4" w14:textId="77777777" w:rsidR="00F56A33" w:rsidRPr="00B96736" w:rsidRDefault="00F56A33" w:rsidP="005E70A1">
      <w:pPr>
        <w:keepNext/>
        <w:keepLines/>
        <w:spacing w:before="240" w:after="120"/>
        <w:outlineLvl w:val="0"/>
        <w:rPr>
          <w:rFonts w:asciiTheme="majorHAnsi" w:eastAsiaTheme="majorEastAsia" w:hAnsiTheme="majorHAnsi" w:cstheme="majorBidi"/>
          <w:b/>
          <w:sz w:val="24"/>
          <w:szCs w:val="24"/>
        </w:rPr>
      </w:pPr>
      <w:r w:rsidRPr="006728CE">
        <w:rPr>
          <w:b/>
        </w:rPr>
        <w:t>Probability of failure of each element</w:t>
      </w:r>
    </w:p>
    <w:p w14:paraId="6F0E526E" w14:textId="3A9731DB" w:rsidR="00231F60" w:rsidRDefault="00F3768D" w:rsidP="00F56A33">
      <w:r>
        <w:t xml:space="preserve">Timber bridge inspection reports from a regional council were used to assess the deterioration and </w:t>
      </w:r>
      <w:r w:rsidR="00A600E7">
        <w:t xml:space="preserve">to predict the </w:t>
      </w:r>
      <w:r>
        <w:t>probability of failure of each element in the bridge.</w:t>
      </w:r>
      <w:r w:rsidR="00E66FD4">
        <w:t xml:space="preserve"> The inspection reports of timber bridges </w:t>
      </w:r>
      <w:r w:rsidR="00B41808">
        <w:t xml:space="preserve">are conducted by visual inspection and </w:t>
      </w:r>
      <w:r w:rsidR="00E66FD4">
        <w:t xml:space="preserve">provide </w:t>
      </w:r>
      <w:r w:rsidR="00B41808">
        <w:t xml:space="preserve">the </w:t>
      </w:r>
      <w:r w:rsidR="00E66FD4">
        <w:t>condition rating from 1</w:t>
      </w:r>
      <w:r w:rsidR="005C3CB4">
        <w:t xml:space="preserve"> </w:t>
      </w:r>
      <w:r w:rsidR="00B41808">
        <w:t>(best)</w:t>
      </w:r>
      <w:r w:rsidR="005C3CB4">
        <w:t xml:space="preserve"> </w:t>
      </w:r>
      <w:r w:rsidR="00062626">
        <w:t xml:space="preserve">to </w:t>
      </w:r>
      <w:r w:rsidR="00E66FD4">
        <w:t>4</w:t>
      </w:r>
      <w:r w:rsidR="005C3CB4">
        <w:t xml:space="preserve"> </w:t>
      </w:r>
      <w:r w:rsidR="00B41808">
        <w:t>(worst)</w:t>
      </w:r>
      <w:r w:rsidR="00E66FD4">
        <w:t xml:space="preserve"> for each timber element for each inspection </w:t>
      </w:r>
      <w:r w:rsidR="00062626">
        <w:t>report</w:t>
      </w:r>
      <w:r w:rsidR="00E66FD4">
        <w:t xml:space="preserve">. This is a common </w:t>
      </w:r>
      <w:r w:rsidR="00B41808">
        <w:t xml:space="preserve">cost-effective </w:t>
      </w:r>
      <w:r w:rsidR="00E66FD4">
        <w:t xml:space="preserve">practice used by bridge management agencies across Australia as per a survey </w:t>
      </w:r>
      <w:r w:rsidR="005C3CB4">
        <w:fldChar w:fldCharType="begin"/>
      </w:r>
      <w:r w:rsidR="005C3CB4">
        <w:instrText xml:space="preserve"> ADDIN EN.CITE &lt;EndNote&gt;&lt;Cite&gt;&lt;Author&gt;Sonnenberg&lt;/Author&gt;&lt;Year&gt;2014&lt;/Year&gt;&lt;RecNum&gt;175&lt;/RecNum&gt;&lt;DisplayText&gt;(Sonnenberg 2014)&lt;/DisplayText&gt;&lt;record&gt;&lt;rec-number&gt;175&lt;/rec-number&gt;&lt;foreign-keys&gt;&lt;key app="EN" db-id="9ffxp2xv35prrxevef2xvxdw0590wtr20e9t" timestamp="1503718797"&gt;175&lt;/key&gt;&lt;/foreign-keys&gt;&lt;ref-type name="Web Page"&gt;12&lt;/ref-type&gt;&lt;contributors&gt;&lt;authors&gt;&lt;author&gt;Andrew Sonnenberg&lt;/author&gt;&lt;/authors&gt;&lt;/contributors&gt;&lt;titles&gt;&lt;title&gt;Australian Bridge Inspection Processes&lt;/title&gt;&lt;/titles&gt;&lt;volume&gt;2017&lt;/volume&gt;&lt;number&gt;22 August 2017&lt;/number&gt;&lt;dates&gt;&lt;year&gt;2014&lt;/year&gt;&lt;/dates&gt;&lt;publisher&gt;Small Bridges Conference&lt;/publisher&gt;&lt;urls&gt;&lt;related-urls&gt;&lt;url&gt;&lt;style face="underline" font="default" size="100%"&gt;https://www.pittsh.com.au/cms_uploads/docs/australian-bridge-inspection-processes.pdf&lt;/style&gt;&lt;/url&gt;&lt;/related-urls&gt;&lt;/urls&gt;&lt;/record&gt;&lt;/Cite&gt;&lt;/EndNote&gt;</w:instrText>
      </w:r>
      <w:r w:rsidR="005C3CB4">
        <w:fldChar w:fldCharType="separate"/>
      </w:r>
      <w:r w:rsidR="005C3CB4">
        <w:rPr>
          <w:noProof/>
        </w:rPr>
        <w:t>(Sonnenberg 2014)</w:t>
      </w:r>
      <w:r w:rsidR="005C3CB4">
        <w:fldChar w:fldCharType="end"/>
      </w:r>
      <w:r w:rsidR="00231F60">
        <w:t xml:space="preserve">. </w:t>
      </w:r>
      <w:r w:rsidR="00E66FD4">
        <w:t xml:space="preserve">The condition rating is based on a combination of different structural defects listed in the inspection manual and thus is considered to provide an overall and snapshot condition of timber element. </w:t>
      </w:r>
      <w:r w:rsidR="00B41808">
        <w:t xml:space="preserve">However, the condition rating has not been related to the load rating of timber bridge as a whole structure, which is a very important factor for maintenance and rehabilitation decision. Furthermore, the deterioration mechanisms </w:t>
      </w:r>
      <w:r w:rsidR="00665948">
        <w:t xml:space="preserve">such as cracking and decaying </w:t>
      </w:r>
      <w:r w:rsidR="00B41808">
        <w:t xml:space="preserve">causing structural defects are not </w:t>
      </w:r>
      <w:r w:rsidR="00665948">
        <w:t>the focus of the visual inspections and condition ratings</w:t>
      </w:r>
      <w:r w:rsidR="00665948">
        <w:t>.</w:t>
      </w:r>
    </w:p>
    <w:p w14:paraId="137D33BC" w14:textId="77777777" w:rsidR="00665948" w:rsidRDefault="00365699" w:rsidP="00F56A33">
      <w:r>
        <w:t>T</w:t>
      </w:r>
      <w:r w:rsidR="00665948">
        <w:t xml:space="preserve">he interest in utilizing the inspection data and condition rating for </w:t>
      </w:r>
      <w:r w:rsidR="0037774D">
        <w:t xml:space="preserve">predicting failure probability to support </w:t>
      </w:r>
      <w:r w:rsidR="00665948">
        <w:t xml:space="preserve">the </w:t>
      </w:r>
      <w:r w:rsidR="0037774D">
        <w:t xml:space="preserve">cost-effective management strategy regarding maintenance timing and prioritised action </w:t>
      </w:r>
      <w:r w:rsidR="00665948">
        <w:t xml:space="preserve">is high among bridge agencies. In utilizing the inspection data, the notion of ‘failure’ of bridge and its element might not be an actual or imminent event but is rather used as ‘in danger’ or ‘at risk’ that requires </w:t>
      </w:r>
      <w:r w:rsidR="0037774D">
        <w:t xml:space="preserve">maintenance action. In this sense, the condition 3 or 4 can be assumed as </w:t>
      </w:r>
      <w:r w:rsidR="00062626">
        <w:t xml:space="preserve">the </w:t>
      </w:r>
      <w:r w:rsidR="0037774D">
        <w:t>failure condition.</w:t>
      </w:r>
      <w:r w:rsidR="00665948">
        <w:t xml:space="preserve"> </w:t>
      </w:r>
    </w:p>
    <w:p w14:paraId="45366AD2" w14:textId="77777777" w:rsidR="00F56A33" w:rsidRDefault="00365699" w:rsidP="00F56A33">
      <w:r>
        <w:lastRenderedPageBreak/>
        <w:t>This study is based on a collection and analysis of inspection reports for timber bri</w:t>
      </w:r>
      <w:r w:rsidR="004B576C">
        <w:t xml:space="preserve">dges in a region in Queensland </w:t>
      </w:r>
      <w:r w:rsidR="004B576C">
        <w:fldChar w:fldCharType="begin"/>
      </w:r>
      <w:r w:rsidR="004B576C">
        <w:instrText xml:space="preserve"> ADDIN EN.CITE &lt;EndNote&gt;&lt;Cite&gt;&lt;Author&gt;Wilson&lt;/Author&gt;&lt;Year&gt;2016&lt;/Year&gt;&lt;RecNum&gt;176&lt;/RecNum&gt;&lt;DisplayText&gt;(Wilson 2016)&lt;/DisplayText&gt;&lt;record&gt;&lt;rec-number&gt;176&lt;/rec-number&gt;&lt;foreign-keys&gt;&lt;key app="EN" db-id="9ffxp2xv35prrxevef2xvxdw0590wtr20e9t" timestamp="1503719076"&gt;176&lt;/key&gt;&lt;/foreign-keys&gt;&lt;ref-type name="Thesis"&gt;32&lt;/ref-type&gt;&lt;contributors&gt;&lt;authors&gt;&lt;author&gt;Matthew Wilson&lt;/author&gt;&lt;/authors&gt;&lt;/contributors&gt;&lt;titles&gt;&lt;title&gt;Deterioration of Timber Bridges Using a Fault Tree Analysis&lt;/title&gt;&lt;secondary-title&gt;School of Civil Engineering and Surveying&lt;/secondary-title&gt;&lt;/titles&gt;&lt;pages&gt;1104&lt;/pages&gt;&lt;volume&gt;BEng (Honours)&lt;/volume&gt;&lt;dates&gt;&lt;year&gt;2016&lt;/year&gt;&lt;/dates&gt;&lt;publisher&gt;University of Southern Queensland&lt;/publisher&gt;&lt;urls&gt;&lt;/urls&gt;&lt;/record&gt;&lt;/Cite&gt;&lt;/EndNote&gt;</w:instrText>
      </w:r>
      <w:r w:rsidR="004B576C">
        <w:fldChar w:fldCharType="separate"/>
      </w:r>
      <w:r w:rsidR="004B576C">
        <w:rPr>
          <w:noProof/>
        </w:rPr>
        <w:t>(Wilson 2016)</w:t>
      </w:r>
      <w:r w:rsidR="004B576C">
        <w:fldChar w:fldCharType="end"/>
      </w:r>
      <w:r w:rsidR="004B576C">
        <w:t xml:space="preserve">. </w:t>
      </w:r>
      <w:r w:rsidR="00F3768D">
        <w:t>Use of the collected inspection reports were limited by the following:</w:t>
      </w:r>
    </w:p>
    <w:p w14:paraId="53ACC49E" w14:textId="77777777" w:rsidR="00F3768D" w:rsidRDefault="00F3768D" w:rsidP="00F3768D">
      <w:pPr>
        <w:pStyle w:val="ListParagraph"/>
        <w:numPr>
          <w:ilvl w:val="0"/>
          <w:numId w:val="1"/>
        </w:numPr>
      </w:pPr>
      <w:r>
        <w:t>Whenever a timber element is rehabilitated or replaced by a new material, this element is ignored.</w:t>
      </w:r>
    </w:p>
    <w:p w14:paraId="25FFC26F" w14:textId="77777777" w:rsidR="00F3768D" w:rsidRPr="00F56A33" w:rsidRDefault="00F3768D" w:rsidP="00F3768D">
      <w:pPr>
        <w:pStyle w:val="ListParagraph"/>
        <w:numPr>
          <w:ilvl w:val="0"/>
          <w:numId w:val="1"/>
        </w:numPr>
      </w:pPr>
      <w:r>
        <w:t>If a bridge does not have inspection reports for at least two time periods, then this data is also ignored.</w:t>
      </w:r>
    </w:p>
    <w:p w14:paraId="5FD2D86A" w14:textId="77777777" w:rsidR="0037774D" w:rsidRDefault="00396146" w:rsidP="006F064A">
      <w:r>
        <w:t xml:space="preserve">Time period considered was 2001, 2003 and 2006 and the data were analysed for 2 and 3 years which demonstrates the deterioration of each element. </w:t>
      </w:r>
    </w:p>
    <w:p w14:paraId="36C54E46" w14:textId="3AE97D28" w:rsidR="00EA1C60" w:rsidRDefault="0037774D" w:rsidP="006F064A">
      <w:r>
        <w:t xml:space="preserve">The </w:t>
      </w:r>
      <w:r w:rsidR="00396146">
        <w:t xml:space="preserve">Markov </w:t>
      </w:r>
      <w:r w:rsidR="00A600E7">
        <w:t xml:space="preserve">chain </w:t>
      </w:r>
      <w:r w:rsidR="00396146">
        <w:t xml:space="preserve">process </w:t>
      </w:r>
      <w:r>
        <w:t xml:space="preserve">was commonly used to model the condition rating data </w:t>
      </w:r>
      <w:r w:rsidR="00EA1C60">
        <w:t>for</w:t>
      </w:r>
      <w:r>
        <w:t xml:space="preserve"> understand</w:t>
      </w:r>
      <w:r w:rsidR="00EA1C60">
        <w:t>ing</w:t>
      </w:r>
      <w:r>
        <w:t xml:space="preserve"> the deterioration rate</w:t>
      </w:r>
      <w:r w:rsidR="00EA1C60">
        <w:t xml:space="preserve"> (i.e. rate</w:t>
      </w:r>
      <w:r>
        <w:t xml:space="preserve"> of condition change</w:t>
      </w:r>
      <w:r w:rsidR="00EA1C60">
        <w:t>)</w:t>
      </w:r>
      <w:r>
        <w:t xml:space="preserve"> and </w:t>
      </w:r>
      <w:r w:rsidR="00EA1C60">
        <w:t xml:space="preserve">for </w:t>
      </w:r>
      <w:r w:rsidR="00396146">
        <w:t>determin</w:t>
      </w:r>
      <w:r w:rsidR="00EA1C60">
        <w:t>ing</w:t>
      </w:r>
      <w:r w:rsidR="00396146">
        <w:t xml:space="preserve"> the probability of condition state movement for each element in a timber bridge. </w:t>
      </w:r>
      <w:r>
        <w:t xml:space="preserve">One important property of the Markov model is that the history of deterioration process is accumulated and captured as the last inspection and future prediction can be based only on the last inspection information. This is very well suited for </w:t>
      </w:r>
      <w:r>
        <w:t xml:space="preserve">snapshot inspection data of timber bridges. </w:t>
      </w:r>
      <w:r w:rsidR="00834CC4">
        <w:t>Figure 1</w:t>
      </w:r>
      <w:r w:rsidR="002A0504">
        <w:t xml:space="preserve"> shows the scatter plot of condition data versus age</w:t>
      </w:r>
      <w:r w:rsidR="00062626">
        <w:t xml:space="preserve"> (showing </w:t>
      </w:r>
      <w:r w:rsidR="002A0504">
        <w:t>the uncertainty of condition change</w:t>
      </w:r>
      <w:r w:rsidR="00062626">
        <w:t>)</w:t>
      </w:r>
      <w:r w:rsidR="002A0504">
        <w:t xml:space="preserve"> and the poor fitness of the well-known linear model</w:t>
      </w:r>
      <w:r w:rsidR="00916AE1">
        <w:t xml:space="preserve"> and the non-linear model</w:t>
      </w:r>
      <w:r w:rsidR="002A0504">
        <w:t xml:space="preserve"> in modelling such random data. Therefore, the </w:t>
      </w:r>
      <w:r w:rsidR="00062626">
        <w:t xml:space="preserve">stochastic </w:t>
      </w:r>
      <w:r w:rsidR="002A0504">
        <w:t xml:space="preserve">models such as the Markov model is often used. </w:t>
      </w:r>
    </w:p>
    <w:p w14:paraId="4A589F42" w14:textId="77777777" w:rsidR="00051D04" w:rsidRDefault="00051D04" w:rsidP="00570BF9">
      <w:pPr>
        <w:jc w:val="center"/>
      </w:pPr>
      <w:r>
        <w:rPr>
          <w:noProof/>
          <w:lang w:eastAsia="en-AU"/>
        </w:rPr>
        <w:drawing>
          <wp:inline distT="0" distB="0" distL="0" distR="0" wp14:anchorId="6A5B8FFB" wp14:editId="55AF7483">
            <wp:extent cx="2647741" cy="1593058"/>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289" cy="1610836"/>
                    </a:xfrm>
                    <a:prstGeom prst="rect">
                      <a:avLst/>
                    </a:prstGeom>
                    <a:noFill/>
                  </pic:spPr>
                </pic:pic>
              </a:graphicData>
            </a:graphic>
          </wp:inline>
        </w:drawing>
      </w:r>
    </w:p>
    <w:p w14:paraId="44E279EC" w14:textId="77777777" w:rsidR="00051D04" w:rsidRDefault="00051D04" w:rsidP="00570BF9">
      <w:pPr>
        <w:jc w:val="center"/>
      </w:pPr>
      <w:r>
        <w:t xml:space="preserve">Figure </w:t>
      </w:r>
      <w:r w:rsidR="00834CC4">
        <w:t>1</w:t>
      </w:r>
      <w:r>
        <w:t xml:space="preserve">: Scatter plot of condition vs age of timber pile and </w:t>
      </w:r>
      <w:r w:rsidR="00570BF9">
        <w:t>fitted linear and non-linear curves</w:t>
      </w:r>
    </w:p>
    <w:p w14:paraId="3F6C2F7F" w14:textId="2A73414C" w:rsidR="006F064A" w:rsidRDefault="00396146" w:rsidP="006F064A">
      <w:r>
        <w:t>For four condition states, the</w:t>
      </w:r>
      <w:r w:rsidR="00EA1C60">
        <w:t xml:space="preserve"> core of the Markov model is the so-called</w:t>
      </w:r>
      <w:r>
        <w:t xml:space="preserve"> transition probability matrix</w:t>
      </w:r>
      <w:r w:rsidR="00EA1C60">
        <w:t>, which</w:t>
      </w:r>
      <w:r>
        <w:t xml:space="preserve"> can be expressed as follows:</w:t>
      </w:r>
    </w:p>
    <w:p w14:paraId="3466F008" w14:textId="77777777" w:rsidR="00396146" w:rsidRDefault="00396146" w:rsidP="00DE1F39">
      <w:pPr>
        <w:jc w:val="center"/>
        <w:rPr>
          <w:szCs w:val="24"/>
        </w:rPr>
      </w:pPr>
      <w:r w:rsidRPr="0095381D">
        <w:object w:dxaOrig="2580" w:dyaOrig="1480" w14:anchorId="4715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pt;height:75.25pt" o:ole="">
            <v:imagedata r:id="rId9" o:title=""/>
          </v:shape>
          <o:OLEObject Type="Embed" ProgID="Equation.3" ShapeID="_x0000_i1025" DrawAspect="Content" ObjectID="_1565412710" r:id="rId10"/>
        </w:object>
      </w:r>
      <w:r w:rsidRPr="003A6EAD">
        <w:rPr>
          <w:szCs w:val="24"/>
        </w:rPr>
        <w:tab/>
      </w:r>
      <w:r w:rsidRPr="003A6EAD">
        <w:rPr>
          <w:szCs w:val="24"/>
        </w:rPr>
        <w:tab/>
      </w:r>
      <w:r w:rsidRPr="003A6EAD">
        <w:rPr>
          <w:szCs w:val="24"/>
        </w:rPr>
        <w:tab/>
      </w:r>
      <w:r w:rsidRPr="003A6EAD">
        <w:rPr>
          <w:szCs w:val="24"/>
        </w:rPr>
        <w:tab/>
      </w:r>
      <w:r w:rsidRPr="003A6EAD">
        <w:rPr>
          <w:szCs w:val="24"/>
        </w:rPr>
        <w:tab/>
      </w:r>
      <w:r w:rsidRPr="003A6EAD">
        <w:rPr>
          <w:szCs w:val="24"/>
        </w:rPr>
        <w:tab/>
      </w:r>
      <w:r w:rsidRPr="003A6EAD">
        <w:rPr>
          <w:szCs w:val="24"/>
        </w:rPr>
        <w:tab/>
        <w:t>(1)</w:t>
      </w:r>
    </w:p>
    <w:p w14:paraId="6C133506" w14:textId="77777777" w:rsidR="00DE1F39" w:rsidRPr="00874B1F" w:rsidRDefault="00EA1C60" w:rsidP="00874B1F">
      <w:pPr>
        <w:rPr>
          <w:szCs w:val="24"/>
        </w:rPr>
      </w:pPr>
      <w:r>
        <w:rPr>
          <w:szCs w:val="24"/>
        </w:rPr>
        <w:t xml:space="preserve">The description of the transition matrix </w:t>
      </w:r>
      <w:r w:rsidRPr="00834CC4">
        <w:rPr>
          <w:i/>
          <w:szCs w:val="24"/>
        </w:rPr>
        <w:t>M</w:t>
      </w:r>
      <w:r>
        <w:rPr>
          <w:szCs w:val="24"/>
        </w:rPr>
        <w:t xml:space="preserve"> is that </w:t>
      </w:r>
      <w:r w:rsidR="002A0504">
        <w:rPr>
          <w:szCs w:val="24"/>
        </w:rPr>
        <w:t>f</w:t>
      </w:r>
      <w:r w:rsidR="00874B1F" w:rsidRPr="00874B1F">
        <w:rPr>
          <w:szCs w:val="24"/>
        </w:rPr>
        <w:t xml:space="preserve">or example, </w:t>
      </w:r>
      <w:r w:rsidR="00874B1F" w:rsidRPr="00834CC4">
        <w:rPr>
          <w:i/>
          <w:szCs w:val="24"/>
        </w:rPr>
        <w:t>P</w:t>
      </w:r>
      <w:r w:rsidR="00874B1F" w:rsidRPr="00834CC4">
        <w:rPr>
          <w:i/>
          <w:szCs w:val="24"/>
          <w:vertAlign w:val="subscript"/>
        </w:rPr>
        <w:t>23</w:t>
      </w:r>
      <w:r w:rsidR="00874B1F" w:rsidRPr="00874B1F">
        <w:rPr>
          <w:szCs w:val="24"/>
        </w:rPr>
        <w:t xml:space="preserve"> is the probability of an element in </w:t>
      </w:r>
      <w:r w:rsidR="00874B1F" w:rsidRPr="00834CC4">
        <w:rPr>
          <w:i/>
          <w:szCs w:val="24"/>
        </w:rPr>
        <w:t>CS2</w:t>
      </w:r>
      <w:r w:rsidR="00916AE1">
        <w:rPr>
          <w:i/>
          <w:szCs w:val="24"/>
        </w:rPr>
        <w:t xml:space="preserve"> (i.e. condition state 2)</w:t>
      </w:r>
      <w:r w:rsidR="00874B1F" w:rsidRPr="00874B1F">
        <w:rPr>
          <w:szCs w:val="24"/>
        </w:rPr>
        <w:t xml:space="preserve"> moving onto </w:t>
      </w:r>
      <w:r w:rsidR="00874B1F" w:rsidRPr="00834CC4">
        <w:rPr>
          <w:i/>
          <w:szCs w:val="24"/>
        </w:rPr>
        <w:t>CS3</w:t>
      </w:r>
      <w:r>
        <w:rPr>
          <w:szCs w:val="24"/>
        </w:rPr>
        <w:t xml:space="preserve"> over a unit time step (often 1</w:t>
      </w:r>
      <w:r w:rsidR="002A0504">
        <w:rPr>
          <w:szCs w:val="24"/>
        </w:rPr>
        <w:t xml:space="preserve">- </w:t>
      </w:r>
      <w:r>
        <w:rPr>
          <w:szCs w:val="24"/>
        </w:rPr>
        <w:t>year interval)</w:t>
      </w:r>
      <w:r w:rsidR="00874B1F" w:rsidRPr="00874B1F">
        <w:rPr>
          <w:szCs w:val="24"/>
        </w:rPr>
        <w:t>.</w:t>
      </w:r>
      <w:r>
        <w:rPr>
          <w:szCs w:val="24"/>
        </w:rPr>
        <w:t xml:space="preserve"> Furthermore, if the current</w:t>
      </w:r>
      <w:r w:rsidR="002A0504">
        <w:rPr>
          <w:szCs w:val="24"/>
        </w:rPr>
        <w:t xml:space="preserve"> condition is known as condition 2, then there are probabilities to move from condition 2 to better condition 1 (for accounted maintenance action), and to worse conditions 3 (for </w:t>
      </w:r>
      <w:r w:rsidR="002A0504">
        <w:rPr>
          <w:szCs w:val="24"/>
        </w:rPr>
        <w:lastRenderedPageBreak/>
        <w:t xml:space="preserve">gradual deterioration) and </w:t>
      </w:r>
      <w:r w:rsidR="00916AE1">
        <w:rPr>
          <w:szCs w:val="24"/>
        </w:rPr>
        <w:t xml:space="preserve">to worst condition </w:t>
      </w:r>
      <w:r w:rsidR="002A0504">
        <w:rPr>
          <w:szCs w:val="24"/>
        </w:rPr>
        <w:t>4 (for random damage event). If maintenance data is not available, the probability of moving to better condition is assigned zero</w:t>
      </w:r>
      <w:r w:rsidR="00916AE1">
        <w:rPr>
          <w:szCs w:val="24"/>
        </w:rPr>
        <w:t xml:space="preserve"> (i.e. </w:t>
      </w:r>
      <w:r w:rsidR="00916AE1" w:rsidRPr="008C7C70">
        <w:rPr>
          <w:i/>
          <w:szCs w:val="24"/>
        </w:rPr>
        <w:t>P</w:t>
      </w:r>
      <w:r w:rsidR="00916AE1" w:rsidRPr="008C7C70">
        <w:rPr>
          <w:i/>
          <w:szCs w:val="24"/>
          <w:vertAlign w:val="subscript"/>
        </w:rPr>
        <w:t>21</w:t>
      </w:r>
      <w:r w:rsidR="00916AE1">
        <w:rPr>
          <w:szCs w:val="24"/>
        </w:rPr>
        <w:t xml:space="preserve">=0 or </w:t>
      </w:r>
      <w:r w:rsidR="00916AE1" w:rsidRPr="008C7C70">
        <w:rPr>
          <w:i/>
          <w:szCs w:val="24"/>
        </w:rPr>
        <w:t>P</w:t>
      </w:r>
      <w:r w:rsidR="00916AE1" w:rsidRPr="008C7C70">
        <w:rPr>
          <w:i/>
          <w:szCs w:val="24"/>
          <w:vertAlign w:val="subscript"/>
        </w:rPr>
        <w:t>ij</w:t>
      </w:r>
      <w:r w:rsidR="00916AE1">
        <w:rPr>
          <w:szCs w:val="24"/>
        </w:rPr>
        <w:t xml:space="preserve">=0 if </w:t>
      </w:r>
      <w:r w:rsidR="00916AE1" w:rsidRPr="00916AE1">
        <w:rPr>
          <w:i/>
          <w:szCs w:val="24"/>
        </w:rPr>
        <w:t>i</w:t>
      </w:r>
      <w:r w:rsidR="00916AE1">
        <w:rPr>
          <w:szCs w:val="24"/>
        </w:rPr>
        <w:t>&gt;</w:t>
      </w:r>
      <w:r w:rsidR="00916AE1" w:rsidRPr="00916AE1">
        <w:rPr>
          <w:i/>
          <w:szCs w:val="24"/>
        </w:rPr>
        <w:t>j</w:t>
      </w:r>
      <w:r w:rsidR="00916AE1">
        <w:rPr>
          <w:szCs w:val="24"/>
        </w:rPr>
        <w:t>)</w:t>
      </w:r>
      <w:r w:rsidR="002A0504">
        <w:rPr>
          <w:szCs w:val="24"/>
        </w:rPr>
        <w:t>.</w:t>
      </w:r>
    </w:p>
    <w:p w14:paraId="2BBE3E51" w14:textId="08F9FABF" w:rsidR="00623589" w:rsidRPr="002E238F" w:rsidRDefault="002A0504" w:rsidP="008C7C70">
      <w:r>
        <w:rPr>
          <w:szCs w:val="24"/>
        </w:rPr>
        <w:t xml:space="preserve">The transition matrix </w:t>
      </w:r>
      <w:r w:rsidRPr="00834CC4">
        <w:rPr>
          <w:i/>
          <w:szCs w:val="24"/>
        </w:rPr>
        <w:t>M</w:t>
      </w:r>
      <w:r>
        <w:rPr>
          <w:szCs w:val="24"/>
        </w:rPr>
        <w:t xml:space="preserve"> can be estimated by using expert opinions or can be calibrated from the observed condition data. Table 1 shows the calibrated transition matrix from the condition data of each timber element.</w:t>
      </w:r>
      <w:r w:rsidR="00834CC4">
        <w:rPr>
          <w:szCs w:val="24"/>
        </w:rPr>
        <w:t xml:space="preserve"> </w:t>
      </w:r>
    </w:p>
    <w:p w14:paraId="3C698284" w14:textId="77777777" w:rsidR="00DE1F39" w:rsidRDefault="00DE1F39" w:rsidP="00DE1F39">
      <w:bookmarkStart w:id="1" w:name="_Ref477347327"/>
      <w:bookmarkStart w:id="2" w:name="_Toc480281349"/>
      <w:r w:rsidRPr="00834CC4">
        <w:t xml:space="preserve">Table </w:t>
      </w:r>
      <w:fldSimple w:instr=" SEQ Table \* ARABIC ">
        <w:r w:rsidR="00030BF3" w:rsidRPr="00834CC4">
          <w:rPr>
            <w:noProof/>
          </w:rPr>
          <w:t>1</w:t>
        </w:r>
      </w:fldSimple>
      <w:bookmarkEnd w:id="1"/>
      <w:r w:rsidRPr="00834CC4">
        <w:t>.</w:t>
      </w:r>
      <w:r w:rsidRPr="003A6EAD">
        <w:t xml:space="preserve"> Transitio</w:t>
      </w:r>
      <w:r>
        <w:t>n probability matrices (one year</w:t>
      </w:r>
      <w:r w:rsidRPr="003A6EAD">
        <w:t>)</w:t>
      </w:r>
      <w:bookmarkEnd w:id="2"/>
    </w:p>
    <w:tbl>
      <w:tblPr>
        <w:tblStyle w:val="TableGrid"/>
        <w:tblW w:w="0" w:type="auto"/>
        <w:tblLook w:val="04A0" w:firstRow="1" w:lastRow="0" w:firstColumn="1" w:lastColumn="0" w:noHBand="0" w:noVBand="1"/>
      </w:tblPr>
      <w:tblGrid>
        <w:gridCol w:w="4484"/>
        <w:gridCol w:w="4532"/>
      </w:tblGrid>
      <w:tr w:rsidR="00874B1F" w:rsidRPr="003A6EAD" w14:paraId="32DAC9E7" w14:textId="77777777" w:rsidTr="00A81334">
        <w:tc>
          <w:tcPr>
            <w:tcW w:w="4489" w:type="dxa"/>
          </w:tcPr>
          <w:p w14:paraId="36C0DAAB" w14:textId="77777777" w:rsidR="00874B1F" w:rsidRPr="003A6EAD" w:rsidRDefault="00874B1F" w:rsidP="00457AB0">
            <w:pPr>
              <w:pStyle w:val="TableParagraph"/>
            </w:pPr>
            <w:r w:rsidRPr="00874B1F">
              <w:rPr>
                <w:position w:val="-66"/>
              </w:rPr>
              <w:object w:dxaOrig="4300" w:dyaOrig="1440" w14:anchorId="1BE80F42">
                <v:shape id="_x0000_i1026" type="#_x0000_t75" style="width:214.35pt;height:73.1pt" o:ole="">
                  <v:imagedata r:id="rId11" o:title=""/>
                </v:shape>
                <o:OLEObject Type="Embed" ProgID="Equation.3" ShapeID="_x0000_i1026" DrawAspect="Content" ObjectID="_1565412711" r:id="rId12"/>
              </w:object>
            </w:r>
          </w:p>
        </w:tc>
        <w:tc>
          <w:tcPr>
            <w:tcW w:w="4527" w:type="dxa"/>
          </w:tcPr>
          <w:p w14:paraId="1F91AE5C" w14:textId="77777777" w:rsidR="00874B1F" w:rsidRPr="003A6EAD" w:rsidRDefault="00874B1F" w:rsidP="00457AB0">
            <w:pPr>
              <w:pStyle w:val="TableParagraph"/>
            </w:pPr>
            <w:r w:rsidRPr="00874B1F">
              <w:rPr>
                <w:position w:val="-66"/>
              </w:rPr>
              <w:object w:dxaOrig="4440" w:dyaOrig="1440" w14:anchorId="309E1B76">
                <v:shape id="_x0000_i1027" type="#_x0000_t75" style="width:221.45pt;height:73.1pt" o:ole="">
                  <v:imagedata r:id="rId13" o:title=""/>
                </v:shape>
                <o:OLEObject Type="Embed" ProgID="Equation.3" ShapeID="_x0000_i1027" DrawAspect="Content" ObjectID="_1565412712" r:id="rId14"/>
              </w:object>
            </w:r>
          </w:p>
        </w:tc>
      </w:tr>
      <w:tr w:rsidR="00A81334" w:rsidRPr="003A6EAD" w14:paraId="604C9857" w14:textId="77777777" w:rsidTr="00A81334">
        <w:tc>
          <w:tcPr>
            <w:tcW w:w="4489" w:type="dxa"/>
          </w:tcPr>
          <w:p w14:paraId="0E806B87" w14:textId="77777777" w:rsidR="00874B1F" w:rsidRPr="003A6EAD" w:rsidRDefault="00874B1F" w:rsidP="00457AB0">
            <w:pPr>
              <w:pStyle w:val="TableParagraph"/>
            </w:pPr>
            <w:r w:rsidRPr="00874B1F">
              <w:rPr>
                <w:position w:val="-66"/>
              </w:rPr>
              <w:object w:dxaOrig="4260" w:dyaOrig="1440" w14:anchorId="3C905875">
                <v:shape id="_x0000_i1028" type="#_x0000_t75" style="width:212.2pt;height:73.1pt" o:ole="">
                  <v:imagedata r:id="rId15" o:title=""/>
                </v:shape>
                <o:OLEObject Type="Embed" ProgID="Equation.3" ShapeID="_x0000_i1028" DrawAspect="Content" ObjectID="_1565412713" r:id="rId16"/>
              </w:object>
            </w:r>
          </w:p>
        </w:tc>
        <w:tc>
          <w:tcPr>
            <w:tcW w:w="4527" w:type="dxa"/>
          </w:tcPr>
          <w:p w14:paraId="6FA9CDE4" w14:textId="77777777" w:rsidR="00DE1F39" w:rsidRPr="003A6EAD" w:rsidRDefault="00874B1F" w:rsidP="00457AB0">
            <w:pPr>
              <w:pStyle w:val="TableParagraph"/>
            </w:pPr>
            <w:r w:rsidRPr="00874B1F">
              <w:rPr>
                <w:position w:val="-66"/>
              </w:rPr>
              <w:object w:dxaOrig="4440" w:dyaOrig="1440" w14:anchorId="089E4B23">
                <v:shape id="_x0000_i1029" type="#_x0000_t75" style="width:221.45pt;height:73.1pt" o:ole="">
                  <v:imagedata r:id="rId17" o:title=""/>
                </v:shape>
                <o:OLEObject Type="Embed" ProgID="Equation.3" ShapeID="_x0000_i1029" DrawAspect="Content" ObjectID="_1565412714" r:id="rId18"/>
              </w:object>
            </w:r>
          </w:p>
        </w:tc>
      </w:tr>
      <w:tr w:rsidR="00A81334" w:rsidRPr="003A6EAD" w14:paraId="16303A2B" w14:textId="77777777" w:rsidTr="00A81334">
        <w:tc>
          <w:tcPr>
            <w:tcW w:w="4489" w:type="dxa"/>
          </w:tcPr>
          <w:p w14:paraId="757D2CD3" w14:textId="77777777" w:rsidR="00DE1F39" w:rsidRPr="003A6EAD" w:rsidRDefault="00984F0D" w:rsidP="00457AB0">
            <w:pPr>
              <w:pStyle w:val="TableParagraph"/>
            </w:pPr>
            <w:r w:rsidRPr="00874B1F">
              <w:rPr>
                <w:position w:val="-66"/>
              </w:rPr>
              <w:object w:dxaOrig="4260" w:dyaOrig="1440" w14:anchorId="3BB52DE5">
                <v:shape id="_x0000_i1030" type="#_x0000_t75" style="width:212.2pt;height:73.1pt" o:ole="">
                  <v:imagedata r:id="rId19" o:title=""/>
                </v:shape>
                <o:OLEObject Type="Embed" ProgID="Equation.3" ShapeID="_x0000_i1030" DrawAspect="Content" ObjectID="_1565412715" r:id="rId20"/>
              </w:object>
            </w:r>
          </w:p>
        </w:tc>
        <w:tc>
          <w:tcPr>
            <w:tcW w:w="4527" w:type="dxa"/>
          </w:tcPr>
          <w:p w14:paraId="5E2D9815" w14:textId="77777777" w:rsidR="00DE1F39" w:rsidRPr="003A6EAD" w:rsidRDefault="00A81334" w:rsidP="00457AB0">
            <w:pPr>
              <w:pStyle w:val="TableParagraph"/>
            </w:pPr>
            <w:r w:rsidRPr="00874B1F">
              <w:rPr>
                <w:position w:val="-66"/>
              </w:rPr>
              <w:object w:dxaOrig="4360" w:dyaOrig="1440" w14:anchorId="30AE7C2A">
                <v:shape id="_x0000_i1031" type="#_x0000_t75" style="width:217.1pt;height:73.1pt" o:ole="">
                  <v:imagedata r:id="rId21" o:title=""/>
                </v:shape>
                <o:OLEObject Type="Embed" ProgID="Equation.3" ShapeID="_x0000_i1031" DrawAspect="Content" ObjectID="_1565412716" r:id="rId22"/>
              </w:object>
            </w:r>
          </w:p>
        </w:tc>
      </w:tr>
      <w:tr w:rsidR="00A81334" w:rsidRPr="003A6EAD" w14:paraId="3F17583E" w14:textId="77777777" w:rsidTr="00A81334">
        <w:tc>
          <w:tcPr>
            <w:tcW w:w="4489" w:type="dxa"/>
          </w:tcPr>
          <w:p w14:paraId="5334439C" w14:textId="77777777" w:rsidR="00DE1F39" w:rsidRPr="003A6EAD" w:rsidRDefault="00A81334" w:rsidP="00457AB0">
            <w:pPr>
              <w:pStyle w:val="TableParagraph"/>
            </w:pPr>
            <w:r w:rsidRPr="00874B1F">
              <w:rPr>
                <w:position w:val="-66"/>
              </w:rPr>
              <w:object w:dxaOrig="4400" w:dyaOrig="1440" w14:anchorId="30DE2629">
                <v:shape id="_x0000_i1032" type="#_x0000_t75" style="width:218.75pt;height:73.1pt" o:ole="">
                  <v:imagedata r:id="rId23" o:title=""/>
                </v:shape>
                <o:OLEObject Type="Embed" ProgID="Equation.3" ShapeID="_x0000_i1032" DrawAspect="Content" ObjectID="_1565412717" r:id="rId24"/>
              </w:object>
            </w:r>
          </w:p>
        </w:tc>
        <w:tc>
          <w:tcPr>
            <w:tcW w:w="4527" w:type="dxa"/>
          </w:tcPr>
          <w:p w14:paraId="17129629" w14:textId="77777777" w:rsidR="00DE1F39" w:rsidRPr="003A6EAD" w:rsidRDefault="00DE1F39" w:rsidP="00457AB0">
            <w:pPr>
              <w:pStyle w:val="TableParagraph"/>
            </w:pPr>
          </w:p>
        </w:tc>
      </w:tr>
    </w:tbl>
    <w:p w14:paraId="7DA128F2" w14:textId="79151E7E" w:rsidR="00DE1F39" w:rsidRDefault="00DE1F39" w:rsidP="00DE1F39">
      <w:pPr>
        <w:rPr>
          <w:szCs w:val="24"/>
        </w:rPr>
      </w:pPr>
    </w:p>
    <w:p w14:paraId="18653C38" w14:textId="77777777" w:rsidR="008C7C70" w:rsidRDefault="008C7C70" w:rsidP="008C7C70">
      <w:pPr>
        <w:rPr>
          <w:szCs w:val="24"/>
        </w:rPr>
      </w:pPr>
      <w:r>
        <w:rPr>
          <w:szCs w:val="24"/>
        </w:rPr>
        <w:t>Figure 2 shows the deterioration curves for pile element as an example.</w:t>
      </w:r>
    </w:p>
    <w:p w14:paraId="7EC3FEB7" w14:textId="77777777" w:rsidR="008C7C70" w:rsidRDefault="008C7C70" w:rsidP="008C7C70">
      <w:pPr>
        <w:jc w:val="center"/>
        <w:rPr>
          <w:i/>
        </w:rPr>
      </w:pPr>
      <w:r>
        <w:rPr>
          <w:noProof/>
          <w:szCs w:val="24"/>
          <w:lang w:eastAsia="en-AU"/>
        </w:rPr>
        <w:drawing>
          <wp:inline distT="0" distB="0" distL="0" distR="0" wp14:anchorId="3540F595" wp14:editId="181A175E">
            <wp:extent cx="2590800" cy="2072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2072640"/>
                    </a:xfrm>
                    <a:prstGeom prst="rect">
                      <a:avLst/>
                    </a:prstGeom>
                    <a:noFill/>
                  </pic:spPr>
                </pic:pic>
              </a:graphicData>
            </a:graphic>
          </wp:inline>
        </w:drawing>
      </w:r>
    </w:p>
    <w:p w14:paraId="400FB289" w14:textId="77777777" w:rsidR="008C7C70" w:rsidRPr="002E238F" w:rsidRDefault="008C7C70" w:rsidP="008C7C70">
      <w:pPr>
        <w:jc w:val="center"/>
      </w:pPr>
      <w:r w:rsidRPr="002E238F">
        <w:lastRenderedPageBreak/>
        <w:t>Figure 2: Deterioration curves for pile element</w:t>
      </w:r>
    </w:p>
    <w:p w14:paraId="2AACD7BB" w14:textId="77777777" w:rsidR="00396146" w:rsidRDefault="00396146" w:rsidP="00396146">
      <w:pPr>
        <w:rPr>
          <w:szCs w:val="24"/>
        </w:rPr>
      </w:pPr>
      <w:r>
        <w:rPr>
          <w:szCs w:val="24"/>
        </w:rPr>
        <w:t>If the current condition of an element is known with certainty [</w:t>
      </w:r>
      <w:r w:rsidRPr="00396146">
        <w:rPr>
          <w:i/>
          <w:szCs w:val="24"/>
        </w:rPr>
        <w:t>P</w:t>
      </w:r>
      <w:r w:rsidRPr="00396146">
        <w:rPr>
          <w:i/>
          <w:szCs w:val="24"/>
          <w:vertAlign w:val="subscript"/>
        </w:rPr>
        <w:t>01</w:t>
      </w:r>
      <w:r w:rsidRPr="00396146">
        <w:rPr>
          <w:i/>
          <w:szCs w:val="24"/>
        </w:rPr>
        <w:t xml:space="preserve"> P</w:t>
      </w:r>
      <w:r w:rsidRPr="00396146">
        <w:rPr>
          <w:i/>
          <w:szCs w:val="24"/>
          <w:vertAlign w:val="subscript"/>
        </w:rPr>
        <w:t>02</w:t>
      </w:r>
      <w:r w:rsidRPr="00396146">
        <w:rPr>
          <w:i/>
          <w:szCs w:val="24"/>
        </w:rPr>
        <w:t xml:space="preserve"> P</w:t>
      </w:r>
      <w:r w:rsidRPr="00396146">
        <w:rPr>
          <w:i/>
          <w:szCs w:val="24"/>
          <w:vertAlign w:val="subscript"/>
        </w:rPr>
        <w:t>03</w:t>
      </w:r>
      <w:r w:rsidRPr="00396146">
        <w:rPr>
          <w:i/>
          <w:szCs w:val="24"/>
        </w:rPr>
        <w:t xml:space="preserve"> P</w:t>
      </w:r>
      <w:r w:rsidRPr="00396146">
        <w:rPr>
          <w:i/>
          <w:szCs w:val="24"/>
          <w:vertAlign w:val="subscript"/>
        </w:rPr>
        <w:t>04</w:t>
      </w:r>
      <w:r>
        <w:rPr>
          <w:szCs w:val="24"/>
        </w:rPr>
        <w:t xml:space="preserve">], then the condition of the same element in </w:t>
      </w:r>
      <w:r w:rsidRPr="009C1B82">
        <w:rPr>
          <w:i/>
          <w:szCs w:val="24"/>
        </w:rPr>
        <w:t>T</w:t>
      </w:r>
      <w:r>
        <w:rPr>
          <w:szCs w:val="24"/>
        </w:rPr>
        <w:t xml:space="preserve"> years can be </w:t>
      </w:r>
      <w:r w:rsidR="00051D04">
        <w:rPr>
          <w:szCs w:val="24"/>
        </w:rPr>
        <w:t xml:space="preserve">predicted </w:t>
      </w:r>
      <w:r>
        <w:rPr>
          <w:szCs w:val="24"/>
        </w:rPr>
        <w:t>as follows:</w:t>
      </w:r>
    </w:p>
    <w:p w14:paraId="43DCF8AD" w14:textId="77777777" w:rsidR="00396146" w:rsidRDefault="00396146" w:rsidP="00396146">
      <w:pPr>
        <w:ind w:firstLine="720"/>
        <w:rPr>
          <w:szCs w:val="24"/>
        </w:rPr>
      </w:pPr>
      <w:r w:rsidRPr="009456DC">
        <w:object w:dxaOrig="4700" w:dyaOrig="420" w14:anchorId="556AB0A2">
          <v:shape id="_x0000_i1033" type="#_x0000_t75" style="width:233.45pt;height:21.25pt" o:ole="">
            <v:imagedata r:id="rId26" o:title=""/>
          </v:shape>
          <o:OLEObject Type="Embed" ProgID="Equation.3" ShapeID="_x0000_i1033" DrawAspect="Content" ObjectID="_1565412718" r:id="rId27"/>
        </w:object>
      </w:r>
      <w:r w:rsidRPr="003A6EAD">
        <w:rPr>
          <w:szCs w:val="24"/>
        </w:rPr>
        <w:tab/>
      </w:r>
      <w:r w:rsidRPr="003A6EAD">
        <w:rPr>
          <w:szCs w:val="24"/>
        </w:rPr>
        <w:tab/>
      </w:r>
      <w:r w:rsidRPr="003A6EAD">
        <w:rPr>
          <w:szCs w:val="24"/>
        </w:rPr>
        <w:tab/>
      </w:r>
      <w:r w:rsidRPr="003A6EAD">
        <w:rPr>
          <w:szCs w:val="24"/>
        </w:rPr>
        <w:tab/>
        <w:t>(2)</w:t>
      </w:r>
    </w:p>
    <w:p w14:paraId="0F3CD33A" w14:textId="77777777" w:rsidR="00A81334" w:rsidRPr="003A6EAD" w:rsidRDefault="00A81334" w:rsidP="00A81334">
      <w:pPr>
        <w:rPr>
          <w:szCs w:val="24"/>
        </w:rPr>
      </w:pPr>
      <w:r>
        <w:rPr>
          <w:szCs w:val="24"/>
        </w:rPr>
        <w:t xml:space="preserve">For example if the calculated probability matrix for girders at </w:t>
      </w:r>
      <w:r w:rsidRPr="00672D78">
        <w:rPr>
          <w:i/>
          <w:szCs w:val="24"/>
        </w:rPr>
        <w:t>T</w:t>
      </w:r>
      <w:r>
        <w:rPr>
          <w:szCs w:val="24"/>
        </w:rPr>
        <w:t xml:space="preserve"> years is</w:t>
      </w:r>
      <w:r w:rsidRPr="00A81334">
        <w:rPr>
          <w:position w:val="-12"/>
        </w:rPr>
        <w:object w:dxaOrig="1820" w:dyaOrig="360" w14:anchorId="79072A76">
          <v:shape id="_x0000_i1034" type="#_x0000_t75" style="width:90.55pt;height:18pt" o:ole="">
            <v:imagedata r:id="rId28" o:title=""/>
          </v:shape>
          <o:OLEObject Type="Embed" ProgID="Equation.3" ShapeID="_x0000_i1034" DrawAspect="Content" ObjectID="_1565412719" r:id="rId29"/>
        </w:object>
      </w:r>
      <w:r>
        <w:t xml:space="preserve">, </w:t>
      </w:r>
      <w:r w:rsidRPr="00672D78">
        <w:rPr>
          <w:i/>
        </w:rPr>
        <w:t>P</w:t>
      </w:r>
      <w:r w:rsidRPr="00672D78">
        <w:rPr>
          <w:i/>
          <w:vertAlign w:val="subscript"/>
        </w:rPr>
        <w:t>1</w:t>
      </w:r>
      <w:r>
        <w:t xml:space="preserve"> is the probability that a girder which is at </w:t>
      </w:r>
      <w:r w:rsidRPr="00672D78">
        <w:rPr>
          <w:i/>
        </w:rPr>
        <w:t>CS1</w:t>
      </w:r>
      <w:r>
        <w:t xml:space="preserve"> in the </w:t>
      </w:r>
      <w:r w:rsidR="00570BF9">
        <w:t xml:space="preserve">current </w:t>
      </w:r>
      <w:r>
        <w:t xml:space="preserve">year remains in </w:t>
      </w:r>
      <w:r w:rsidRPr="00672D78">
        <w:rPr>
          <w:i/>
        </w:rPr>
        <w:t>CS1</w:t>
      </w:r>
      <w:r>
        <w:t xml:space="preserve"> in </w:t>
      </w:r>
      <w:r w:rsidRPr="00672D78">
        <w:rPr>
          <w:i/>
        </w:rPr>
        <w:t>T</w:t>
      </w:r>
      <w:r>
        <w:t xml:space="preserve"> years</w:t>
      </w:r>
      <w:r w:rsidR="00570BF9">
        <w:t xml:space="preserve"> in the future</w:t>
      </w:r>
      <w:r>
        <w:t xml:space="preserve">. </w:t>
      </w:r>
    </w:p>
    <w:p w14:paraId="2B800B66" w14:textId="77777777" w:rsidR="00B06C22" w:rsidRPr="00B31F57" w:rsidRDefault="00DA4E78" w:rsidP="005E70A1">
      <w:pPr>
        <w:pStyle w:val="Heading1"/>
        <w:spacing w:after="120"/>
        <w:rPr>
          <w:b/>
          <w:sz w:val="22"/>
          <w:szCs w:val="22"/>
        </w:rPr>
      </w:pPr>
      <w:r w:rsidRPr="00B31F57">
        <w:rPr>
          <w:b/>
          <w:color w:val="auto"/>
          <w:sz w:val="22"/>
          <w:szCs w:val="22"/>
        </w:rPr>
        <w:t>Predicting the failure of bridges</w:t>
      </w:r>
    </w:p>
    <w:p w14:paraId="6A420BCA" w14:textId="41D8A500" w:rsidR="00DA4E78" w:rsidRPr="00DA4E78" w:rsidRDefault="00DA4E78" w:rsidP="009F1A83">
      <w:r>
        <w:t xml:space="preserve">The methodology adopted to predict the probability of failure of a timber bridge of interest in the current study is the Fault Tree Analysis (FTA). </w:t>
      </w:r>
      <w:r w:rsidR="009F1A83">
        <w:t xml:space="preserve">Fault tree for a timber bridge is shown in </w:t>
      </w:r>
      <w:r w:rsidR="009F1A83">
        <w:fldChar w:fldCharType="begin"/>
      </w:r>
      <w:r w:rsidR="009F1A83">
        <w:instrText xml:space="preserve"> REF _Ref490840269 \h </w:instrText>
      </w:r>
      <w:r w:rsidR="009F1A83">
        <w:fldChar w:fldCharType="separate"/>
      </w:r>
      <w:r w:rsidR="009F1A83">
        <w:t xml:space="preserve">Figure </w:t>
      </w:r>
      <w:r w:rsidR="005E70A1">
        <w:rPr>
          <w:noProof/>
        </w:rPr>
        <w:t>3</w:t>
      </w:r>
      <w:r w:rsidR="009F1A83">
        <w:fldChar w:fldCharType="end"/>
      </w:r>
      <w:r w:rsidR="009F1A83">
        <w:t xml:space="preserve">. If either the superstructure or the substructure fails, then the main </w:t>
      </w:r>
      <w:r w:rsidR="005E70A1">
        <w:t xml:space="preserve">catastrophic </w:t>
      </w:r>
      <w:r w:rsidR="009F1A83">
        <w:t xml:space="preserve">event happens, ie the bridge failure. Since the superstructure and substructure failure can be due to the failure of its main structural elements, they are all contributing to the failure of each of them as shown in the figure. </w:t>
      </w:r>
      <w:r w:rsidR="00490637" w:rsidRPr="005E70A1">
        <w:rPr>
          <w:i/>
        </w:rPr>
        <w:t>P</w:t>
      </w:r>
      <w:r w:rsidR="00490637" w:rsidRPr="005E70A1">
        <w:rPr>
          <w:i/>
          <w:vertAlign w:val="subscript"/>
        </w:rPr>
        <w:t>1</w:t>
      </w:r>
      <w:r w:rsidR="00490637" w:rsidRPr="005E70A1">
        <w:rPr>
          <w:i/>
        </w:rPr>
        <w:t>…P</w:t>
      </w:r>
      <w:r w:rsidR="00490637" w:rsidRPr="005E70A1">
        <w:rPr>
          <w:i/>
          <w:vertAlign w:val="subscript"/>
        </w:rPr>
        <w:t>7</w:t>
      </w:r>
      <w:r w:rsidR="00490637" w:rsidRPr="005E70A1">
        <w:rPr>
          <w:i/>
        </w:rPr>
        <w:t xml:space="preserve"> </w:t>
      </w:r>
      <w:r w:rsidR="00490637">
        <w:t>are the probability of failure of deck, kerb… whales and bearings respectively. If these probabilities are known, then the “OR” function in FTA can be used to find the probability of failure of superstructure</w:t>
      </w:r>
      <w:r w:rsidR="005E70A1">
        <w:t xml:space="preserve"> (</w:t>
      </w:r>
      <w:r w:rsidR="005E70A1" w:rsidRPr="005E70A1">
        <w:rPr>
          <w:i/>
        </w:rPr>
        <w:t>P</w:t>
      </w:r>
      <w:r w:rsidR="005E70A1" w:rsidRPr="005E70A1">
        <w:rPr>
          <w:i/>
          <w:vertAlign w:val="subscript"/>
        </w:rPr>
        <w:t>8</w:t>
      </w:r>
      <w:r w:rsidR="005E70A1">
        <w:t>)</w:t>
      </w:r>
      <w:r w:rsidR="00490637">
        <w:t xml:space="preserve">, substructure </w:t>
      </w:r>
      <w:r w:rsidR="005E70A1">
        <w:t>(</w:t>
      </w:r>
      <w:r w:rsidR="005E70A1" w:rsidRPr="005E70A1">
        <w:rPr>
          <w:i/>
        </w:rPr>
        <w:t>P</w:t>
      </w:r>
      <w:r w:rsidR="005E70A1">
        <w:rPr>
          <w:i/>
          <w:vertAlign w:val="subscript"/>
        </w:rPr>
        <w:t>9</w:t>
      </w:r>
      <w:r w:rsidR="005E70A1">
        <w:t xml:space="preserve">) </w:t>
      </w:r>
      <w:r w:rsidR="00490637">
        <w:t>and eventually the whole bridge</w:t>
      </w:r>
      <w:r w:rsidR="005E70A1">
        <w:t xml:space="preserve"> (</w:t>
      </w:r>
      <w:r w:rsidR="005E70A1" w:rsidRPr="005E70A1">
        <w:rPr>
          <w:i/>
        </w:rPr>
        <w:t>P</w:t>
      </w:r>
      <w:r w:rsidR="005E70A1">
        <w:rPr>
          <w:i/>
          <w:vertAlign w:val="subscript"/>
        </w:rPr>
        <w:t>10</w:t>
      </w:r>
      <w:r w:rsidR="005E70A1">
        <w:t>)</w:t>
      </w:r>
      <w:r w:rsidR="00490637">
        <w:t>.</w:t>
      </w:r>
    </w:p>
    <w:p w14:paraId="02CB2605" w14:textId="77777777" w:rsidR="00B06C22" w:rsidRDefault="00DA528A" w:rsidP="00653648">
      <w:pPr>
        <w:jc w:val="center"/>
      </w:pPr>
      <w:r>
        <w:object w:dxaOrig="10861" w:dyaOrig="3946" w14:anchorId="22F4FB7D">
          <v:shape id="_x0000_i1035" type="#_x0000_t75" style="width:405.25pt;height:146.75pt" o:ole="">
            <v:imagedata r:id="rId30" o:title=""/>
          </v:shape>
          <o:OLEObject Type="Embed" ProgID="Visio.Drawing.15" ShapeID="_x0000_i1035" DrawAspect="Content" ObjectID="_1565412720" r:id="rId31"/>
        </w:object>
      </w:r>
    </w:p>
    <w:p w14:paraId="467E34EE" w14:textId="77777777" w:rsidR="00DA4E78" w:rsidRDefault="00DA4E78" w:rsidP="00DA4E78">
      <w:pPr>
        <w:jc w:val="center"/>
      </w:pPr>
    </w:p>
    <w:p w14:paraId="72C16142" w14:textId="77777777" w:rsidR="009F1A83" w:rsidRPr="005E70A1" w:rsidRDefault="005E70A1" w:rsidP="009F1A83">
      <w:pPr>
        <w:pStyle w:val="Caption"/>
        <w:jc w:val="center"/>
        <w:rPr>
          <w:i w:val="0"/>
          <w:color w:val="auto"/>
          <w:sz w:val="22"/>
          <w:szCs w:val="22"/>
        </w:rPr>
      </w:pPr>
      <w:r w:rsidRPr="005E70A1">
        <w:rPr>
          <w:i w:val="0"/>
          <w:color w:val="auto"/>
          <w:sz w:val="22"/>
          <w:szCs w:val="22"/>
        </w:rPr>
        <w:t>Figure 3</w:t>
      </w:r>
      <w:r w:rsidR="009F1A83" w:rsidRPr="005E70A1">
        <w:rPr>
          <w:i w:val="0"/>
          <w:color w:val="auto"/>
          <w:sz w:val="22"/>
          <w:szCs w:val="22"/>
        </w:rPr>
        <w:t>: Fault tree diagram for a timber bridge</w:t>
      </w:r>
    </w:p>
    <w:p w14:paraId="7FBD06CD" w14:textId="77777777" w:rsidR="006F064A" w:rsidRPr="005E70A1" w:rsidRDefault="00F56A33" w:rsidP="005E70A1">
      <w:pPr>
        <w:pStyle w:val="Heading1"/>
        <w:spacing w:after="120"/>
        <w:rPr>
          <w:b/>
          <w:color w:val="auto"/>
          <w:sz w:val="22"/>
          <w:szCs w:val="22"/>
        </w:rPr>
      </w:pPr>
      <w:r w:rsidRPr="005E70A1">
        <w:rPr>
          <w:b/>
          <w:color w:val="auto"/>
          <w:sz w:val="22"/>
          <w:szCs w:val="22"/>
        </w:rPr>
        <w:t>Application of the method to a hypothetical timber bridge</w:t>
      </w:r>
    </w:p>
    <w:p w14:paraId="11BAE0FC" w14:textId="77777777" w:rsidR="00F56A33" w:rsidRDefault="00F56A33" w:rsidP="00F56A33">
      <w:r>
        <w:t xml:space="preserve">Once an inspection is performed on a bridge, the condition states (CS) of each element are known. </w:t>
      </w:r>
    </w:p>
    <w:p w14:paraId="4955D66C" w14:textId="77777777" w:rsidR="00EC6E04" w:rsidRPr="00653648" w:rsidRDefault="00EC6E04" w:rsidP="00EC6E04">
      <w:pPr>
        <w:pStyle w:val="Heading2"/>
        <w:rPr>
          <w:i/>
          <w:sz w:val="22"/>
          <w:szCs w:val="22"/>
        </w:rPr>
      </w:pPr>
      <w:r w:rsidRPr="00653648">
        <w:rPr>
          <w:i/>
          <w:color w:val="auto"/>
          <w:sz w:val="22"/>
          <w:szCs w:val="22"/>
        </w:rPr>
        <w:t>Application of Markov process</w:t>
      </w:r>
    </w:p>
    <w:p w14:paraId="7D0FD3E2" w14:textId="77777777" w:rsidR="00A81334" w:rsidRPr="003A6EAD" w:rsidRDefault="00A81334" w:rsidP="00653648">
      <w:pPr>
        <w:jc w:val="center"/>
      </w:pPr>
      <w:r w:rsidRPr="00653648">
        <w:t xml:space="preserve">Table </w:t>
      </w:r>
      <w:fldSimple w:instr=" SEQ Table \* ARABIC ">
        <w:r w:rsidR="00EC6E04" w:rsidRPr="00653648">
          <w:rPr>
            <w:noProof/>
          </w:rPr>
          <w:t>2</w:t>
        </w:r>
      </w:fldSimple>
      <w:r w:rsidRPr="00653648">
        <w:t>.</w:t>
      </w:r>
      <w:r>
        <w:t xml:space="preserve"> </w:t>
      </w:r>
      <w:r w:rsidR="00653648">
        <w:t>Condition state p</w:t>
      </w:r>
      <w:r>
        <w:t>redictions for bridge elements</w:t>
      </w:r>
    </w:p>
    <w:tbl>
      <w:tblPr>
        <w:tblStyle w:val="TableGrid"/>
        <w:tblW w:w="8784" w:type="dxa"/>
        <w:tblLook w:val="04A0" w:firstRow="1" w:lastRow="0" w:firstColumn="1" w:lastColumn="0" w:noHBand="0" w:noVBand="1"/>
      </w:tblPr>
      <w:tblGrid>
        <w:gridCol w:w="2031"/>
        <w:gridCol w:w="2500"/>
        <w:gridCol w:w="4253"/>
      </w:tblGrid>
      <w:tr w:rsidR="00A81334" w:rsidRPr="000C643B" w14:paraId="22E4C033" w14:textId="77777777" w:rsidTr="000C643B">
        <w:tc>
          <w:tcPr>
            <w:tcW w:w="2031" w:type="dxa"/>
          </w:tcPr>
          <w:p w14:paraId="63407F75" w14:textId="77777777" w:rsidR="00A81334" w:rsidRPr="000C643B" w:rsidRDefault="00A81334" w:rsidP="00A81334">
            <w:pPr>
              <w:rPr>
                <w:rFonts w:asciiTheme="majorHAnsi" w:hAnsiTheme="majorHAnsi"/>
              </w:rPr>
            </w:pPr>
            <w:r w:rsidRPr="000C643B">
              <w:rPr>
                <w:rFonts w:asciiTheme="majorHAnsi" w:hAnsiTheme="majorHAnsi"/>
              </w:rPr>
              <w:t>Element</w:t>
            </w:r>
          </w:p>
        </w:tc>
        <w:tc>
          <w:tcPr>
            <w:tcW w:w="2500" w:type="dxa"/>
          </w:tcPr>
          <w:p w14:paraId="3C669D2C" w14:textId="77777777" w:rsidR="00A81334" w:rsidRPr="000C643B" w:rsidRDefault="00A81334" w:rsidP="00A81334">
            <w:pPr>
              <w:rPr>
                <w:rFonts w:asciiTheme="majorHAnsi" w:hAnsiTheme="majorHAnsi"/>
              </w:rPr>
            </w:pPr>
            <w:r w:rsidRPr="000C643B">
              <w:rPr>
                <w:rFonts w:asciiTheme="majorHAnsi" w:hAnsiTheme="majorHAnsi"/>
              </w:rPr>
              <w:t>Inspected condition in 2015</w:t>
            </w:r>
          </w:p>
        </w:tc>
        <w:tc>
          <w:tcPr>
            <w:tcW w:w="4253" w:type="dxa"/>
          </w:tcPr>
          <w:p w14:paraId="47A86984" w14:textId="77777777" w:rsidR="00A81334" w:rsidRPr="000C643B" w:rsidRDefault="00A81334" w:rsidP="00A81334">
            <w:pPr>
              <w:rPr>
                <w:rFonts w:asciiTheme="majorHAnsi" w:hAnsiTheme="majorHAnsi"/>
              </w:rPr>
            </w:pPr>
            <w:r w:rsidRPr="000C643B">
              <w:rPr>
                <w:rFonts w:asciiTheme="majorHAnsi" w:hAnsiTheme="majorHAnsi"/>
              </w:rPr>
              <w:t>Predicted condition in 2018 using developed model</w:t>
            </w:r>
          </w:p>
        </w:tc>
      </w:tr>
      <w:tr w:rsidR="00A81334" w:rsidRPr="000C643B" w14:paraId="33354616" w14:textId="77777777" w:rsidTr="000C643B">
        <w:trPr>
          <w:trHeight w:val="365"/>
        </w:trPr>
        <w:tc>
          <w:tcPr>
            <w:tcW w:w="2031" w:type="dxa"/>
          </w:tcPr>
          <w:p w14:paraId="3CAE36CD" w14:textId="77777777" w:rsidR="00A81334" w:rsidRPr="000C643B" w:rsidRDefault="00A81334" w:rsidP="00C63FB2">
            <w:pPr>
              <w:jc w:val="left"/>
              <w:rPr>
                <w:rFonts w:asciiTheme="majorHAnsi" w:hAnsiTheme="majorHAnsi"/>
              </w:rPr>
            </w:pPr>
            <w:r w:rsidRPr="000C643B">
              <w:rPr>
                <w:rFonts w:asciiTheme="majorHAnsi" w:hAnsiTheme="majorHAnsi"/>
              </w:rPr>
              <w:t>Deck</w:t>
            </w:r>
          </w:p>
          <w:p w14:paraId="02791AE3" w14:textId="77777777" w:rsidR="00A81334" w:rsidRPr="000C643B" w:rsidRDefault="00A81334" w:rsidP="00C63FB2">
            <w:pPr>
              <w:jc w:val="left"/>
              <w:rPr>
                <w:rFonts w:asciiTheme="majorHAnsi" w:hAnsiTheme="majorHAnsi"/>
              </w:rPr>
            </w:pPr>
            <w:r w:rsidRPr="000C643B">
              <w:rPr>
                <w:rFonts w:asciiTheme="majorHAnsi" w:hAnsiTheme="majorHAnsi"/>
              </w:rPr>
              <w:t>Girder</w:t>
            </w:r>
          </w:p>
          <w:p w14:paraId="7B0923B8" w14:textId="77777777" w:rsidR="00A81334" w:rsidRPr="000C643B" w:rsidRDefault="00A81334" w:rsidP="00C63FB2">
            <w:pPr>
              <w:jc w:val="left"/>
              <w:rPr>
                <w:rFonts w:asciiTheme="majorHAnsi" w:hAnsiTheme="majorHAnsi"/>
              </w:rPr>
            </w:pPr>
            <w:r w:rsidRPr="000C643B">
              <w:rPr>
                <w:rFonts w:asciiTheme="majorHAnsi" w:hAnsiTheme="majorHAnsi"/>
              </w:rPr>
              <w:t>Corbel</w:t>
            </w:r>
          </w:p>
          <w:p w14:paraId="28AC3EF6" w14:textId="77777777" w:rsidR="00A81334" w:rsidRPr="000C643B" w:rsidRDefault="00A81334" w:rsidP="00C63FB2">
            <w:pPr>
              <w:jc w:val="left"/>
              <w:rPr>
                <w:rFonts w:asciiTheme="majorHAnsi" w:hAnsiTheme="majorHAnsi"/>
              </w:rPr>
            </w:pPr>
            <w:r w:rsidRPr="000C643B">
              <w:rPr>
                <w:rFonts w:asciiTheme="majorHAnsi" w:hAnsiTheme="majorHAnsi"/>
              </w:rPr>
              <w:lastRenderedPageBreak/>
              <w:t>Pile</w:t>
            </w:r>
          </w:p>
          <w:p w14:paraId="72F82A2C" w14:textId="77777777" w:rsidR="00A81334" w:rsidRPr="000C643B" w:rsidRDefault="00A81334" w:rsidP="00C63FB2">
            <w:pPr>
              <w:jc w:val="left"/>
              <w:rPr>
                <w:rFonts w:asciiTheme="majorHAnsi" w:hAnsiTheme="majorHAnsi"/>
              </w:rPr>
            </w:pPr>
            <w:r w:rsidRPr="000C643B">
              <w:rPr>
                <w:rFonts w:asciiTheme="majorHAnsi" w:hAnsiTheme="majorHAnsi"/>
              </w:rPr>
              <w:t>Headstock</w:t>
            </w:r>
          </w:p>
          <w:p w14:paraId="3576CCC7" w14:textId="77777777" w:rsidR="00A81334" w:rsidRPr="000C643B" w:rsidRDefault="00A81334" w:rsidP="00C63FB2">
            <w:pPr>
              <w:jc w:val="left"/>
              <w:rPr>
                <w:rFonts w:asciiTheme="majorHAnsi" w:hAnsiTheme="majorHAnsi"/>
              </w:rPr>
            </w:pPr>
            <w:r w:rsidRPr="000C643B">
              <w:rPr>
                <w:rFonts w:asciiTheme="majorHAnsi" w:hAnsiTheme="majorHAnsi"/>
              </w:rPr>
              <w:t>Whales and</w:t>
            </w:r>
            <w:r w:rsidR="000C643B">
              <w:rPr>
                <w:rFonts w:asciiTheme="majorHAnsi" w:hAnsiTheme="majorHAnsi"/>
              </w:rPr>
              <w:t xml:space="preserve"> </w:t>
            </w:r>
            <w:r w:rsidRPr="000C643B">
              <w:rPr>
                <w:rFonts w:asciiTheme="majorHAnsi" w:hAnsiTheme="majorHAnsi"/>
              </w:rPr>
              <w:t>bearings</w:t>
            </w:r>
          </w:p>
        </w:tc>
        <w:tc>
          <w:tcPr>
            <w:tcW w:w="2500" w:type="dxa"/>
          </w:tcPr>
          <w:p w14:paraId="299AAC43" w14:textId="77777777" w:rsidR="00A81334" w:rsidRPr="000C643B" w:rsidRDefault="00A81334" w:rsidP="00A81334">
            <w:pPr>
              <w:rPr>
                <w:rFonts w:asciiTheme="majorHAnsi" w:hAnsiTheme="majorHAnsi"/>
              </w:rPr>
            </w:pPr>
            <w:r w:rsidRPr="000C643B">
              <w:rPr>
                <w:rFonts w:asciiTheme="majorHAnsi" w:hAnsiTheme="majorHAnsi"/>
              </w:rPr>
              <w:lastRenderedPageBreak/>
              <w:t>[1 0 0 0]</w:t>
            </w:r>
          </w:p>
          <w:p w14:paraId="2DCF4222" w14:textId="77777777" w:rsidR="00A81334" w:rsidRPr="000C643B" w:rsidRDefault="00A81334" w:rsidP="00A81334">
            <w:pPr>
              <w:rPr>
                <w:rFonts w:asciiTheme="majorHAnsi" w:hAnsiTheme="majorHAnsi"/>
              </w:rPr>
            </w:pPr>
            <w:r w:rsidRPr="000C643B">
              <w:rPr>
                <w:rFonts w:asciiTheme="majorHAnsi" w:hAnsiTheme="majorHAnsi"/>
              </w:rPr>
              <w:t>[0.2 0.8 0 0]</w:t>
            </w:r>
          </w:p>
          <w:p w14:paraId="0328EA3F" w14:textId="77777777" w:rsidR="00A81334" w:rsidRPr="000C643B" w:rsidRDefault="00A81334" w:rsidP="00A81334">
            <w:pPr>
              <w:rPr>
                <w:rFonts w:asciiTheme="majorHAnsi" w:hAnsiTheme="majorHAnsi"/>
              </w:rPr>
            </w:pPr>
            <w:r w:rsidRPr="000C643B">
              <w:rPr>
                <w:rFonts w:asciiTheme="majorHAnsi" w:hAnsiTheme="majorHAnsi"/>
              </w:rPr>
              <w:t>[0 1 0 0]</w:t>
            </w:r>
          </w:p>
          <w:p w14:paraId="53AF28D6" w14:textId="77777777" w:rsidR="00A81334" w:rsidRPr="000C643B" w:rsidRDefault="00A81334" w:rsidP="00A81334">
            <w:pPr>
              <w:rPr>
                <w:rFonts w:asciiTheme="majorHAnsi" w:hAnsiTheme="majorHAnsi"/>
              </w:rPr>
            </w:pPr>
            <w:r w:rsidRPr="000C643B">
              <w:rPr>
                <w:rFonts w:asciiTheme="majorHAnsi" w:hAnsiTheme="majorHAnsi"/>
              </w:rPr>
              <w:lastRenderedPageBreak/>
              <w:t>[0.2 0.6 0.2 0]</w:t>
            </w:r>
          </w:p>
          <w:p w14:paraId="01BE6B32" w14:textId="77777777" w:rsidR="00A81334" w:rsidRPr="000C643B" w:rsidRDefault="00A81334" w:rsidP="00A81334">
            <w:pPr>
              <w:rPr>
                <w:rFonts w:asciiTheme="majorHAnsi" w:hAnsiTheme="majorHAnsi"/>
              </w:rPr>
            </w:pPr>
            <w:r w:rsidRPr="000C643B">
              <w:rPr>
                <w:rFonts w:asciiTheme="majorHAnsi" w:hAnsiTheme="majorHAnsi"/>
              </w:rPr>
              <w:t>[0 0.5 0</w:t>
            </w:r>
            <w:r w:rsidR="00EC6E04" w:rsidRPr="000C643B">
              <w:rPr>
                <w:rFonts w:asciiTheme="majorHAnsi" w:hAnsiTheme="majorHAnsi"/>
              </w:rPr>
              <w:t>.5</w:t>
            </w:r>
            <w:r w:rsidRPr="000C643B">
              <w:rPr>
                <w:rFonts w:asciiTheme="majorHAnsi" w:hAnsiTheme="majorHAnsi"/>
              </w:rPr>
              <w:t xml:space="preserve"> 0]</w:t>
            </w:r>
          </w:p>
          <w:p w14:paraId="0123124B" w14:textId="77777777" w:rsidR="00A81334" w:rsidRPr="000C643B" w:rsidRDefault="00A81334" w:rsidP="00EC6E04">
            <w:pPr>
              <w:rPr>
                <w:rFonts w:asciiTheme="majorHAnsi" w:hAnsiTheme="majorHAnsi"/>
              </w:rPr>
            </w:pPr>
            <w:r w:rsidRPr="000C643B">
              <w:rPr>
                <w:rFonts w:asciiTheme="majorHAnsi" w:hAnsiTheme="majorHAnsi"/>
              </w:rPr>
              <w:t>[0</w:t>
            </w:r>
            <w:r w:rsidR="00EC6E04" w:rsidRPr="000C643B">
              <w:rPr>
                <w:rFonts w:asciiTheme="majorHAnsi" w:hAnsiTheme="majorHAnsi"/>
              </w:rPr>
              <w:t>.1</w:t>
            </w:r>
            <w:r w:rsidRPr="000C643B">
              <w:rPr>
                <w:rFonts w:asciiTheme="majorHAnsi" w:hAnsiTheme="majorHAnsi"/>
              </w:rPr>
              <w:t xml:space="preserve"> 0.</w:t>
            </w:r>
            <w:r w:rsidR="00EC6E04" w:rsidRPr="000C643B">
              <w:rPr>
                <w:rFonts w:asciiTheme="majorHAnsi" w:hAnsiTheme="majorHAnsi"/>
              </w:rPr>
              <w:t>7</w:t>
            </w:r>
            <w:r w:rsidRPr="000C643B">
              <w:rPr>
                <w:rFonts w:asciiTheme="majorHAnsi" w:hAnsiTheme="majorHAnsi"/>
              </w:rPr>
              <w:t xml:space="preserve"> 0</w:t>
            </w:r>
            <w:r w:rsidR="00EC6E04" w:rsidRPr="000C643B">
              <w:rPr>
                <w:rFonts w:asciiTheme="majorHAnsi" w:hAnsiTheme="majorHAnsi"/>
              </w:rPr>
              <w:t>.2</w:t>
            </w:r>
            <w:r w:rsidRPr="000C643B">
              <w:rPr>
                <w:rFonts w:asciiTheme="majorHAnsi" w:hAnsiTheme="majorHAnsi"/>
              </w:rPr>
              <w:t xml:space="preserve"> 0]</w:t>
            </w:r>
          </w:p>
        </w:tc>
        <w:tc>
          <w:tcPr>
            <w:tcW w:w="4253" w:type="dxa"/>
          </w:tcPr>
          <w:tbl>
            <w:tblPr>
              <w:tblW w:w="3840" w:type="dxa"/>
              <w:tblLook w:val="04A0" w:firstRow="1" w:lastRow="0" w:firstColumn="1" w:lastColumn="0" w:noHBand="0" w:noVBand="1"/>
            </w:tblPr>
            <w:tblGrid>
              <w:gridCol w:w="1016"/>
              <w:gridCol w:w="960"/>
              <w:gridCol w:w="960"/>
              <w:gridCol w:w="1016"/>
            </w:tblGrid>
            <w:tr w:rsidR="00F679B0" w:rsidRPr="000C643B" w14:paraId="66D978F5" w14:textId="77777777" w:rsidTr="00F679B0">
              <w:trPr>
                <w:trHeight w:val="312"/>
              </w:trPr>
              <w:tc>
                <w:tcPr>
                  <w:tcW w:w="960" w:type="dxa"/>
                  <w:tcBorders>
                    <w:top w:val="nil"/>
                    <w:left w:val="nil"/>
                    <w:bottom w:val="nil"/>
                    <w:right w:val="nil"/>
                  </w:tcBorders>
                  <w:shd w:val="clear" w:color="auto" w:fill="auto"/>
                  <w:noWrap/>
                  <w:vAlign w:val="bottom"/>
                  <w:hideMark/>
                </w:tcPr>
                <w:p w14:paraId="39817268" w14:textId="77777777" w:rsidR="00F679B0" w:rsidRPr="000C643B" w:rsidRDefault="00D47F55"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lastRenderedPageBreak/>
                    <w:t>[</w:t>
                  </w:r>
                  <w:r w:rsidR="00F679B0" w:rsidRPr="000C643B">
                    <w:rPr>
                      <w:rFonts w:asciiTheme="majorHAnsi" w:eastAsia="Times New Roman" w:hAnsiTheme="majorHAnsi" w:cs="Calibri"/>
                      <w:color w:val="000000"/>
                      <w:sz w:val="20"/>
                      <w:szCs w:val="20"/>
                      <w:lang w:eastAsia="en-AU"/>
                    </w:rPr>
                    <w:t>0.7196</w:t>
                  </w:r>
                </w:p>
              </w:tc>
              <w:tc>
                <w:tcPr>
                  <w:tcW w:w="960" w:type="dxa"/>
                  <w:tcBorders>
                    <w:top w:val="nil"/>
                    <w:left w:val="nil"/>
                    <w:bottom w:val="nil"/>
                    <w:right w:val="nil"/>
                  </w:tcBorders>
                  <w:shd w:val="clear" w:color="auto" w:fill="auto"/>
                  <w:noWrap/>
                  <w:vAlign w:val="bottom"/>
                  <w:hideMark/>
                </w:tcPr>
                <w:p w14:paraId="360EE23B"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0.1485</w:t>
                  </w:r>
                </w:p>
              </w:tc>
              <w:tc>
                <w:tcPr>
                  <w:tcW w:w="960" w:type="dxa"/>
                  <w:tcBorders>
                    <w:top w:val="nil"/>
                    <w:left w:val="nil"/>
                    <w:bottom w:val="nil"/>
                    <w:right w:val="nil"/>
                  </w:tcBorders>
                  <w:shd w:val="clear" w:color="auto" w:fill="auto"/>
                  <w:noWrap/>
                  <w:vAlign w:val="bottom"/>
                  <w:hideMark/>
                </w:tcPr>
                <w:p w14:paraId="7409D217"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0.1301</w:t>
                  </w:r>
                </w:p>
              </w:tc>
              <w:tc>
                <w:tcPr>
                  <w:tcW w:w="960" w:type="dxa"/>
                  <w:tcBorders>
                    <w:top w:val="nil"/>
                    <w:left w:val="nil"/>
                    <w:bottom w:val="nil"/>
                    <w:right w:val="nil"/>
                  </w:tcBorders>
                  <w:shd w:val="clear" w:color="auto" w:fill="auto"/>
                  <w:noWrap/>
                  <w:vAlign w:val="bottom"/>
                  <w:hideMark/>
                </w:tcPr>
                <w:p w14:paraId="37CDA255"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0.0014</w:t>
                  </w:r>
                  <w:r w:rsidR="00D47F55" w:rsidRPr="000C643B">
                    <w:rPr>
                      <w:rFonts w:asciiTheme="majorHAnsi" w:eastAsia="Times New Roman" w:hAnsiTheme="majorHAnsi" w:cs="Calibri"/>
                      <w:color w:val="000000"/>
                      <w:sz w:val="20"/>
                      <w:szCs w:val="20"/>
                      <w:lang w:eastAsia="en-AU"/>
                    </w:rPr>
                    <w:t>]</w:t>
                  </w:r>
                </w:p>
              </w:tc>
            </w:tr>
            <w:tr w:rsidR="00F679B0" w:rsidRPr="000C643B" w14:paraId="34712F0F" w14:textId="77777777" w:rsidTr="00F679B0">
              <w:trPr>
                <w:trHeight w:val="312"/>
              </w:trPr>
              <w:tc>
                <w:tcPr>
                  <w:tcW w:w="960" w:type="dxa"/>
                  <w:tcBorders>
                    <w:top w:val="nil"/>
                    <w:left w:val="nil"/>
                    <w:bottom w:val="nil"/>
                    <w:right w:val="nil"/>
                  </w:tcBorders>
                  <w:shd w:val="clear" w:color="auto" w:fill="auto"/>
                  <w:noWrap/>
                  <w:vAlign w:val="bottom"/>
                  <w:hideMark/>
                </w:tcPr>
                <w:p w14:paraId="4002464A" w14:textId="77777777" w:rsidR="00F679B0" w:rsidRPr="000C643B" w:rsidRDefault="00D47F55"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w:t>
                  </w:r>
                  <w:r w:rsidR="00F679B0" w:rsidRPr="000C643B">
                    <w:rPr>
                      <w:rFonts w:asciiTheme="majorHAnsi" w:eastAsia="Times New Roman" w:hAnsiTheme="majorHAnsi" w:cs="Calibri"/>
                      <w:color w:val="000000"/>
                      <w:sz w:val="20"/>
                      <w:szCs w:val="20"/>
                      <w:lang w:eastAsia="en-AU"/>
                    </w:rPr>
                    <w:t>0.1941</w:t>
                  </w:r>
                </w:p>
              </w:tc>
              <w:tc>
                <w:tcPr>
                  <w:tcW w:w="960" w:type="dxa"/>
                  <w:tcBorders>
                    <w:top w:val="nil"/>
                    <w:left w:val="nil"/>
                    <w:bottom w:val="nil"/>
                    <w:right w:val="nil"/>
                  </w:tcBorders>
                  <w:shd w:val="clear" w:color="auto" w:fill="auto"/>
                  <w:noWrap/>
                  <w:vAlign w:val="bottom"/>
                  <w:hideMark/>
                </w:tcPr>
                <w:p w14:paraId="324F6551"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0.719</w:t>
                  </w:r>
                </w:p>
              </w:tc>
              <w:tc>
                <w:tcPr>
                  <w:tcW w:w="960" w:type="dxa"/>
                  <w:tcBorders>
                    <w:top w:val="nil"/>
                    <w:left w:val="nil"/>
                    <w:bottom w:val="nil"/>
                    <w:right w:val="nil"/>
                  </w:tcBorders>
                  <w:shd w:val="clear" w:color="auto" w:fill="auto"/>
                  <w:noWrap/>
                  <w:vAlign w:val="bottom"/>
                  <w:hideMark/>
                </w:tcPr>
                <w:p w14:paraId="2AEEA580"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0.0575</w:t>
                  </w:r>
                </w:p>
              </w:tc>
              <w:tc>
                <w:tcPr>
                  <w:tcW w:w="960" w:type="dxa"/>
                  <w:tcBorders>
                    <w:top w:val="nil"/>
                    <w:left w:val="nil"/>
                    <w:bottom w:val="nil"/>
                    <w:right w:val="nil"/>
                  </w:tcBorders>
                  <w:shd w:val="clear" w:color="auto" w:fill="auto"/>
                  <w:noWrap/>
                  <w:vAlign w:val="bottom"/>
                  <w:hideMark/>
                </w:tcPr>
                <w:p w14:paraId="204FE782"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0.0294</w:t>
                  </w:r>
                  <w:r w:rsidR="00D47F55" w:rsidRPr="000C643B">
                    <w:rPr>
                      <w:rFonts w:asciiTheme="majorHAnsi" w:eastAsia="Times New Roman" w:hAnsiTheme="majorHAnsi" w:cs="Calibri"/>
                      <w:color w:val="000000"/>
                      <w:sz w:val="20"/>
                      <w:szCs w:val="20"/>
                      <w:lang w:eastAsia="en-AU"/>
                    </w:rPr>
                    <w:t>]</w:t>
                  </w:r>
                </w:p>
              </w:tc>
            </w:tr>
            <w:tr w:rsidR="00F679B0" w:rsidRPr="000C643B" w14:paraId="1BB120A3" w14:textId="77777777" w:rsidTr="00F679B0">
              <w:trPr>
                <w:trHeight w:val="312"/>
              </w:trPr>
              <w:tc>
                <w:tcPr>
                  <w:tcW w:w="960" w:type="dxa"/>
                  <w:tcBorders>
                    <w:top w:val="nil"/>
                    <w:left w:val="nil"/>
                    <w:bottom w:val="nil"/>
                    <w:right w:val="nil"/>
                  </w:tcBorders>
                  <w:shd w:val="clear" w:color="auto" w:fill="auto"/>
                  <w:noWrap/>
                  <w:vAlign w:val="bottom"/>
                  <w:hideMark/>
                </w:tcPr>
                <w:p w14:paraId="75271B34" w14:textId="77777777" w:rsidR="00F679B0" w:rsidRPr="000C643B" w:rsidRDefault="00D47F55"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w:t>
                  </w:r>
                  <w:r w:rsidR="00F679B0" w:rsidRPr="000C643B">
                    <w:rPr>
                      <w:rFonts w:asciiTheme="majorHAnsi" w:eastAsia="Times New Roman" w:hAnsiTheme="majorHAnsi" w:cs="Calibri"/>
                      <w:color w:val="000000"/>
                      <w:sz w:val="20"/>
                      <w:szCs w:val="20"/>
                      <w:lang w:eastAsia="en-AU"/>
                    </w:rPr>
                    <w:t>0</w:t>
                  </w:r>
                  <w:r w:rsidRPr="000C643B">
                    <w:rPr>
                      <w:rFonts w:asciiTheme="majorHAnsi" w:eastAsia="Times New Roman" w:hAnsiTheme="majorHAnsi" w:cs="Calibri"/>
                      <w:color w:val="000000"/>
                      <w:sz w:val="20"/>
                      <w:szCs w:val="20"/>
                      <w:lang w:eastAsia="en-AU"/>
                    </w:rPr>
                    <w:t>.0000</w:t>
                  </w:r>
                </w:p>
              </w:tc>
              <w:tc>
                <w:tcPr>
                  <w:tcW w:w="960" w:type="dxa"/>
                  <w:tcBorders>
                    <w:top w:val="nil"/>
                    <w:left w:val="nil"/>
                    <w:bottom w:val="nil"/>
                    <w:right w:val="nil"/>
                  </w:tcBorders>
                  <w:shd w:val="clear" w:color="auto" w:fill="auto"/>
                  <w:noWrap/>
                  <w:vAlign w:val="bottom"/>
                  <w:hideMark/>
                </w:tcPr>
                <w:p w14:paraId="784B820A"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0.9017</w:t>
                  </w:r>
                </w:p>
              </w:tc>
              <w:tc>
                <w:tcPr>
                  <w:tcW w:w="960" w:type="dxa"/>
                  <w:tcBorders>
                    <w:top w:val="nil"/>
                    <w:left w:val="nil"/>
                    <w:bottom w:val="nil"/>
                    <w:right w:val="nil"/>
                  </w:tcBorders>
                  <w:shd w:val="clear" w:color="auto" w:fill="auto"/>
                  <w:noWrap/>
                  <w:vAlign w:val="bottom"/>
                  <w:hideMark/>
                </w:tcPr>
                <w:p w14:paraId="03C8A60F"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0.0912</w:t>
                  </w:r>
                </w:p>
              </w:tc>
              <w:tc>
                <w:tcPr>
                  <w:tcW w:w="960" w:type="dxa"/>
                  <w:tcBorders>
                    <w:top w:val="nil"/>
                    <w:left w:val="nil"/>
                    <w:bottom w:val="nil"/>
                    <w:right w:val="nil"/>
                  </w:tcBorders>
                  <w:shd w:val="clear" w:color="auto" w:fill="auto"/>
                  <w:noWrap/>
                  <w:vAlign w:val="bottom"/>
                  <w:hideMark/>
                </w:tcPr>
                <w:p w14:paraId="43973AA2"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0.0071</w:t>
                  </w:r>
                  <w:r w:rsidR="00D47F55" w:rsidRPr="000C643B">
                    <w:rPr>
                      <w:rFonts w:asciiTheme="majorHAnsi" w:eastAsia="Times New Roman" w:hAnsiTheme="majorHAnsi" w:cs="Calibri"/>
                      <w:color w:val="000000"/>
                      <w:sz w:val="20"/>
                      <w:szCs w:val="20"/>
                      <w:lang w:eastAsia="en-AU"/>
                    </w:rPr>
                    <w:t>]</w:t>
                  </w:r>
                </w:p>
              </w:tc>
            </w:tr>
            <w:tr w:rsidR="00F679B0" w:rsidRPr="000C643B" w14:paraId="5EAAE26A" w14:textId="77777777" w:rsidTr="00F679B0">
              <w:trPr>
                <w:trHeight w:val="312"/>
              </w:trPr>
              <w:tc>
                <w:tcPr>
                  <w:tcW w:w="960" w:type="dxa"/>
                  <w:tcBorders>
                    <w:top w:val="nil"/>
                    <w:left w:val="nil"/>
                    <w:bottom w:val="nil"/>
                    <w:right w:val="nil"/>
                  </w:tcBorders>
                  <w:shd w:val="clear" w:color="auto" w:fill="auto"/>
                  <w:noWrap/>
                  <w:vAlign w:val="bottom"/>
                  <w:hideMark/>
                </w:tcPr>
                <w:p w14:paraId="753DC123" w14:textId="77777777" w:rsidR="00F679B0" w:rsidRPr="000C643B" w:rsidRDefault="00D47F55"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lastRenderedPageBreak/>
                    <w:t>[</w:t>
                  </w:r>
                  <w:r w:rsidR="00F679B0" w:rsidRPr="000C643B">
                    <w:rPr>
                      <w:rFonts w:asciiTheme="majorHAnsi" w:eastAsia="Times New Roman" w:hAnsiTheme="majorHAnsi" w:cs="Calibri"/>
                      <w:color w:val="000000"/>
                      <w:sz w:val="20"/>
                      <w:szCs w:val="20"/>
                      <w:lang w:eastAsia="en-AU"/>
                    </w:rPr>
                    <w:t>0.1956</w:t>
                  </w:r>
                </w:p>
              </w:tc>
              <w:tc>
                <w:tcPr>
                  <w:tcW w:w="960" w:type="dxa"/>
                  <w:tcBorders>
                    <w:top w:val="nil"/>
                    <w:left w:val="nil"/>
                    <w:bottom w:val="nil"/>
                    <w:right w:val="nil"/>
                  </w:tcBorders>
                  <w:shd w:val="clear" w:color="auto" w:fill="auto"/>
                  <w:noWrap/>
                  <w:vAlign w:val="bottom"/>
                  <w:hideMark/>
                </w:tcPr>
                <w:p w14:paraId="5D275732"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0.5709</w:t>
                  </w:r>
                </w:p>
              </w:tc>
              <w:tc>
                <w:tcPr>
                  <w:tcW w:w="960" w:type="dxa"/>
                  <w:tcBorders>
                    <w:top w:val="nil"/>
                    <w:left w:val="nil"/>
                    <w:bottom w:val="nil"/>
                    <w:right w:val="nil"/>
                  </w:tcBorders>
                  <w:shd w:val="clear" w:color="auto" w:fill="auto"/>
                  <w:noWrap/>
                  <w:vAlign w:val="bottom"/>
                  <w:hideMark/>
                </w:tcPr>
                <w:p w14:paraId="49490031"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0.188</w:t>
                  </w:r>
                </w:p>
              </w:tc>
              <w:tc>
                <w:tcPr>
                  <w:tcW w:w="960" w:type="dxa"/>
                  <w:tcBorders>
                    <w:top w:val="nil"/>
                    <w:left w:val="nil"/>
                    <w:bottom w:val="nil"/>
                    <w:right w:val="nil"/>
                  </w:tcBorders>
                  <w:shd w:val="clear" w:color="auto" w:fill="auto"/>
                  <w:noWrap/>
                  <w:vAlign w:val="bottom"/>
                  <w:hideMark/>
                </w:tcPr>
                <w:p w14:paraId="10992847"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0.0455</w:t>
                  </w:r>
                  <w:r w:rsidR="00D47F55" w:rsidRPr="000C643B">
                    <w:rPr>
                      <w:rFonts w:asciiTheme="majorHAnsi" w:eastAsia="Times New Roman" w:hAnsiTheme="majorHAnsi" w:cs="Calibri"/>
                      <w:color w:val="000000"/>
                      <w:sz w:val="20"/>
                      <w:szCs w:val="20"/>
                      <w:lang w:eastAsia="en-AU"/>
                    </w:rPr>
                    <w:t>]</w:t>
                  </w:r>
                </w:p>
              </w:tc>
            </w:tr>
            <w:tr w:rsidR="00F679B0" w:rsidRPr="000C643B" w14:paraId="24304E08" w14:textId="77777777" w:rsidTr="00F679B0">
              <w:trPr>
                <w:trHeight w:val="324"/>
              </w:trPr>
              <w:tc>
                <w:tcPr>
                  <w:tcW w:w="960" w:type="dxa"/>
                  <w:tcBorders>
                    <w:top w:val="nil"/>
                    <w:left w:val="nil"/>
                    <w:bottom w:val="nil"/>
                    <w:right w:val="nil"/>
                  </w:tcBorders>
                  <w:shd w:val="clear" w:color="auto" w:fill="auto"/>
                  <w:noWrap/>
                  <w:vAlign w:val="bottom"/>
                  <w:hideMark/>
                </w:tcPr>
                <w:p w14:paraId="5CBCE64E" w14:textId="77777777" w:rsidR="00F679B0" w:rsidRPr="000C643B" w:rsidRDefault="00D47F55"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[0.000</w:t>
                  </w:r>
                  <w:r w:rsidR="00F679B0" w:rsidRPr="000C643B">
                    <w:rPr>
                      <w:rFonts w:asciiTheme="majorHAnsi" w:eastAsia="Times New Roman" w:hAnsiTheme="majorHAnsi" w:cs="Calibri"/>
                      <w:color w:val="000000"/>
                      <w:sz w:val="20"/>
                      <w:szCs w:val="20"/>
                      <w:lang w:eastAsia="en-AU"/>
                    </w:rPr>
                    <w:t>0</w:t>
                  </w:r>
                </w:p>
              </w:tc>
              <w:tc>
                <w:tcPr>
                  <w:tcW w:w="960" w:type="dxa"/>
                  <w:tcBorders>
                    <w:top w:val="nil"/>
                    <w:left w:val="nil"/>
                    <w:bottom w:val="nil"/>
                    <w:right w:val="nil"/>
                  </w:tcBorders>
                  <w:shd w:val="clear" w:color="auto" w:fill="auto"/>
                  <w:noWrap/>
                  <w:vAlign w:val="bottom"/>
                  <w:hideMark/>
                </w:tcPr>
                <w:p w14:paraId="55DC2A75"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0.4518</w:t>
                  </w:r>
                </w:p>
              </w:tc>
              <w:tc>
                <w:tcPr>
                  <w:tcW w:w="960" w:type="dxa"/>
                  <w:tcBorders>
                    <w:top w:val="nil"/>
                    <w:left w:val="nil"/>
                    <w:bottom w:val="nil"/>
                    <w:right w:val="nil"/>
                  </w:tcBorders>
                  <w:shd w:val="clear" w:color="auto" w:fill="auto"/>
                  <w:noWrap/>
                  <w:vAlign w:val="bottom"/>
                  <w:hideMark/>
                </w:tcPr>
                <w:p w14:paraId="7A55A876"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0.024</w:t>
                  </w:r>
                </w:p>
              </w:tc>
              <w:tc>
                <w:tcPr>
                  <w:tcW w:w="960" w:type="dxa"/>
                  <w:tcBorders>
                    <w:top w:val="nil"/>
                    <w:left w:val="nil"/>
                    <w:bottom w:val="nil"/>
                    <w:right w:val="nil"/>
                  </w:tcBorders>
                  <w:shd w:val="clear" w:color="auto" w:fill="auto"/>
                  <w:noWrap/>
                  <w:vAlign w:val="bottom"/>
                  <w:hideMark/>
                </w:tcPr>
                <w:p w14:paraId="432CAE87"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0.5242</w:t>
                  </w:r>
                  <w:r w:rsidR="00D47F55" w:rsidRPr="000C643B">
                    <w:rPr>
                      <w:rFonts w:asciiTheme="majorHAnsi" w:eastAsia="Times New Roman" w:hAnsiTheme="majorHAnsi" w:cs="Calibri"/>
                      <w:color w:val="000000"/>
                      <w:sz w:val="20"/>
                      <w:szCs w:val="20"/>
                      <w:lang w:eastAsia="en-AU"/>
                    </w:rPr>
                    <w:t>]</w:t>
                  </w:r>
                </w:p>
              </w:tc>
            </w:tr>
            <w:tr w:rsidR="00F679B0" w:rsidRPr="000C643B" w14:paraId="6BB8A431" w14:textId="77777777" w:rsidTr="00F679B0">
              <w:trPr>
                <w:trHeight w:val="288"/>
              </w:trPr>
              <w:tc>
                <w:tcPr>
                  <w:tcW w:w="960" w:type="dxa"/>
                  <w:tcBorders>
                    <w:top w:val="nil"/>
                    <w:left w:val="nil"/>
                    <w:bottom w:val="nil"/>
                    <w:right w:val="nil"/>
                  </w:tcBorders>
                  <w:shd w:val="clear" w:color="auto" w:fill="auto"/>
                  <w:noWrap/>
                  <w:vAlign w:val="bottom"/>
                  <w:hideMark/>
                </w:tcPr>
                <w:p w14:paraId="6C2E4C57" w14:textId="77777777" w:rsidR="00F679B0" w:rsidRPr="000C643B" w:rsidRDefault="00D47F55"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w:t>
                  </w:r>
                  <w:r w:rsidR="00F679B0" w:rsidRPr="000C643B">
                    <w:rPr>
                      <w:rFonts w:asciiTheme="majorHAnsi" w:eastAsia="Times New Roman" w:hAnsiTheme="majorHAnsi" w:cs="Calibri"/>
                      <w:color w:val="000000"/>
                      <w:sz w:val="20"/>
                      <w:szCs w:val="20"/>
                      <w:lang w:eastAsia="en-AU"/>
                    </w:rPr>
                    <w:t>0.0877</w:t>
                  </w:r>
                </w:p>
              </w:tc>
              <w:tc>
                <w:tcPr>
                  <w:tcW w:w="960" w:type="dxa"/>
                  <w:tcBorders>
                    <w:top w:val="nil"/>
                    <w:left w:val="nil"/>
                    <w:bottom w:val="nil"/>
                    <w:right w:val="nil"/>
                  </w:tcBorders>
                  <w:shd w:val="clear" w:color="auto" w:fill="auto"/>
                  <w:noWrap/>
                  <w:vAlign w:val="bottom"/>
                  <w:hideMark/>
                </w:tcPr>
                <w:p w14:paraId="473391BA"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0.6973</w:t>
                  </w:r>
                </w:p>
              </w:tc>
              <w:tc>
                <w:tcPr>
                  <w:tcW w:w="960" w:type="dxa"/>
                  <w:tcBorders>
                    <w:top w:val="nil"/>
                    <w:left w:val="nil"/>
                    <w:bottom w:val="nil"/>
                    <w:right w:val="nil"/>
                  </w:tcBorders>
                  <w:shd w:val="clear" w:color="auto" w:fill="auto"/>
                  <w:noWrap/>
                  <w:vAlign w:val="bottom"/>
                  <w:hideMark/>
                </w:tcPr>
                <w:p w14:paraId="206A6A9C"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0.0056</w:t>
                  </w:r>
                </w:p>
              </w:tc>
              <w:tc>
                <w:tcPr>
                  <w:tcW w:w="960" w:type="dxa"/>
                  <w:tcBorders>
                    <w:top w:val="nil"/>
                    <w:left w:val="nil"/>
                    <w:bottom w:val="nil"/>
                    <w:right w:val="nil"/>
                  </w:tcBorders>
                  <w:shd w:val="clear" w:color="auto" w:fill="auto"/>
                  <w:noWrap/>
                  <w:vAlign w:val="bottom"/>
                  <w:hideMark/>
                </w:tcPr>
                <w:p w14:paraId="2D889493" w14:textId="77777777" w:rsidR="00F679B0" w:rsidRPr="000C643B" w:rsidRDefault="00F679B0" w:rsidP="00F679B0">
                  <w:pPr>
                    <w:spacing w:after="0" w:line="240" w:lineRule="auto"/>
                    <w:jc w:val="right"/>
                    <w:rPr>
                      <w:rFonts w:asciiTheme="majorHAnsi" w:eastAsia="Times New Roman" w:hAnsiTheme="majorHAnsi" w:cs="Calibri"/>
                      <w:color w:val="000000"/>
                      <w:sz w:val="20"/>
                      <w:szCs w:val="20"/>
                      <w:lang w:eastAsia="en-AU"/>
                    </w:rPr>
                  </w:pPr>
                  <w:r w:rsidRPr="000C643B">
                    <w:rPr>
                      <w:rFonts w:asciiTheme="majorHAnsi" w:eastAsia="Times New Roman" w:hAnsiTheme="majorHAnsi" w:cs="Calibri"/>
                      <w:color w:val="000000"/>
                      <w:sz w:val="20"/>
                      <w:szCs w:val="20"/>
                      <w:lang w:eastAsia="en-AU"/>
                    </w:rPr>
                    <w:t>0.2094</w:t>
                  </w:r>
                  <w:r w:rsidR="00D47F55" w:rsidRPr="000C643B">
                    <w:rPr>
                      <w:rFonts w:asciiTheme="majorHAnsi" w:eastAsia="Times New Roman" w:hAnsiTheme="majorHAnsi" w:cs="Calibri"/>
                      <w:color w:val="000000"/>
                      <w:sz w:val="20"/>
                      <w:szCs w:val="20"/>
                      <w:lang w:eastAsia="en-AU"/>
                    </w:rPr>
                    <w:t>]</w:t>
                  </w:r>
                </w:p>
              </w:tc>
            </w:tr>
          </w:tbl>
          <w:p w14:paraId="257FCF02" w14:textId="77777777" w:rsidR="00A81334" w:rsidRPr="000C643B" w:rsidRDefault="00A81334" w:rsidP="00EC6E04">
            <w:pPr>
              <w:rPr>
                <w:rFonts w:asciiTheme="majorHAnsi" w:hAnsiTheme="majorHAnsi"/>
              </w:rPr>
            </w:pPr>
          </w:p>
        </w:tc>
      </w:tr>
    </w:tbl>
    <w:p w14:paraId="1DCE82FA" w14:textId="59F1E270" w:rsidR="0018413F" w:rsidRPr="0030563C" w:rsidRDefault="0030563C" w:rsidP="0018413F">
      <w:r w:rsidRPr="0030563C">
        <w:lastRenderedPageBreak/>
        <w:t xml:space="preserve">Second column of Table 2 shows the </w:t>
      </w:r>
      <w:r w:rsidR="00441A34">
        <w:t>condition states</w:t>
      </w:r>
      <w:r w:rsidRPr="0030563C">
        <w:t xml:space="preserve"> for each element based on an imaginary inspection in 2015.</w:t>
      </w:r>
      <w:r>
        <w:t xml:space="preserve"> </w:t>
      </w:r>
      <w:r w:rsidR="0018413F">
        <w:t xml:space="preserve">Table 1 and Equation 2 are used to predict the condition of each element in 2018 (column 3 of Table 2). The meaning of these predictions can be explained using pile as an example. </w:t>
      </w:r>
      <w:r w:rsidR="00441A34">
        <w:t xml:space="preserve">In 2015, 20%, 60% and 20% of the piles were in CS1, CS2 and CS3 respectively. By 2018, </w:t>
      </w:r>
      <w:r w:rsidR="0018413F">
        <w:t xml:space="preserve">19.56% of the piles will be in </w:t>
      </w:r>
      <w:r w:rsidR="0018413F" w:rsidRPr="0018413F">
        <w:rPr>
          <w:i/>
        </w:rPr>
        <w:t>CS1</w:t>
      </w:r>
      <w:r w:rsidR="0018413F">
        <w:t xml:space="preserve"> while 57.09% will be in </w:t>
      </w:r>
      <w:r w:rsidR="0018413F" w:rsidRPr="0018413F">
        <w:rPr>
          <w:i/>
        </w:rPr>
        <w:t>CS2</w:t>
      </w:r>
      <w:r w:rsidR="0018413F">
        <w:t xml:space="preserve">. </w:t>
      </w:r>
    </w:p>
    <w:p w14:paraId="16836127" w14:textId="77777777" w:rsidR="00EC6E04" w:rsidRPr="00990661" w:rsidRDefault="00EC6E04" w:rsidP="00B77239">
      <w:pPr>
        <w:pStyle w:val="Heading2"/>
        <w:spacing w:before="240" w:after="120"/>
        <w:rPr>
          <w:i/>
          <w:sz w:val="22"/>
          <w:szCs w:val="22"/>
        </w:rPr>
      </w:pPr>
      <w:r w:rsidRPr="00990661">
        <w:rPr>
          <w:i/>
          <w:color w:val="auto"/>
          <w:sz w:val="22"/>
          <w:szCs w:val="22"/>
        </w:rPr>
        <w:t>Application of FTA</w:t>
      </w:r>
    </w:p>
    <w:p w14:paraId="4932CEB6" w14:textId="77777777" w:rsidR="00EC6E04" w:rsidRDefault="00C24637" w:rsidP="00EC6E04">
      <w:r>
        <w:t xml:space="preserve">If the probability of CS movement to the worst case scenario for each element can be established, Figure </w:t>
      </w:r>
      <w:r w:rsidR="00C91863">
        <w:t>4</w:t>
      </w:r>
      <w:r>
        <w:t xml:space="preserve"> can be used to find the probability of failure of the entire bridge.</w:t>
      </w:r>
    </w:p>
    <w:p w14:paraId="3D310923" w14:textId="77777777" w:rsidR="00EC6E04" w:rsidRDefault="00AA0C64" w:rsidP="00C91863">
      <w:pPr>
        <w:jc w:val="center"/>
      </w:pPr>
      <w:r>
        <w:object w:dxaOrig="11940" w:dyaOrig="3945" w14:anchorId="2B609F63">
          <v:shape id="_x0000_i1036" type="#_x0000_t75" style="width:409.65pt;height:134.75pt" o:ole="">
            <v:imagedata r:id="rId32" o:title=""/>
          </v:shape>
          <o:OLEObject Type="Embed" ProgID="Visio.Drawing.15" ShapeID="_x0000_i1036" DrawAspect="Content" ObjectID="_1565412721" r:id="rId33"/>
        </w:object>
      </w:r>
    </w:p>
    <w:p w14:paraId="1D386892" w14:textId="77777777" w:rsidR="00246998" w:rsidRDefault="00653648" w:rsidP="00653648">
      <w:pPr>
        <w:pStyle w:val="Caption"/>
        <w:jc w:val="center"/>
        <w:rPr>
          <w:i w:val="0"/>
          <w:color w:val="auto"/>
          <w:sz w:val="22"/>
          <w:szCs w:val="22"/>
        </w:rPr>
      </w:pPr>
      <w:r w:rsidRPr="00653648">
        <w:rPr>
          <w:i w:val="0"/>
          <w:color w:val="auto"/>
          <w:sz w:val="22"/>
          <w:szCs w:val="22"/>
        </w:rPr>
        <w:t>Figure 4</w:t>
      </w:r>
      <w:r w:rsidR="00246998" w:rsidRPr="00653648">
        <w:rPr>
          <w:i w:val="0"/>
          <w:color w:val="auto"/>
          <w:sz w:val="22"/>
          <w:szCs w:val="22"/>
        </w:rPr>
        <w:t>: FTA for the hypothetical bridge</w:t>
      </w:r>
    </w:p>
    <w:p w14:paraId="18106F40" w14:textId="77777777" w:rsidR="00F361AC" w:rsidRPr="00F361AC" w:rsidRDefault="00F361AC" w:rsidP="00F361AC">
      <w:r>
        <w:t>It is assumed that an element fails when its CS reaches 4. For the hypothetical bridge, there is 65.44% chance that it will fail in 2018 and the major contribution comes from the substructure. This is evident from the inspection data in Table 2.</w:t>
      </w:r>
    </w:p>
    <w:p w14:paraId="4988A54B" w14:textId="77777777" w:rsidR="006F064A" w:rsidRPr="00F361AC" w:rsidRDefault="00F361AC" w:rsidP="00F361AC">
      <w:pPr>
        <w:pStyle w:val="Heading1"/>
        <w:spacing w:after="120"/>
        <w:rPr>
          <w:b/>
          <w:color w:val="auto"/>
          <w:sz w:val="22"/>
          <w:szCs w:val="22"/>
        </w:rPr>
      </w:pPr>
      <w:r>
        <w:rPr>
          <w:b/>
          <w:color w:val="auto"/>
          <w:sz w:val="22"/>
          <w:szCs w:val="22"/>
        </w:rPr>
        <w:t>D</w:t>
      </w:r>
      <w:r w:rsidR="006F064A" w:rsidRPr="00F361AC">
        <w:rPr>
          <w:b/>
          <w:color w:val="auto"/>
          <w:sz w:val="22"/>
          <w:szCs w:val="22"/>
        </w:rPr>
        <w:t>iscussion</w:t>
      </w:r>
      <w:r>
        <w:rPr>
          <w:b/>
          <w:color w:val="auto"/>
          <w:sz w:val="22"/>
          <w:szCs w:val="22"/>
        </w:rPr>
        <w:t xml:space="preserve"> and limitations</w:t>
      </w:r>
    </w:p>
    <w:p w14:paraId="1A3A0D2F" w14:textId="6FF28CB4" w:rsidR="006F064A" w:rsidRDefault="002E238F" w:rsidP="006F064A">
      <w:r>
        <w:t xml:space="preserve">Proposed Markov process method can be combined with the fault tree analysis to predict the probability of failure of a timber bridge of interest given the inspection report is available for the current year. </w:t>
      </w:r>
      <w:r w:rsidR="00FE11D3">
        <w:t xml:space="preserve">There are several limitations of </w:t>
      </w:r>
      <w:r w:rsidR="00A924B1">
        <w:t xml:space="preserve">the </w:t>
      </w:r>
      <w:r w:rsidR="00FE11D3">
        <w:t xml:space="preserve">proposed transition probability matrix as it is based only on limited number of inspection reports. It can be applied to a bridge having similar attributes. Therefore the model can be further refined if a large database can be developed so that </w:t>
      </w:r>
      <w:r w:rsidR="00FE11D3">
        <w:t>bridge elements can be categorised based on similar attributes. It is assumed that the bridge failure occurs when all the element</w:t>
      </w:r>
      <w:r w:rsidR="00667978">
        <w:t>s</w:t>
      </w:r>
      <w:r w:rsidR="00FE11D3">
        <w:t xml:space="preserve"> reach CS4. While reaching CS4 will be critical for some elements, it may not be the same for other elements.</w:t>
      </w:r>
    </w:p>
    <w:p w14:paraId="1C738A27" w14:textId="2762A701" w:rsidR="008A2BE7" w:rsidRPr="00667978" w:rsidRDefault="008A2BE7" w:rsidP="006F064A">
      <w:pPr>
        <w:rPr>
          <w:rFonts w:asciiTheme="majorHAnsi" w:eastAsiaTheme="majorEastAsia" w:hAnsiTheme="majorHAnsi" w:cstheme="majorBidi"/>
          <w:b/>
        </w:rPr>
      </w:pPr>
      <w:r w:rsidRPr="00667978">
        <w:rPr>
          <w:rFonts w:asciiTheme="majorHAnsi" w:eastAsiaTheme="majorEastAsia" w:hAnsiTheme="majorHAnsi" w:cstheme="majorBidi"/>
          <w:b/>
        </w:rPr>
        <w:t>Conclusion</w:t>
      </w:r>
    </w:p>
    <w:p w14:paraId="0EAD9015" w14:textId="470CBBE4" w:rsidR="008A2BE7" w:rsidRDefault="008A2BE7" w:rsidP="006F064A">
      <w:r>
        <w:t xml:space="preserve">Timber bridges are </w:t>
      </w:r>
      <w:r w:rsidR="00BA7A99">
        <w:t>the legacy of past developments in Australia. Due to the limited replacement budget, timber bridges are still in service but their high maintenance cost</w:t>
      </w:r>
      <w:r w:rsidR="00667978">
        <w:t>s</w:t>
      </w:r>
      <w:r w:rsidR="00BA7A99">
        <w:t xml:space="preserve"> are well recognized and become a challenge to bridge management </w:t>
      </w:r>
      <w:r w:rsidR="00BA7A99">
        <w:lastRenderedPageBreak/>
        <w:t>agencies. This study has presented a condition-base</w:t>
      </w:r>
      <w:r w:rsidR="00A924B1">
        <w:t>d</w:t>
      </w:r>
      <w:r w:rsidR="00BA7A99">
        <w:t xml:space="preserve"> reliability method that utilizes the visual inspection reports of timber bridges to predict the future condition of bridge components. This is achieved by adopting the stochastic Markov model, which is more sui</w:t>
      </w:r>
      <w:r w:rsidR="007C0A5B">
        <w:t>table than the linear and non-linear deterministic models. Furthermore, the failure probability of the whole timber bridge can also be assessed by using the fault tree analysis. The predicted failure probability of timber bridge and its components can be used to reduce inspection and maintenance cost through prioritization and timely manner, ensur</w:t>
      </w:r>
      <w:r w:rsidR="00A924B1">
        <w:t>ing</w:t>
      </w:r>
      <w:r w:rsidR="007C0A5B">
        <w:t xml:space="preserve"> the safety of timber bridge network.</w:t>
      </w:r>
      <w:r w:rsidR="00BA7A99">
        <w:t xml:space="preserve">  </w:t>
      </w:r>
    </w:p>
    <w:p w14:paraId="45E38F62" w14:textId="41C7B58B" w:rsidR="005D0C7E" w:rsidRPr="006F064A" w:rsidRDefault="00A924B1" w:rsidP="006F064A">
      <w:r>
        <w:t>M</w:t>
      </w:r>
      <w:r w:rsidR="005D0C7E">
        <w:t xml:space="preserve">ore inspection data </w:t>
      </w:r>
      <w:r>
        <w:t>together with</w:t>
      </w:r>
      <w:r w:rsidR="005D0C7E">
        <w:t xml:space="preserve"> relevant factors such as daily traffic volume and environmental data </w:t>
      </w:r>
      <w:r w:rsidR="00667978">
        <w:t>are needed</w:t>
      </w:r>
      <w:r w:rsidR="005D0C7E">
        <w:t xml:space="preserve"> for accurate prediction</w:t>
      </w:r>
      <w:r w:rsidR="00667978">
        <w:t xml:space="preserve"> in order to utilise the proposed method efficiently</w:t>
      </w:r>
      <w:r w:rsidR="005D0C7E">
        <w:t>.</w:t>
      </w:r>
    </w:p>
    <w:p w14:paraId="40187CDF" w14:textId="77777777" w:rsidR="00CB1086" w:rsidRPr="00B77239" w:rsidRDefault="00B77239" w:rsidP="00B77239">
      <w:pPr>
        <w:pStyle w:val="Heading1"/>
        <w:spacing w:after="120"/>
        <w:rPr>
          <w:b/>
          <w:sz w:val="22"/>
          <w:szCs w:val="22"/>
        </w:rPr>
      </w:pPr>
      <w:r w:rsidRPr="00B77239">
        <w:rPr>
          <w:b/>
          <w:color w:val="auto"/>
          <w:sz w:val="22"/>
          <w:szCs w:val="22"/>
        </w:rPr>
        <w:t>References</w:t>
      </w:r>
    </w:p>
    <w:p w14:paraId="067B44B7" w14:textId="77777777" w:rsidR="004B576C" w:rsidRPr="006420CC" w:rsidRDefault="00CB1086" w:rsidP="00885EE6">
      <w:pPr>
        <w:rPr>
          <w:noProof/>
          <w:sz w:val="20"/>
          <w:szCs w:val="20"/>
        </w:rPr>
      </w:pPr>
      <w:r w:rsidRPr="006420CC">
        <w:rPr>
          <w:sz w:val="20"/>
          <w:szCs w:val="20"/>
        </w:rPr>
        <w:fldChar w:fldCharType="begin"/>
      </w:r>
      <w:r w:rsidRPr="006420CC">
        <w:rPr>
          <w:sz w:val="20"/>
          <w:szCs w:val="20"/>
        </w:rPr>
        <w:instrText xml:space="preserve"> ADDIN EN.REFLIST </w:instrText>
      </w:r>
      <w:r w:rsidRPr="006420CC">
        <w:rPr>
          <w:sz w:val="20"/>
          <w:szCs w:val="20"/>
        </w:rPr>
        <w:fldChar w:fldCharType="separate"/>
      </w:r>
      <w:r w:rsidR="004B576C" w:rsidRPr="006420CC">
        <w:rPr>
          <w:noProof/>
          <w:sz w:val="20"/>
          <w:szCs w:val="20"/>
        </w:rPr>
        <w:t>Crawford, S. (2014). "</w:t>
      </w:r>
      <w:r w:rsidR="004B576C" w:rsidRPr="006420CC">
        <w:rPr>
          <w:i/>
          <w:noProof/>
          <w:sz w:val="20"/>
          <w:szCs w:val="20"/>
        </w:rPr>
        <w:t>Timber Bridge Management: Past, Present and Future</w:t>
      </w:r>
      <w:r w:rsidR="004B576C" w:rsidRPr="006420CC">
        <w:rPr>
          <w:noProof/>
          <w:sz w:val="20"/>
          <w:szCs w:val="20"/>
        </w:rPr>
        <w:t>". Engineering and Technology Forum, TMR.</w:t>
      </w:r>
    </w:p>
    <w:p w14:paraId="4207E1D1" w14:textId="77777777" w:rsidR="004B576C" w:rsidRPr="006420CC" w:rsidRDefault="004B576C" w:rsidP="004B576C">
      <w:pPr>
        <w:pStyle w:val="EndNoteBibliography"/>
        <w:spacing w:after="0"/>
        <w:rPr>
          <w:sz w:val="20"/>
          <w:szCs w:val="20"/>
        </w:rPr>
      </w:pPr>
      <w:r w:rsidRPr="006420CC">
        <w:rPr>
          <w:sz w:val="20"/>
          <w:szCs w:val="20"/>
        </w:rPr>
        <w:t>Lokuge, W., Gamage, N. and Setunge, S. (2016). "Fault tree analysis method for deterioration of timber bridges using an Australian case study."</w:t>
      </w:r>
      <w:r w:rsidRPr="006420CC">
        <w:rPr>
          <w:i/>
          <w:sz w:val="20"/>
          <w:szCs w:val="20"/>
        </w:rPr>
        <w:t xml:space="preserve"> Build Environment Project and Management</w:t>
      </w:r>
      <w:r w:rsidRPr="006420CC">
        <w:rPr>
          <w:sz w:val="20"/>
          <w:szCs w:val="20"/>
        </w:rPr>
        <w:t>, 6(3), 332 – 344.</w:t>
      </w:r>
    </w:p>
    <w:p w14:paraId="436EF7C0" w14:textId="77777777" w:rsidR="004B576C" w:rsidRPr="006420CC" w:rsidRDefault="004B576C" w:rsidP="004B576C">
      <w:pPr>
        <w:pStyle w:val="EndNoteBibliography"/>
        <w:spacing w:after="0"/>
        <w:rPr>
          <w:sz w:val="20"/>
          <w:szCs w:val="20"/>
        </w:rPr>
      </w:pPr>
      <w:r w:rsidRPr="006420CC">
        <w:rPr>
          <w:sz w:val="20"/>
          <w:szCs w:val="20"/>
        </w:rPr>
        <w:t>Ranjith, S., Setunge, S., Gravina, R. and Venkatesan, S. (2013). "Deterioration Prediction of Timber Bridge Elements Using the Markov Chain."</w:t>
      </w:r>
      <w:r w:rsidRPr="006420CC">
        <w:rPr>
          <w:i/>
          <w:sz w:val="20"/>
          <w:szCs w:val="20"/>
        </w:rPr>
        <w:t xml:space="preserve"> Journal of Performance of Constructed Facilities</w:t>
      </w:r>
      <w:r w:rsidRPr="006420CC">
        <w:rPr>
          <w:sz w:val="20"/>
          <w:szCs w:val="20"/>
        </w:rPr>
        <w:t>, 27(3), 319-325.</w:t>
      </w:r>
    </w:p>
    <w:p w14:paraId="13235F03" w14:textId="77777777" w:rsidR="004B576C" w:rsidRPr="006420CC" w:rsidRDefault="004B576C" w:rsidP="004B576C">
      <w:pPr>
        <w:pStyle w:val="EndNoteBibliography"/>
        <w:spacing w:after="0"/>
        <w:rPr>
          <w:sz w:val="20"/>
          <w:szCs w:val="20"/>
        </w:rPr>
      </w:pPr>
      <w:r w:rsidRPr="006420CC">
        <w:rPr>
          <w:sz w:val="20"/>
          <w:szCs w:val="20"/>
        </w:rPr>
        <w:t>Sonnenberg, A. (2014). "Australian Bridge Inspection Processes."&lt;</w:t>
      </w:r>
      <w:hyperlink r:id="rId34" w:history="1">
        <w:r w:rsidRPr="006420CC">
          <w:rPr>
            <w:rStyle w:val="Hyperlink"/>
            <w:sz w:val="20"/>
            <w:szCs w:val="20"/>
          </w:rPr>
          <w:t>https://www.pittsh.com.au/cms_uploads/docs/australian-bridge-inspection-processes.pdf</w:t>
        </w:r>
      </w:hyperlink>
      <w:r w:rsidRPr="006420CC">
        <w:rPr>
          <w:sz w:val="20"/>
          <w:szCs w:val="20"/>
        </w:rPr>
        <w:t>&gt; (Retrieved 22 August 2017).</w:t>
      </w:r>
    </w:p>
    <w:p w14:paraId="4F00BCE6" w14:textId="0DC2448F" w:rsidR="00DD0476" w:rsidRPr="006420CC" w:rsidRDefault="004B576C" w:rsidP="00F361AC">
      <w:pPr>
        <w:pStyle w:val="EndNoteBibliography"/>
        <w:rPr>
          <w:sz w:val="20"/>
          <w:szCs w:val="20"/>
        </w:rPr>
      </w:pPr>
      <w:r w:rsidRPr="006420CC">
        <w:rPr>
          <w:sz w:val="20"/>
          <w:szCs w:val="20"/>
        </w:rPr>
        <w:t xml:space="preserve">Wilson, M. (2016). </w:t>
      </w:r>
      <w:r w:rsidRPr="006420CC">
        <w:rPr>
          <w:i/>
          <w:sz w:val="20"/>
          <w:szCs w:val="20"/>
        </w:rPr>
        <w:t>Deterioration of Timber Bridges Using a Fault Tree Analysis</w:t>
      </w:r>
      <w:r w:rsidRPr="006420CC">
        <w:rPr>
          <w:sz w:val="20"/>
          <w:szCs w:val="20"/>
        </w:rPr>
        <w:t>. BEng (Honours), University of Southern Queensland.</w:t>
      </w:r>
      <w:r w:rsidR="00CB1086" w:rsidRPr="006420CC">
        <w:rPr>
          <w:sz w:val="20"/>
          <w:szCs w:val="20"/>
        </w:rPr>
        <w:fldChar w:fldCharType="end"/>
      </w:r>
    </w:p>
    <w:sectPr w:rsidR="00DD0476" w:rsidRPr="006420C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E60EC" w16cid:durableId="1D4DC8C6"/>
  <w16cid:commentId w16cid:paraId="3278ED17" w16cid:durableId="1D4DC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FB62" w14:textId="77777777" w:rsidR="00194541" w:rsidRDefault="00194541" w:rsidP="006F064A">
      <w:pPr>
        <w:spacing w:after="0" w:line="240" w:lineRule="auto"/>
      </w:pPr>
      <w:r>
        <w:separator/>
      </w:r>
    </w:p>
  </w:endnote>
  <w:endnote w:type="continuationSeparator" w:id="0">
    <w:p w14:paraId="262F301E" w14:textId="77777777" w:rsidR="00194541" w:rsidRDefault="00194541" w:rsidP="006F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9AAB" w14:textId="77777777" w:rsidR="00194541" w:rsidRDefault="00194541" w:rsidP="006F064A">
      <w:pPr>
        <w:spacing w:after="0" w:line="240" w:lineRule="auto"/>
      </w:pPr>
      <w:r>
        <w:separator/>
      </w:r>
    </w:p>
  </w:footnote>
  <w:footnote w:type="continuationSeparator" w:id="0">
    <w:p w14:paraId="49963D0F" w14:textId="77777777" w:rsidR="00194541" w:rsidRDefault="00194541" w:rsidP="006F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11772"/>
    <w:multiLevelType w:val="hybridMultilevel"/>
    <w:tmpl w:val="483E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lt;/Style&gt;&lt;LeftDelim&gt;{&lt;/LeftDelim&gt;&lt;RightDelim&gt;}&lt;/RightDelim&gt;&lt;FontName&gt;Verdana&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xp2xv35prrxevef2xvxdw0590wtr20e9t&quot;&gt;resilience&lt;record-ids&gt;&lt;item&gt;34&lt;/item&gt;&lt;item&gt;164&lt;/item&gt;&lt;item&gt;175&lt;/item&gt;&lt;item&gt;176&lt;/item&gt;&lt;/record-ids&gt;&lt;/item&gt;&lt;item db-id=&quot;e5sde22ps9zdspe9evnpfrfoxa5xdrv9vpr0&quot;&gt;Weena publications Copy&lt;record-ids&gt;&lt;item&gt;112&lt;/item&gt;&lt;/record-ids&gt;&lt;/item&gt;&lt;/Libraries&gt;"/>
  </w:docVars>
  <w:rsids>
    <w:rsidRoot w:val="006F064A"/>
    <w:rsid w:val="00014561"/>
    <w:rsid w:val="00030BF3"/>
    <w:rsid w:val="00037A93"/>
    <w:rsid w:val="00051D04"/>
    <w:rsid w:val="00062626"/>
    <w:rsid w:val="00085C9D"/>
    <w:rsid w:val="000916D1"/>
    <w:rsid w:val="000A6129"/>
    <w:rsid w:val="000C643B"/>
    <w:rsid w:val="000D7DF1"/>
    <w:rsid w:val="0010184E"/>
    <w:rsid w:val="00115115"/>
    <w:rsid w:val="00131231"/>
    <w:rsid w:val="0018413F"/>
    <w:rsid w:val="00192FD2"/>
    <w:rsid w:val="00194541"/>
    <w:rsid w:val="001C6C56"/>
    <w:rsid w:val="001C749A"/>
    <w:rsid w:val="00216670"/>
    <w:rsid w:val="00231F60"/>
    <w:rsid w:val="00246998"/>
    <w:rsid w:val="002A0504"/>
    <w:rsid w:val="002D5EBE"/>
    <w:rsid w:val="002E238F"/>
    <w:rsid w:val="0030563C"/>
    <w:rsid w:val="00307232"/>
    <w:rsid w:val="00354213"/>
    <w:rsid w:val="00365699"/>
    <w:rsid w:val="0037774D"/>
    <w:rsid w:val="00396146"/>
    <w:rsid w:val="003A36CA"/>
    <w:rsid w:val="00441A34"/>
    <w:rsid w:val="00466010"/>
    <w:rsid w:val="00472790"/>
    <w:rsid w:val="00490637"/>
    <w:rsid w:val="004B576C"/>
    <w:rsid w:val="00570BF9"/>
    <w:rsid w:val="005C3CB4"/>
    <w:rsid w:val="005D0C7E"/>
    <w:rsid w:val="005E0C92"/>
    <w:rsid w:val="005E70A1"/>
    <w:rsid w:val="005F4853"/>
    <w:rsid w:val="006227CA"/>
    <w:rsid w:val="00623589"/>
    <w:rsid w:val="006420CC"/>
    <w:rsid w:val="00653648"/>
    <w:rsid w:val="00665948"/>
    <w:rsid w:val="00667978"/>
    <w:rsid w:val="006728CE"/>
    <w:rsid w:val="00672D78"/>
    <w:rsid w:val="006B380B"/>
    <w:rsid w:val="006D06F5"/>
    <w:rsid w:val="006E742C"/>
    <w:rsid w:val="006F064A"/>
    <w:rsid w:val="0072259A"/>
    <w:rsid w:val="00744909"/>
    <w:rsid w:val="0077495C"/>
    <w:rsid w:val="007B2CCA"/>
    <w:rsid w:val="007C0A5B"/>
    <w:rsid w:val="00801AB8"/>
    <w:rsid w:val="00834CC4"/>
    <w:rsid w:val="0085494C"/>
    <w:rsid w:val="00874B1F"/>
    <w:rsid w:val="00885EE6"/>
    <w:rsid w:val="008A2BE7"/>
    <w:rsid w:val="008A7382"/>
    <w:rsid w:val="008B773C"/>
    <w:rsid w:val="008C7C70"/>
    <w:rsid w:val="00906E43"/>
    <w:rsid w:val="00916AE1"/>
    <w:rsid w:val="00920909"/>
    <w:rsid w:val="00984F0D"/>
    <w:rsid w:val="00990661"/>
    <w:rsid w:val="009B1142"/>
    <w:rsid w:val="009C1B82"/>
    <w:rsid w:val="009F051D"/>
    <w:rsid w:val="009F1A83"/>
    <w:rsid w:val="009F3127"/>
    <w:rsid w:val="00A03595"/>
    <w:rsid w:val="00A05191"/>
    <w:rsid w:val="00A600E7"/>
    <w:rsid w:val="00A616FE"/>
    <w:rsid w:val="00A73CBE"/>
    <w:rsid w:val="00A81334"/>
    <w:rsid w:val="00A924B1"/>
    <w:rsid w:val="00AA0C64"/>
    <w:rsid w:val="00AB67AB"/>
    <w:rsid w:val="00B06C22"/>
    <w:rsid w:val="00B21BCD"/>
    <w:rsid w:val="00B31F57"/>
    <w:rsid w:val="00B41808"/>
    <w:rsid w:val="00B615DB"/>
    <w:rsid w:val="00B71198"/>
    <w:rsid w:val="00B72DC7"/>
    <w:rsid w:val="00B77239"/>
    <w:rsid w:val="00B96736"/>
    <w:rsid w:val="00BA4B4C"/>
    <w:rsid w:val="00BA7A99"/>
    <w:rsid w:val="00BB5F0B"/>
    <w:rsid w:val="00C24637"/>
    <w:rsid w:val="00C36503"/>
    <w:rsid w:val="00C45446"/>
    <w:rsid w:val="00C63FB2"/>
    <w:rsid w:val="00C91863"/>
    <w:rsid w:val="00CB1086"/>
    <w:rsid w:val="00D47F55"/>
    <w:rsid w:val="00D87848"/>
    <w:rsid w:val="00DA4E78"/>
    <w:rsid w:val="00DA528A"/>
    <w:rsid w:val="00DE1F39"/>
    <w:rsid w:val="00DF30A3"/>
    <w:rsid w:val="00E42407"/>
    <w:rsid w:val="00E66FD4"/>
    <w:rsid w:val="00EA1C60"/>
    <w:rsid w:val="00EC6E04"/>
    <w:rsid w:val="00EC740C"/>
    <w:rsid w:val="00EC7AE4"/>
    <w:rsid w:val="00F1291D"/>
    <w:rsid w:val="00F361AC"/>
    <w:rsid w:val="00F3768D"/>
    <w:rsid w:val="00F56A33"/>
    <w:rsid w:val="00F679B0"/>
    <w:rsid w:val="00FB0DF2"/>
    <w:rsid w:val="00FE11D3"/>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9712"/>
  <w15:chartTrackingRefBased/>
  <w15:docId w15:val="{0FA14D39-2C57-4DF3-9B84-896D29FA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DB"/>
    <w:pPr>
      <w:jc w:val="both"/>
    </w:pPr>
  </w:style>
  <w:style w:type="paragraph" w:styleId="Heading1">
    <w:name w:val="heading 1"/>
    <w:basedOn w:val="Normal"/>
    <w:next w:val="Normal"/>
    <w:link w:val="Heading1Char"/>
    <w:uiPriority w:val="9"/>
    <w:qFormat/>
    <w:rsid w:val="006F0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4A"/>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9F1A8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1456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3768D"/>
    <w:pPr>
      <w:ind w:left="720"/>
      <w:contextualSpacing/>
    </w:pPr>
  </w:style>
  <w:style w:type="paragraph" w:customStyle="1" w:styleId="TableParagraph">
    <w:name w:val="Table Paragraph"/>
    <w:basedOn w:val="Normal"/>
    <w:uiPriority w:val="1"/>
    <w:qFormat/>
    <w:rsid w:val="00DE1F39"/>
    <w:pPr>
      <w:widowControl w:val="0"/>
      <w:autoSpaceDE w:val="0"/>
      <w:autoSpaceDN w:val="0"/>
      <w:spacing w:after="0" w:line="480" w:lineRule="auto"/>
    </w:pPr>
    <w:rPr>
      <w:rFonts w:ascii="Times New Roman" w:eastAsia="Times New Roman" w:hAnsi="Times New Roman" w:cs="Times New Roman"/>
      <w:sz w:val="24"/>
      <w:lang w:val="en-US"/>
    </w:rPr>
  </w:style>
  <w:style w:type="table" w:styleId="TableGrid">
    <w:name w:val="Table Grid"/>
    <w:basedOn w:val="TableNormal"/>
    <w:uiPriority w:val="39"/>
    <w:rsid w:val="00DE1F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0E7"/>
    <w:pPr>
      <w:spacing w:after="0" w:line="240" w:lineRule="auto"/>
    </w:pPr>
  </w:style>
  <w:style w:type="paragraph" w:styleId="BalloonText">
    <w:name w:val="Balloon Text"/>
    <w:basedOn w:val="Normal"/>
    <w:link w:val="BalloonTextChar"/>
    <w:uiPriority w:val="99"/>
    <w:semiHidden/>
    <w:unhideWhenUsed/>
    <w:rsid w:val="00A6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E7"/>
    <w:rPr>
      <w:rFonts w:ascii="Segoe UI" w:hAnsi="Segoe UI" w:cs="Segoe UI"/>
      <w:sz w:val="18"/>
      <w:szCs w:val="18"/>
    </w:rPr>
  </w:style>
  <w:style w:type="paragraph" w:customStyle="1" w:styleId="EndNoteBibliographyTitle">
    <w:name w:val="EndNote Bibliography Title"/>
    <w:basedOn w:val="Normal"/>
    <w:link w:val="EndNoteBibliographyTitleChar"/>
    <w:rsid w:val="00CB1086"/>
    <w:pPr>
      <w:spacing w:after="0"/>
      <w:jc w:val="center"/>
    </w:pPr>
    <w:rPr>
      <w:rFonts w:ascii="Verdana" w:hAnsi="Verdana"/>
      <w:noProof/>
      <w:sz w:val="32"/>
      <w:lang w:val="en-US"/>
    </w:rPr>
  </w:style>
  <w:style w:type="character" w:customStyle="1" w:styleId="EndNoteBibliographyTitleChar">
    <w:name w:val="EndNote Bibliography Title Char"/>
    <w:basedOn w:val="DefaultParagraphFont"/>
    <w:link w:val="EndNoteBibliographyTitle"/>
    <w:rsid w:val="00CB1086"/>
    <w:rPr>
      <w:rFonts w:ascii="Verdana" w:hAnsi="Verdana"/>
      <w:noProof/>
      <w:sz w:val="32"/>
      <w:lang w:val="en-US"/>
    </w:rPr>
  </w:style>
  <w:style w:type="paragraph" w:customStyle="1" w:styleId="EndNoteBibliography">
    <w:name w:val="EndNote Bibliography"/>
    <w:basedOn w:val="Normal"/>
    <w:link w:val="EndNoteBibliographyChar"/>
    <w:rsid w:val="00CB1086"/>
    <w:pPr>
      <w:spacing w:line="240" w:lineRule="auto"/>
    </w:pPr>
    <w:rPr>
      <w:rFonts w:ascii="Verdana" w:hAnsi="Verdana"/>
      <w:noProof/>
      <w:sz w:val="32"/>
      <w:lang w:val="en-US"/>
    </w:rPr>
  </w:style>
  <w:style w:type="character" w:customStyle="1" w:styleId="EndNoteBibliographyChar">
    <w:name w:val="EndNote Bibliography Char"/>
    <w:basedOn w:val="DefaultParagraphFont"/>
    <w:link w:val="EndNoteBibliography"/>
    <w:rsid w:val="00CB1086"/>
    <w:rPr>
      <w:rFonts w:ascii="Verdana" w:hAnsi="Verdana"/>
      <w:noProof/>
      <w:sz w:val="32"/>
      <w:lang w:val="en-US"/>
    </w:rPr>
  </w:style>
  <w:style w:type="character" w:styleId="Hyperlink">
    <w:name w:val="Hyperlink"/>
    <w:basedOn w:val="DefaultParagraphFont"/>
    <w:uiPriority w:val="99"/>
    <w:unhideWhenUsed/>
    <w:rsid w:val="009F051D"/>
    <w:rPr>
      <w:color w:val="0563C1" w:themeColor="hyperlink"/>
      <w:u w:val="single"/>
    </w:rPr>
  </w:style>
  <w:style w:type="character" w:styleId="CommentReference">
    <w:name w:val="annotation reference"/>
    <w:basedOn w:val="DefaultParagraphFont"/>
    <w:uiPriority w:val="99"/>
    <w:semiHidden/>
    <w:unhideWhenUsed/>
    <w:rsid w:val="00744909"/>
    <w:rPr>
      <w:sz w:val="16"/>
      <w:szCs w:val="16"/>
    </w:rPr>
  </w:style>
  <w:style w:type="paragraph" w:styleId="CommentText">
    <w:name w:val="annotation text"/>
    <w:basedOn w:val="Normal"/>
    <w:link w:val="CommentTextChar"/>
    <w:uiPriority w:val="99"/>
    <w:semiHidden/>
    <w:unhideWhenUsed/>
    <w:rsid w:val="00744909"/>
    <w:pPr>
      <w:spacing w:line="240" w:lineRule="auto"/>
    </w:pPr>
    <w:rPr>
      <w:sz w:val="20"/>
      <w:szCs w:val="20"/>
    </w:rPr>
  </w:style>
  <w:style w:type="character" w:customStyle="1" w:styleId="CommentTextChar">
    <w:name w:val="Comment Text Char"/>
    <w:basedOn w:val="DefaultParagraphFont"/>
    <w:link w:val="CommentText"/>
    <w:uiPriority w:val="99"/>
    <w:semiHidden/>
    <w:rsid w:val="00744909"/>
    <w:rPr>
      <w:sz w:val="20"/>
      <w:szCs w:val="20"/>
    </w:rPr>
  </w:style>
  <w:style w:type="paragraph" w:styleId="CommentSubject">
    <w:name w:val="annotation subject"/>
    <w:basedOn w:val="CommentText"/>
    <w:next w:val="CommentText"/>
    <w:link w:val="CommentSubjectChar"/>
    <w:uiPriority w:val="99"/>
    <w:semiHidden/>
    <w:unhideWhenUsed/>
    <w:rsid w:val="00744909"/>
    <w:rPr>
      <w:b/>
      <w:bCs/>
    </w:rPr>
  </w:style>
  <w:style w:type="character" w:customStyle="1" w:styleId="CommentSubjectChar">
    <w:name w:val="Comment Subject Char"/>
    <w:basedOn w:val="CommentTextChar"/>
    <w:link w:val="CommentSubject"/>
    <w:uiPriority w:val="99"/>
    <w:semiHidden/>
    <w:rsid w:val="00744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672367">
      <w:bodyDiv w:val="1"/>
      <w:marLeft w:val="0"/>
      <w:marRight w:val="0"/>
      <w:marTop w:val="0"/>
      <w:marBottom w:val="0"/>
      <w:divBdr>
        <w:top w:val="none" w:sz="0" w:space="0" w:color="auto"/>
        <w:left w:val="none" w:sz="0" w:space="0" w:color="auto"/>
        <w:bottom w:val="none" w:sz="0" w:space="0" w:color="auto"/>
        <w:right w:val="none" w:sz="0" w:space="0" w:color="auto"/>
      </w:divBdr>
    </w:div>
    <w:div w:id="1885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s://www.pittsh.com.au/cms_uploads/docs/australian-bridge-inspection-processes.pdf"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9787-8506-42E9-98EF-8D19C850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Lokuge</dc:creator>
  <cp:keywords/>
  <dc:description/>
  <cp:lastModifiedBy>Weena Lokuge</cp:lastModifiedBy>
  <cp:revision>10</cp:revision>
  <dcterms:created xsi:type="dcterms:W3CDTF">2017-08-27T21:29:00Z</dcterms:created>
  <dcterms:modified xsi:type="dcterms:W3CDTF">2017-08-27T22:04:00Z</dcterms:modified>
</cp:coreProperties>
</file>