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DB" w:rsidRDefault="00B820DB" w:rsidP="00FB7C64">
      <w:pPr>
        <w:autoSpaceDE w:val="0"/>
        <w:autoSpaceDN w:val="0"/>
        <w:adjustRightInd w:val="0"/>
        <w:spacing w:line="480" w:lineRule="auto"/>
        <w:jc w:val="both"/>
        <w:rPr>
          <w:rFonts w:ascii="Times New Roman" w:hAnsi="Times New Roman"/>
          <w:b/>
          <w:bCs/>
          <w:sz w:val="28"/>
          <w:szCs w:val="28"/>
          <w:lang w:val="en-AU" w:bidi="ar-SA"/>
        </w:rPr>
      </w:pPr>
    </w:p>
    <w:p w:rsidR="00B820DB" w:rsidRPr="00D934EE" w:rsidRDefault="00B820DB" w:rsidP="00FB7C64">
      <w:pPr>
        <w:autoSpaceDE w:val="0"/>
        <w:autoSpaceDN w:val="0"/>
        <w:adjustRightInd w:val="0"/>
        <w:spacing w:line="480" w:lineRule="auto"/>
        <w:jc w:val="center"/>
        <w:rPr>
          <w:rFonts w:ascii="Times New Roman" w:hAnsi="Times New Roman"/>
          <w:b/>
          <w:bCs/>
          <w:sz w:val="32"/>
          <w:szCs w:val="32"/>
          <w:lang w:val="en-AU" w:bidi="ar-SA"/>
        </w:rPr>
      </w:pPr>
      <w:r w:rsidRPr="00952F62">
        <w:rPr>
          <w:rFonts w:asciiTheme="majorBidi" w:hAnsiTheme="majorBidi" w:cstheme="majorBidi"/>
          <w:b/>
          <w:bCs/>
          <w:sz w:val="36"/>
          <w:szCs w:val="36"/>
        </w:rPr>
        <w:t>Optical properties of a</w:t>
      </w:r>
      <w:r>
        <w:rPr>
          <w:rFonts w:asciiTheme="majorBidi" w:hAnsiTheme="majorBidi" w:cstheme="majorBidi"/>
          <w:b/>
          <w:bCs/>
          <w:sz w:val="36"/>
          <w:szCs w:val="36"/>
        </w:rPr>
        <w:t xml:space="preserve"> </w:t>
      </w:r>
      <w:r w:rsidRPr="00952F62">
        <w:rPr>
          <w:rFonts w:asciiTheme="majorBidi" w:hAnsiTheme="majorBidi" w:cstheme="majorBidi"/>
          <w:b/>
          <w:bCs/>
          <w:sz w:val="36"/>
          <w:szCs w:val="36"/>
        </w:rPr>
        <w:t>long dynamic range chemical UV dosimeter</w:t>
      </w:r>
      <w:r>
        <w:rPr>
          <w:rFonts w:asciiTheme="majorBidi" w:hAnsiTheme="majorBidi" w:cstheme="majorBidi"/>
          <w:b/>
          <w:bCs/>
          <w:sz w:val="36"/>
          <w:szCs w:val="36"/>
        </w:rPr>
        <w:t xml:space="preserve"> </w:t>
      </w:r>
      <w:r w:rsidRPr="00952F62">
        <w:rPr>
          <w:rFonts w:asciiTheme="majorBidi" w:hAnsiTheme="majorBidi" w:cstheme="majorBidi"/>
          <w:b/>
          <w:bCs/>
          <w:sz w:val="36"/>
          <w:szCs w:val="36"/>
        </w:rPr>
        <w:t>based on solvent cast polyvinyl chloride (PVC)</w:t>
      </w:r>
    </w:p>
    <w:p w:rsidR="00B820DB" w:rsidRDefault="00B820DB" w:rsidP="00FB7C64">
      <w:pPr>
        <w:autoSpaceDE w:val="0"/>
        <w:autoSpaceDN w:val="0"/>
        <w:adjustRightInd w:val="0"/>
        <w:spacing w:line="480" w:lineRule="auto"/>
        <w:jc w:val="both"/>
        <w:rPr>
          <w:rFonts w:ascii="Times New Roman" w:hAnsi="Times New Roman"/>
          <w:b/>
          <w:bCs/>
          <w:sz w:val="28"/>
          <w:szCs w:val="28"/>
          <w:lang w:val="en-AU" w:bidi="ar-SA"/>
        </w:rPr>
      </w:pPr>
    </w:p>
    <w:p w:rsidR="00B820DB" w:rsidRDefault="00B820DB" w:rsidP="00FB7C64">
      <w:pPr>
        <w:autoSpaceDE w:val="0"/>
        <w:autoSpaceDN w:val="0"/>
        <w:adjustRightInd w:val="0"/>
        <w:spacing w:line="480" w:lineRule="auto"/>
        <w:jc w:val="both"/>
        <w:rPr>
          <w:rFonts w:ascii="Times New Roman" w:hAnsi="Times New Roman"/>
          <w:sz w:val="16"/>
          <w:szCs w:val="16"/>
          <w:lang w:val="en-AU" w:bidi="ar-SA"/>
        </w:rPr>
      </w:pPr>
      <w:r>
        <w:rPr>
          <w:rFonts w:ascii="Times New Roman" w:hAnsi="Times New Roman"/>
          <w:lang w:val="en-AU" w:bidi="ar-SA"/>
        </w:rPr>
        <w:t>Abdurazaq Amar</w:t>
      </w:r>
      <w:r w:rsidRPr="005F2E45">
        <w:rPr>
          <w:rFonts w:ascii="Times New Roman" w:hAnsi="Times New Roman"/>
          <w:vertAlign w:val="superscript"/>
          <w:lang w:val="en-AU" w:bidi="ar-SA"/>
        </w:rPr>
        <w:t>1 #</w:t>
      </w:r>
      <w:r w:rsidRPr="005F2E45">
        <w:rPr>
          <w:rFonts w:ascii="Times New Roman" w:hAnsi="Times New Roman"/>
          <w:lang w:val="en-AU" w:bidi="ar-SA"/>
        </w:rPr>
        <w:t xml:space="preserve"> </w:t>
      </w:r>
      <w:r>
        <w:rPr>
          <w:rFonts w:ascii="Times New Roman" w:hAnsi="Times New Roman"/>
          <w:lang w:val="en-AU" w:bidi="ar-SA"/>
        </w:rPr>
        <w:t>and Alfio V. Parisi</w:t>
      </w:r>
      <w:r w:rsidRPr="005F2E45">
        <w:rPr>
          <w:rFonts w:ascii="Times New Roman" w:hAnsi="Times New Roman"/>
          <w:vertAlign w:val="superscript"/>
          <w:lang w:val="en-AU" w:bidi="ar-SA"/>
        </w:rPr>
        <w:t>1</w:t>
      </w:r>
    </w:p>
    <w:p w:rsidR="00B820DB" w:rsidRDefault="00B820DB" w:rsidP="00FB7C64">
      <w:pPr>
        <w:autoSpaceDE w:val="0"/>
        <w:autoSpaceDN w:val="0"/>
        <w:adjustRightInd w:val="0"/>
        <w:spacing w:line="480" w:lineRule="auto"/>
        <w:jc w:val="both"/>
        <w:rPr>
          <w:rFonts w:ascii="Times New Roman" w:hAnsi="Times New Roman"/>
          <w:lang w:val="en-AU" w:bidi="ar-SA"/>
        </w:rPr>
      </w:pPr>
      <w:proofErr w:type="gramStart"/>
      <w:r w:rsidRPr="005F2E45">
        <w:rPr>
          <w:rFonts w:ascii="Times New Roman" w:hAnsi="Times New Roman"/>
          <w:vertAlign w:val="superscript"/>
          <w:lang w:val="en-AU" w:bidi="ar-SA"/>
        </w:rPr>
        <w:t>1</w:t>
      </w:r>
      <w:r>
        <w:rPr>
          <w:rFonts w:ascii="Times New Roman" w:hAnsi="Times New Roman"/>
          <w:lang w:val="en-AU" w:bidi="ar-SA"/>
        </w:rPr>
        <w:t>Faculty of Sciences, University of Southern Queensland, Toowoomba, Australia.</w:t>
      </w:r>
      <w:proofErr w:type="gramEnd"/>
    </w:p>
    <w:p w:rsidR="00B820DB" w:rsidRDefault="00B820DB" w:rsidP="00FB7C64">
      <w:pPr>
        <w:autoSpaceDE w:val="0"/>
        <w:autoSpaceDN w:val="0"/>
        <w:adjustRightInd w:val="0"/>
        <w:spacing w:line="480" w:lineRule="auto"/>
        <w:jc w:val="both"/>
        <w:rPr>
          <w:rFonts w:ascii="Times New Roman" w:hAnsi="Times New Roman"/>
          <w:b/>
          <w:bCs/>
          <w:lang w:val="en-AU" w:bidi="ar-SA"/>
        </w:rPr>
      </w:pPr>
    </w:p>
    <w:p w:rsidR="00B820DB" w:rsidRDefault="00B820DB" w:rsidP="00FB7C64">
      <w:pPr>
        <w:autoSpaceDE w:val="0"/>
        <w:autoSpaceDN w:val="0"/>
        <w:adjustRightInd w:val="0"/>
        <w:spacing w:line="480" w:lineRule="auto"/>
        <w:jc w:val="both"/>
        <w:rPr>
          <w:rFonts w:ascii="Times New Roman" w:hAnsi="Times New Roman"/>
          <w:b/>
          <w:bCs/>
          <w:lang w:val="en-AU" w:bidi="ar-SA"/>
        </w:rPr>
      </w:pPr>
      <w:r>
        <w:rPr>
          <w:rFonts w:ascii="Times New Roman" w:hAnsi="Times New Roman"/>
          <w:b/>
          <w:bCs/>
          <w:lang w:val="en-AU" w:bidi="ar-SA"/>
        </w:rPr>
        <w:t>Postal address:</w:t>
      </w:r>
    </w:p>
    <w:p w:rsidR="00B820DB" w:rsidRDefault="00B820DB" w:rsidP="00FB7C64">
      <w:pPr>
        <w:autoSpaceDE w:val="0"/>
        <w:autoSpaceDN w:val="0"/>
        <w:adjustRightInd w:val="0"/>
        <w:spacing w:line="480" w:lineRule="auto"/>
        <w:jc w:val="both"/>
        <w:rPr>
          <w:rFonts w:ascii="Times New Roman" w:hAnsi="Times New Roman"/>
          <w:lang w:val="en-AU" w:bidi="ar-SA"/>
        </w:rPr>
      </w:pPr>
      <w:r>
        <w:rPr>
          <w:rFonts w:ascii="Times New Roman" w:hAnsi="Times New Roman"/>
          <w:lang w:val="en-AU" w:bidi="ar-SA"/>
        </w:rPr>
        <w:t>University of Southern Queensland</w:t>
      </w:r>
    </w:p>
    <w:p w:rsidR="00B820DB" w:rsidRDefault="00B820DB" w:rsidP="00FB7C64">
      <w:pPr>
        <w:autoSpaceDE w:val="0"/>
        <w:autoSpaceDN w:val="0"/>
        <w:adjustRightInd w:val="0"/>
        <w:spacing w:line="480" w:lineRule="auto"/>
        <w:jc w:val="both"/>
        <w:rPr>
          <w:rFonts w:ascii="Times New Roman" w:hAnsi="Times New Roman"/>
          <w:lang w:val="en-AU" w:bidi="ar-SA"/>
        </w:rPr>
      </w:pPr>
      <w:r>
        <w:rPr>
          <w:rFonts w:ascii="Times New Roman" w:hAnsi="Times New Roman"/>
          <w:lang w:val="en-AU" w:bidi="ar-SA"/>
        </w:rPr>
        <w:t>Toowoomba Qld 4350</w:t>
      </w:r>
    </w:p>
    <w:p w:rsidR="00B820DB" w:rsidRDefault="00B820DB" w:rsidP="00FB7C64">
      <w:pPr>
        <w:autoSpaceDE w:val="0"/>
        <w:autoSpaceDN w:val="0"/>
        <w:adjustRightInd w:val="0"/>
        <w:spacing w:line="480" w:lineRule="auto"/>
        <w:jc w:val="both"/>
        <w:rPr>
          <w:rFonts w:ascii="Times New Roman" w:hAnsi="Times New Roman"/>
          <w:lang w:val="en-AU" w:bidi="ar-SA"/>
        </w:rPr>
      </w:pPr>
      <w:r>
        <w:rPr>
          <w:rFonts w:ascii="Times New Roman" w:hAnsi="Times New Roman"/>
          <w:lang w:val="en-AU" w:bidi="ar-SA"/>
        </w:rPr>
        <w:t>Australia</w:t>
      </w:r>
    </w:p>
    <w:p w:rsidR="00B820DB" w:rsidRDefault="00B820DB" w:rsidP="00FB7C64">
      <w:pPr>
        <w:autoSpaceDE w:val="0"/>
        <w:autoSpaceDN w:val="0"/>
        <w:adjustRightInd w:val="0"/>
        <w:spacing w:line="480" w:lineRule="auto"/>
        <w:jc w:val="both"/>
        <w:rPr>
          <w:rFonts w:ascii="Times New Roman" w:hAnsi="Times New Roman"/>
          <w:vertAlign w:val="superscript"/>
          <w:lang w:val="en-AU" w:bidi="ar-SA"/>
        </w:rPr>
      </w:pPr>
    </w:p>
    <w:p w:rsidR="00B820DB" w:rsidRDefault="00B820DB" w:rsidP="00FB7C64">
      <w:pPr>
        <w:autoSpaceDE w:val="0"/>
        <w:autoSpaceDN w:val="0"/>
        <w:adjustRightInd w:val="0"/>
        <w:spacing w:line="480" w:lineRule="auto"/>
        <w:jc w:val="both"/>
        <w:rPr>
          <w:rFonts w:ascii="Times New Roman" w:hAnsi="Times New Roman"/>
          <w:lang w:val="en-AU" w:bidi="ar-SA"/>
        </w:rPr>
      </w:pPr>
      <w:r w:rsidRPr="005F2E45">
        <w:rPr>
          <w:rFonts w:ascii="Times New Roman" w:hAnsi="Times New Roman"/>
          <w:vertAlign w:val="superscript"/>
          <w:lang w:val="en-AU" w:bidi="ar-SA"/>
        </w:rPr>
        <w:t>#</w:t>
      </w:r>
      <w:proofErr w:type="gramStart"/>
      <w:r>
        <w:rPr>
          <w:rFonts w:ascii="Times New Roman" w:hAnsi="Times New Roman"/>
          <w:lang w:val="en-AU" w:bidi="ar-SA"/>
        </w:rPr>
        <w:t>Corresponding</w:t>
      </w:r>
      <w:proofErr w:type="gramEnd"/>
      <w:r>
        <w:rPr>
          <w:rFonts w:ascii="Times New Roman" w:hAnsi="Times New Roman"/>
          <w:lang w:val="en-AU" w:bidi="ar-SA"/>
        </w:rPr>
        <w:t xml:space="preserve"> author, Email: Abdurazaq.Amar@usq.edu.au</w:t>
      </w:r>
    </w:p>
    <w:p w:rsidR="00B820DB" w:rsidRDefault="00B820DB" w:rsidP="00FB7C64">
      <w:pPr>
        <w:autoSpaceDE w:val="0"/>
        <w:autoSpaceDN w:val="0"/>
        <w:adjustRightInd w:val="0"/>
        <w:spacing w:line="480" w:lineRule="auto"/>
        <w:jc w:val="both"/>
        <w:rPr>
          <w:rFonts w:ascii="Times New Roman" w:hAnsi="Times New Roman"/>
          <w:lang w:val="en-AU" w:bidi="ar-SA"/>
        </w:rPr>
      </w:pPr>
      <w:r>
        <w:rPr>
          <w:rFonts w:ascii="Times New Roman" w:hAnsi="Times New Roman"/>
          <w:lang w:val="en-AU" w:bidi="ar-SA"/>
        </w:rPr>
        <w:t>Mobile phone: +61401553756</w:t>
      </w:r>
    </w:p>
    <w:p w:rsidR="00B820DB" w:rsidRDefault="00B820DB" w:rsidP="00FB7C64">
      <w:pPr>
        <w:spacing w:line="480" w:lineRule="auto"/>
        <w:jc w:val="center"/>
        <w:rPr>
          <w:rFonts w:asciiTheme="majorBidi" w:hAnsiTheme="majorBidi" w:cstheme="majorBidi"/>
          <w:b/>
          <w:bCs/>
          <w:sz w:val="36"/>
          <w:szCs w:val="36"/>
          <w:lang w:val="en-AU"/>
        </w:rPr>
      </w:pPr>
    </w:p>
    <w:p w:rsidR="00B820DB" w:rsidRDefault="00B820DB" w:rsidP="00FB7C64">
      <w:pPr>
        <w:spacing w:line="480" w:lineRule="auto"/>
        <w:jc w:val="center"/>
        <w:rPr>
          <w:rFonts w:asciiTheme="majorBidi" w:hAnsiTheme="majorBidi" w:cstheme="majorBidi"/>
          <w:b/>
          <w:bCs/>
          <w:sz w:val="36"/>
          <w:szCs w:val="36"/>
          <w:lang w:val="en-AU"/>
        </w:rPr>
      </w:pPr>
    </w:p>
    <w:p w:rsidR="00B820DB" w:rsidRDefault="00B820DB" w:rsidP="00FB7C64">
      <w:pPr>
        <w:spacing w:line="480" w:lineRule="auto"/>
        <w:jc w:val="center"/>
        <w:rPr>
          <w:rFonts w:asciiTheme="majorBidi" w:hAnsiTheme="majorBidi" w:cstheme="majorBidi"/>
          <w:b/>
          <w:bCs/>
          <w:sz w:val="36"/>
          <w:szCs w:val="36"/>
          <w:lang w:val="en-AU"/>
        </w:rPr>
      </w:pPr>
    </w:p>
    <w:p w:rsidR="00B820DB" w:rsidRDefault="00B820DB" w:rsidP="00FB7C64">
      <w:pPr>
        <w:spacing w:line="480" w:lineRule="auto"/>
        <w:jc w:val="center"/>
        <w:rPr>
          <w:rFonts w:asciiTheme="majorBidi" w:hAnsiTheme="majorBidi" w:cstheme="majorBidi"/>
          <w:b/>
          <w:bCs/>
          <w:sz w:val="36"/>
          <w:szCs w:val="36"/>
          <w:lang w:val="en-AU"/>
        </w:rPr>
      </w:pPr>
    </w:p>
    <w:p w:rsidR="00B820DB" w:rsidRDefault="00B820DB" w:rsidP="00FB7C64">
      <w:pPr>
        <w:spacing w:line="480" w:lineRule="auto"/>
        <w:jc w:val="center"/>
        <w:rPr>
          <w:rFonts w:asciiTheme="majorBidi" w:hAnsiTheme="majorBidi" w:cstheme="majorBidi"/>
          <w:b/>
          <w:bCs/>
          <w:sz w:val="36"/>
          <w:szCs w:val="36"/>
          <w:lang w:val="en-AU"/>
        </w:rPr>
      </w:pPr>
    </w:p>
    <w:p w:rsidR="00B820DB" w:rsidRDefault="00B820DB" w:rsidP="00FB7C64">
      <w:pPr>
        <w:spacing w:line="480" w:lineRule="auto"/>
        <w:jc w:val="center"/>
        <w:rPr>
          <w:rFonts w:asciiTheme="majorBidi" w:hAnsiTheme="majorBidi" w:cstheme="majorBidi"/>
          <w:b/>
          <w:bCs/>
          <w:sz w:val="36"/>
          <w:szCs w:val="36"/>
          <w:lang w:val="en-AU"/>
        </w:rPr>
      </w:pPr>
    </w:p>
    <w:p w:rsidR="00B820DB" w:rsidRDefault="00B820DB" w:rsidP="00FB7C64">
      <w:pPr>
        <w:pStyle w:val="Heading1"/>
        <w:jc w:val="center"/>
      </w:pPr>
    </w:p>
    <w:p w:rsidR="00B820DB" w:rsidRPr="00566166" w:rsidRDefault="00B820DB" w:rsidP="00FB7C64"/>
    <w:p w:rsidR="00B820DB" w:rsidRDefault="00B820DB" w:rsidP="00FB7C64">
      <w:pPr>
        <w:pStyle w:val="Heading1"/>
        <w:jc w:val="center"/>
      </w:pPr>
    </w:p>
    <w:p w:rsidR="00B820DB" w:rsidRDefault="00B820DB" w:rsidP="00FB7C64">
      <w:pPr>
        <w:pStyle w:val="Heading1"/>
        <w:spacing w:line="480" w:lineRule="auto"/>
      </w:pPr>
      <w:r>
        <w:t>Abstract</w:t>
      </w:r>
    </w:p>
    <w:p w:rsidR="00B820DB" w:rsidRDefault="00B820DB" w:rsidP="00FB7C64">
      <w:pPr>
        <w:spacing w:line="480" w:lineRule="auto"/>
        <w:jc w:val="both"/>
      </w:pPr>
      <w:r>
        <w:t xml:space="preserve">The </w:t>
      </w:r>
      <w:proofErr w:type="spellStart"/>
      <w:r>
        <w:t>dosimetric</w:t>
      </w:r>
      <w:proofErr w:type="spellEnd"/>
      <w:r>
        <w:t xml:space="preserve"> properties of the recently introduced UV dosimeter based on 16 </w:t>
      </w:r>
      <w:r>
        <w:rPr>
          <w:rFonts w:cstheme="minorHAnsi"/>
        </w:rPr>
        <w:t>µ</w:t>
      </w:r>
      <w:r>
        <w:t xml:space="preserve">m PVC film have been fully characterized. Drying the thin film in air at 50 </w:t>
      </w:r>
      <w:r>
        <w:rPr>
          <w:rFonts w:cstheme="minorHAnsi"/>
        </w:rPr>
        <w:t>º</w:t>
      </w:r>
      <w:r>
        <w:t>C for at least 28 days was found to be necessary to minimise the temperature effects on the dosimeter response. This research has found that the dosimeter response, previously reported to be mainly to UVB, has no significant dependence on either exposure temperature or dose rate. The dosimeter has negligible dark reaction and responds to the UV radiation with high reproducibility. The dosimeter angular response was found to have a similar pattern as the cosine function but deviates considerably at angles larger than 70</w:t>
      </w:r>
      <w:r>
        <w:rPr>
          <w:rFonts w:cstheme="minorHAnsi"/>
        </w:rPr>
        <w:t>º</w:t>
      </w:r>
      <w:r>
        <w:t xml:space="preserve">. Dose response curves exhibit monotonically increasing shape and the dosimeter can measure more than 900 SED. This is about three weeks of continuous exposure during summer at subtropical sites.  Exposures measured by the PVC dosimeter for some anatomical sites exposed to solar radiation for twelve consecutive days were comparable with those concurrently measured by a series of PPO dosimeters and were in line with earlier results reported in similar studies.       </w:t>
      </w:r>
    </w:p>
    <w:p w:rsidR="00B820DB" w:rsidRDefault="00B820DB" w:rsidP="00FB7C64">
      <w:pPr>
        <w:spacing w:line="480" w:lineRule="auto"/>
        <w:jc w:val="both"/>
      </w:pPr>
    </w:p>
    <w:p w:rsidR="00B820DB" w:rsidRDefault="00B820DB" w:rsidP="00FB7C64">
      <w:pPr>
        <w:spacing w:line="480" w:lineRule="auto"/>
        <w:jc w:val="both"/>
      </w:pPr>
    </w:p>
    <w:p w:rsidR="00B820DB" w:rsidRDefault="00B820DB" w:rsidP="00FB7C64">
      <w:pPr>
        <w:spacing w:line="480" w:lineRule="auto"/>
        <w:jc w:val="both"/>
      </w:pPr>
    </w:p>
    <w:p w:rsidR="00B820DB" w:rsidRDefault="00B820DB" w:rsidP="00FB7C64">
      <w:pPr>
        <w:spacing w:line="480" w:lineRule="auto"/>
        <w:jc w:val="both"/>
      </w:pPr>
    </w:p>
    <w:p w:rsidR="00B820DB" w:rsidRDefault="00B820DB" w:rsidP="00FB7C64">
      <w:pPr>
        <w:spacing w:line="480" w:lineRule="auto"/>
        <w:jc w:val="both"/>
      </w:pPr>
    </w:p>
    <w:p w:rsidR="00B820DB" w:rsidRDefault="00B820DB" w:rsidP="00FB7C64">
      <w:pPr>
        <w:spacing w:line="480" w:lineRule="auto"/>
        <w:jc w:val="both"/>
      </w:pPr>
    </w:p>
    <w:p w:rsidR="00B820DB" w:rsidRPr="006C16DA" w:rsidRDefault="00B820DB" w:rsidP="00FB7C64">
      <w:pPr>
        <w:spacing w:line="480" w:lineRule="auto"/>
        <w:jc w:val="both"/>
      </w:pPr>
    </w:p>
    <w:p w:rsidR="00B820DB" w:rsidRPr="007309D9" w:rsidRDefault="00B820DB" w:rsidP="00FB7C64">
      <w:pPr>
        <w:pStyle w:val="Heading1"/>
        <w:numPr>
          <w:ilvl w:val="0"/>
          <w:numId w:val="1"/>
        </w:numPr>
        <w:spacing w:line="360" w:lineRule="auto"/>
      </w:pPr>
      <w:r>
        <w:lastRenderedPageBreak/>
        <w:t>Introduction</w:t>
      </w:r>
    </w:p>
    <w:p w:rsidR="00B820DB" w:rsidRPr="00CB1217" w:rsidRDefault="00B820DB" w:rsidP="00FB7C64">
      <w:pPr>
        <w:spacing w:line="480" w:lineRule="auto"/>
        <w:jc w:val="both"/>
        <w:rPr>
          <w:rFonts w:ascii="Times New Roman" w:hAnsi="Times New Roman"/>
        </w:rPr>
      </w:pPr>
      <w:r>
        <w:rPr>
          <w:rFonts w:ascii="Times New Roman" w:hAnsi="Times New Roman"/>
        </w:rPr>
        <w:t xml:space="preserve">Chemically-based ultraviolet (UV) radiation dosimeters have been widely used in personal UV exposure measurements since 1976. Despite the development of the electronic ultraviolet (EUV) dosimeters, chemical UV dosimeters maintain their suitability in human exposure research as simple and economical UV monitors that require no power and can be miniaturised </w:t>
      </w:r>
      <w:r>
        <w:rPr>
          <w:rFonts w:ascii="Times New Roman" w:hAnsi="Times New Roman"/>
          <w:noProof/>
        </w:rPr>
        <w:t>[1, 2]</w:t>
      </w:r>
      <w:r>
        <w:rPr>
          <w:rFonts w:ascii="Times New Roman" w:hAnsi="Times New Roman"/>
        </w:rPr>
        <w:t xml:space="preserve">. The most commonly used chemical UV dosimeters are the </w:t>
      </w:r>
      <w:proofErr w:type="spellStart"/>
      <w:r>
        <w:rPr>
          <w:rFonts w:ascii="Times New Roman" w:hAnsi="Times New Roman"/>
        </w:rPr>
        <w:t>polysulphone</w:t>
      </w:r>
      <w:proofErr w:type="spellEnd"/>
      <w:r>
        <w:rPr>
          <w:rFonts w:ascii="Times New Roman" w:hAnsi="Times New Roman"/>
        </w:rPr>
        <w:t xml:space="preserve"> (PS) </w:t>
      </w:r>
      <w:r>
        <w:rPr>
          <w:rFonts w:ascii="Times New Roman" w:hAnsi="Times New Roman"/>
          <w:noProof/>
        </w:rPr>
        <w:t>[3]</w:t>
      </w:r>
      <w:r>
        <w:rPr>
          <w:rFonts w:ascii="Times New Roman" w:hAnsi="Times New Roman"/>
        </w:rPr>
        <w:t xml:space="preserve"> and </w:t>
      </w:r>
      <w:proofErr w:type="spellStart"/>
      <w:r>
        <w:rPr>
          <w:rFonts w:ascii="Times New Roman" w:hAnsi="Times New Roman"/>
        </w:rPr>
        <w:t>polyphenylene</w:t>
      </w:r>
      <w:proofErr w:type="spellEnd"/>
      <w:r>
        <w:rPr>
          <w:rFonts w:ascii="Times New Roman" w:hAnsi="Times New Roman"/>
        </w:rPr>
        <w:t xml:space="preserve"> oxide (PPO) </w:t>
      </w:r>
      <w:r>
        <w:rPr>
          <w:rFonts w:ascii="Times New Roman" w:hAnsi="Times New Roman"/>
          <w:noProof/>
        </w:rPr>
        <w:t>[4, 5]</w:t>
      </w:r>
      <w:r>
        <w:rPr>
          <w:rFonts w:ascii="Times New Roman" w:hAnsi="Times New Roman"/>
        </w:rPr>
        <w:t xml:space="preserve"> dosimeters. The PS dosimeter has long been employed in quantifying human exposure to solar UV in different environments during various activities </w:t>
      </w:r>
      <w:r>
        <w:rPr>
          <w:rFonts w:ascii="Times New Roman" w:hAnsi="Times New Roman"/>
          <w:noProof/>
        </w:rPr>
        <w:t>[6-15]</w:t>
      </w:r>
      <w:r>
        <w:rPr>
          <w:rFonts w:ascii="Times New Roman" w:hAnsi="Times New Roman"/>
        </w:rPr>
        <w:t xml:space="preserve">; and effectively used in evaluating UV minimizing strategies </w:t>
      </w:r>
      <w:r>
        <w:rPr>
          <w:rFonts w:ascii="Times New Roman" w:hAnsi="Times New Roman"/>
          <w:noProof/>
        </w:rPr>
        <w:t>[16-18]</w:t>
      </w:r>
      <w:r>
        <w:rPr>
          <w:rFonts w:ascii="Times New Roman" w:hAnsi="Times New Roman"/>
        </w:rPr>
        <w:t xml:space="preserve">. The PPO dosimeter, employed later than PS, has also been successfully utilised in measuring UV exposures in terrestrial and aquatic environments </w:t>
      </w:r>
      <w:r>
        <w:rPr>
          <w:rFonts w:ascii="Times New Roman" w:hAnsi="Times New Roman"/>
          <w:noProof/>
        </w:rPr>
        <w:t>[19-21]</w:t>
      </w:r>
      <w:r>
        <w:rPr>
          <w:rFonts w:ascii="Times New Roman" w:hAnsi="Times New Roman"/>
        </w:rPr>
        <w:t xml:space="preserve">. The dynamic range of PS and PPO is limited to up to eight hours and five days respectively of exposure to solar UV radiation. Consequently, the dosimeters have to be replaced periodically for longer measurements, </w:t>
      </w:r>
      <w:r w:rsidRPr="00CB1217">
        <w:rPr>
          <w:rFonts w:ascii="Times New Roman" w:hAnsi="Times New Roman"/>
        </w:rPr>
        <w:t>increasing the cost, effort and margin of error of the measurements.</w:t>
      </w:r>
    </w:p>
    <w:p w:rsidR="00B820DB" w:rsidRPr="00CB1217" w:rsidRDefault="00B820DB" w:rsidP="00CB1217">
      <w:pPr>
        <w:spacing w:line="480" w:lineRule="auto"/>
        <w:jc w:val="both"/>
        <w:rPr>
          <w:rFonts w:ascii="Times New Roman" w:hAnsi="Times New Roman"/>
        </w:rPr>
      </w:pPr>
      <w:r w:rsidRPr="00CB1217">
        <w:rPr>
          <w:rFonts w:ascii="Times New Roman" w:hAnsi="Times New Roman"/>
        </w:rPr>
        <w:t xml:space="preserve">Quantifying long-term personal UV exposure has a great importance, particularly for studies of latent outcomes of exposure to UV radiation </w:t>
      </w:r>
      <w:r w:rsidRPr="00CB1217">
        <w:rPr>
          <w:rFonts w:ascii="Times New Roman" w:hAnsi="Times New Roman"/>
          <w:noProof/>
        </w:rPr>
        <w:t>[22]</w:t>
      </w:r>
      <w:r w:rsidRPr="00CB1217">
        <w:rPr>
          <w:rFonts w:ascii="Times New Roman" w:hAnsi="Times New Roman"/>
        </w:rPr>
        <w:t xml:space="preserve">. It is well known that cumulative exposure throughout lifetime is a risk factor </w:t>
      </w:r>
      <w:r w:rsidR="00FD5075" w:rsidRPr="00CB1217">
        <w:rPr>
          <w:rFonts w:ascii="Times New Roman" w:hAnsi="Times New Roman"/>
        </w:rPr>
        <w:t>for</w:t>
      </w:r>
      <w:r w:rsidRPr="00CB1217">
        <w:rPr>
          <w:rFonts w:ascii="Times New Roman" w:hAnsi="Times New Roman"/>
        </w:rPr>
        <w:t xml:space="preserve"> a number of cutaneous diseases, including </w:t>
      </w:r>
      <w:proofErr w:type="spellStart"/>
      <w:r w:rsidRPr="00CB1217">
        <w:rPr>
          <w:rFonts w:ascii="Times New Roman" w:hAnsi="Times New Roman"/>
        </w:rPr>
        <w:t>photaging</w:t>
      </w:r>
      <w:proofErr w:type="spellEnd"/>
      <w:r w:rsidRPr="00CB1217">
        <w:rPr>
          <w:rFonts w:ascii="Times New Roman" w:hAnsi="Times New Roman"/>
        </w:rPr>
        <w:t xml:space="preserve"> </w:t>
      </w:r>
      <w:r w:rsidRPr="00CB1217">
        <w:rPr>
          <w:rFonts w:ascii="Times New Roman" w:hAnsi="Times New Roman"/>
          <w:noProof/>
        </w:rPr>
        <w:t>[23]</w:t>
      </w:r>
      <w:r w:rsidRPr="00CB1217">
        <w:rPr>
          <w:rFonts w:ascii="Times New Roman" w:hAnsi="Times New Roman"/>
        </w:rPr>
        <w:t xml:space="preserve"> and some types of skin cancer </w:t>
      </w:r>
      <w:r w:rsidRPr="00CB1217">
        <w:rPr>
          <w:rFonts w:ascii="Times New Roman" w:hAnsi="Times New Roman"/>
          <w:noProof/>
        </w:rPr>
        <w:t>[24]</w:t>
      </w:r>
      <w:r w:rsidRPr="00CB1217">
        <w:rPr>
          <w:rFonts w:ascii="Times New Roman" w:hAnsi="Times New Roman"/>
        </w:rPr>
        <w:t xml:space="preserve">, and ocular diseases such as </w:t>
      </w:r>
      <w:proofErr w:type="spellStart"/>
      <w:r w:rsidRPr="00CB1217">
        <w:rPr>
          <w:rFonts w:ascii="Times New Roman" w:hAnsi="Times New Roman"/>
          <w:lang w:val="en-AU" w:bidi="ar-SA"/>
        </w:rPr>
        <w:t>pterygium</w:t>
      </w:r>
      <w:proofErr w:type="spellEnd"/>
      <w:r w:rsidRPr="00CB1217">
        <w:rPr>
          <w:rFonts w:ascii="Times New Roman" w:hAnsi="Times New Roman"/>
        </w:rPr>
        <w:t xml:space="preserve"> and cataracts </w:t>
      </w:r>
      <w:r w:rsidRPr="00CB1217">
        <w:rPr>
          <w:rFonts w:ascii="Times New Roman" w:hAnsi="Times New Roman"/>
          <w:noProof/>
        </w:rPr>
        <w:t>[25, 26]</w:t>
      </w:r>
      <w:r w:rsidRPr="00CB1217">
        <w:rPr>
          <w:rFonts w:ascii="Times New Roman" w:hAnsi="Times New Roman"/>
        </w:rPr>
        <w:t xml:space="preserve">. A long-term personal UV dosimeter takes into account the day-to-day variations in exposure related to personal activities and environmental conditions. Therefore, prolonged measurements will be more accurate and reliable than the results obtained using short dynamic range dosimeters. </w:t>
      </w:r>
    </w:p>
    <w:p w:rsidR="00B820DB" w:rsidRPr="000E6A9B" w:rsidRDefault="00B820DB" w:rsidP="00FB7C64">
      <w:pPr>
        <w:spacing w:line="480" w:lineRule="auto"/>
        <w:jc w:val="both"/>
        <w:rPr>
          <w:rFonts w:ascii="Times New Roman" w:hAnsi="Times New Roman"/>
          <w:color w:val="FF0000"/>
        </w:rPr>
      </w:pPr>
      <w:r>
        <w:rPr>
          <w:rFonts w:ascii="Times New Roman" w:hAnsi="Times New Roman"/>
        </w:rPr>
        <w:t xml:space="preserve">A new dosimeter based on a thin film of polyvinyl chloride (PVC) cast from </w:t>
      </w:r>
      <w:proofErr w:type="spellStart"/>
      <w:r>
        <w:rPr>
          <w:rFonts w:ascii="Times New Roman" w:hAnsi="Times New Roman"/>
        </w:rPr>
        <w:t>tetrahydrofuran</w:t>
      </w:r>
      <w:proofErr w:type="spellEnd"/>
      <w:r>
        <w:rPr>
          <w:rFonts w:ascii="Times New Roman" w:hAnsi="Times New Roman"/>
        </w:rPr>
        <w:t xml:space="preserve"> (THF) solution has recently been introduced with the ability of measuring at least two weeks of continuous exposure to solar UV radiation at subtropical sites </w:t>
      </w:r>
      <w:r>
        <w:rPr>
          <w:rFonts w:ascii="Times New Roman" w:hAnsi="Times New Roman"/>
          <w:noProof/>
        </w:rPr>
        <w:t>[27]</w:t>
      </w:r>
      <w:r>
        <w:rPr>
          <w:rFonts w:ascii="Times New Roman" w:hAnsi="Times New Roman"/>
        </w:rPr>
        <w:t xml:space="preserve">. </w:t>
      </w:r>
      <w:r w:rsidRPr="000E6A9B">
        <w:rPr>
          <w:rFonts w:ascii="Times New Roman" w:hAnsi="Times New Roman"/>
        </w:rPr>
        <w:t xml:space="preserve">Further research has </w:t>
      </w:r>
      <w:r w:rsidRPr="000E6A9B">
        <w:rPr>
          <w:rFonts w:ascii="Times New Roman" w:hAnsi="Times New Roman"/>
        </w:rPr>
        <w:lastRenderedPageBreak/>
        <w:t xml:space="preserve">identified the best PVC/THF mixing ratio to prepare the dosimeter as 10% and the ideal thickness of the dosimeter as 16 µm </w:t>
      </w:r>
      <w:r>
        <w:rPr>
          <w:rFonts w:ascii="Times New Roman" w:hAnsi="Times New Roman"/>
          <w:noProof/>
        </w:rPr>
        <w:t>[28]</w:t>
      </w:r>
      <w:r w:rsidRPr="000E6A9B">
        <w:rPr>
          <w:rFonts w:ascii="Times New Roman" w:hAnsi="Times New Roman"/>
        </w:rPr>
        <w:t xml:space="preserve">. In </w:t>
      </w:r>
      <w:r>
        <w:rPr>
          <w:rFonts w:ascii="Times New Roman" w:hAnsi="Times New Roman"/>
        </w:rPr>
        <w:t>the same research</w:t>
      </w:r>
      <w:r w:rsidRPr="000E6A9B">
        <w:rPr>
          <w:rFonts w:ascii="Times New Roman" w:hAnsi="Times New Roman"/>
        </w:rPr>
        <w:t xml:space="preserve">, the dosimeter </w:t>
      </w:r>
      <w:proofErr w:type="spellStart"/>
      <w:r>
        <w:rPr>
          <w:rFonts w:ascii="Times New Roman" w:hAnsi="Times New Roman"/>
        </w:rPr>
        <w:t>responsivity</w:t>
      </w:r>
      <w:proofErr w:type="spellEnd"/>
      <w:r>
        <w:rPr>
          <w:rFonts w:ascii="Times New Roman" w:hAnsi="Times New Roman"/>
        </w:rPr>
        <w:t xml:space="preserve"> was</w:t>
      </w:r>
      <w:r w:rsidRPr="000E6A9B">
        <w:rPr>
          <w:rFonts w:ascii="Times New Roman" w:hAnsi="Times New Roman"/>
        </w:rPr>
        <w:t xml:space="preserve"> </w:t>
      </w:r>
      <w:r>
        <w:rPr>
          <w:rFonts w:ascii="Times New Roman" w:hAnsi="Times New Roman"/>
        </w:rPr>
        <w:t>determined</w:t>
      </w:r>
      <w:r w:rsidRPr="000E6A9B">
        <w:rPr>
          <w:rFonts w:ascii="Times New Roman" w:hAnsi="Times New Roman"/>
        </w:rPr>
        <w:t xml:space="preserve"> </w:t>
      </w:r>
      <w:r>
        <w:rPr>
          <w:rFonts w:ascii="Times New Roman" w:hAnsi="Times New Roman"/>
        </w:rPr>
        <w:t>to be</w:t>
      </w:r>
      <w:r w:rsidRPr="000E6A9B">
        <w:rPr>
          <w:rFonts w:ascii="Times New Roman" w:hAnsi="Times New Roman"/>
        </w:rPr>
        <w:t xml:space="preserve"> mainly to the UVB </w:t>
      </w:r>
      <w:r>
        <w:rPr>
          <w:rFonts w:ascii="Times New Roman" w:hAnsi="Times New Roman"/>
        </w:rPr>
        <w:t>wave</w:t>
      </w:r>
      <w:r w:rsidRPr="000E6A9B">
        <w:rPr>
          <w:rFonts w:ascii="Times New Roman" w:hAnsi="Times New Roman"/>
        </w:rPr>
        <w:t xml:space="preserve">band and thereby </w:t>
      </w:r>
      <w:r>
        <w:rPr>
          <w:rFonts w:ascii="Times New Roman" w:hAnsi="Times New Roman"/>
        </w:rPr>
        <w:t>the dosimeter</w:t>
      </w:r>
      <w:r w:rsidRPr="000E6A9B">
        <w:rPr>
          <w:rFonts w:ascii="Times New Roman" w:hAnsi="Times New Roman"/>
        </w:rPr>
        <w:t xml:space="preserve"> can be calibrated for </w:t>
      </w:r>
      <w:proofErr w:type="spellStart"/>
      <w:r w:rsidRPr="000E6A9B">
        <w:rPr>
          <w:rFonts w:ascii="Times New Roman" w:hAnsi="Times New Roman"/>
        </w:rPr>
        <w:t>erythemally</w:t>
      </w:r>
      <w:proofErr w:type="spellEnd"/>
      <w:r w:rsidRPr="000E6A9B">
        <w:rPr>
          <w:rFonts w:ascii="Times New Roman" w:hAnsi="Times New Roman"/>
        </w:rPr>
        <w:t xml:space="preserve"> weighted exposures.</w:t>
      </w:r>
      <w:r>
        <w:rPr>
          <w:rFonts w:ascii="Times New Roman" w:hAnsi="Times New Roman"/>
        </w:rPr>
        <w:t xml:space="preserve"> Dose response curves were established by relating the UV-induced absorbance change at the 1064 cm</w:t>
      </w:r>
      <w:r>
        <w:rPr>
          <w:rFonts w:ascii="Times New Roman" w:hAnsi="Times New Roman"/>
          <w:vertAlign w:val="superscript"/>
        </w:rPr>
        <w:t xml:space="preserve">-1 </w:t>
      </w:r>
      <w:r>
        <w:rPr>
          <w:rFonts w:ascii="Times New Roman" w:hAnsi="Times New Roman"/>
        </w:rPr>
        <w:t>peak with the incident exposure.</w:t>
      </w:r>
      <w:r w:rsidRPr="000E6A9B">
        <w:rPr>
          <w:rFonts w:ascii="Times New Roman" w:hAnsi="Times New Roman"/>
        </w:rPr>
        <w:t xml:space="preserve"> However,</w:t>
      </w:r>
      <w:r>
        <w:rPr>
          <w:rFonts w:ascii="Times New Roman" w:hAnsi="Times New Roman"/>
        </w:rPr>
        <w:t xml:space="preserve"> to achieve accurate dose measurements, the </w:t>
      </w:r>
      <w:r w:rsidRPr="000E6A9B">
        <w:rPr>
          <w:rFonts w:ascii="Times New Roman" w:hAnsi="Times New Roman"/>
        </w:rPr>
        <w:t xml:space="preserve">basic </w:t>
      </w:r>
      <w:proofErr w:type="spellStart"/>
      <w:r w:rsidRPr="000E6A9B">
        <w:rPr>
          <w:rFonts w:ascii="Times New Roman" w:hAnsi="Times New Roman"/>
        </w:rPr>
        <w:t>dosimetric</w:t>
      </w:r>
      <w:proofErr w:type="spellEnd"/>
      <w:r w:rsidRPr="000E6A9B">
        <w:rPr>
          <w:rFonts w:ascii="Times New Roman" w:hAnsi="Times New Roman"/>
        </w:rPr>
        <w:t xml:space="preserve"> properties</w:t>
      </w:r>
      <w:r>
        <w:rPr>
          <w:rFonts w:ascii="Times New Roman" w:hAnsi="Times New Roman"/>
        </w:rPr>
        <w:t xml:space="preserve"> reported in the literature </w:t>
      </w:r>
      <w:r>
        <w:rPr>
          <w:rFonts w:ascii="Times New Roman" w:hAnsi="Times New Roman"/>
          <w:noProof/>
        </w:rPr>
        <w:t>[29, 30]</w:t>
      </w:r>
      <w:r>
        <w:rPr>
          <w:rFonts w:ascii="Times New Roman" w:hAnsi="Times New Roman"/>
        </w:rPr>
        <w:t xml:space="preserve"> have to be studied. This paper reports on the investigation of the key aspects of the PVC dose response: reproducibility, temperature independency, dose rate independency, angular dependence, backscattering effect, threshold dose and dark reaction. Seasonal dose response curves have also been provided and a field trial has been conducted to test the dosimeter validity.                 </w:t>
      </w:r>
    </w:p>
    <w:p w:rsidR="00B820DB" w:rsidRPr="00977C42" w:rsidRDefault="00B820DB" w:rsidP="00FB7C64">
      <w:pPr>
        <w:pStyle w:val="Heading1"/>
        <w:numPr>
          <w:ilvl w:val="0"/>
          <w:numId w:val="1"/>
        </w:numPr>
      </w:pPr>
      <w:r w:rsidRPr="005813C4">
        <w:t>Materials and Methods</w:t>
      </w:r>
    </w:p>
    <w:p w:rsidR="00B820DB" w:rsidRPr="00977C42" w:rsidRDefault="00B820DB" w:rsidP="00FB7C64">
      <w:pPr>
        <w:pStyle w:val="Heading2"/>
        <w:numPr>
          <w:ilvl w:val="1"/>
          <w:numId w:val="1"/>
        </w:numPr>
        <w:spacing w:line="480" w:lineRule="auto"/>
        <w:jc w:val="both"/>
      </w:pPr>
      <w:r>
        <w:t>Drying time determination</w:t>
      </w:r>
    </w:p>
    <w:p w:rsidR="00B820DB" w:rsidRDefault="00B820DB" w:rsidP="00FB7C64">
      <w:pPr>
        <w:spacing w:line="480" w:lineRule="auto"/>
        <w:jc w:val="both"/>
        <w:rPr>
          <w:lang w:val="en-AU"/>
        </w:rPr>
      </w:pPr>
      <w:r>
        <w:rPr>
          <w:lang w:val="en-AU"/>
        </w:rPr>
        <w:t xml:space="preserve">Pure polyvinyl chloride (PVC) does not absorb any radiation above 220 nm </w:t>
      </w:r>
      <w:r>
        <w:rPr>
          <w:noProof/>
          <w:lang w:val="en-AU"/>
        </w:rPr>
        <w:t>[31]</w:t>
      </w:r>
      <w:r>
        <w:rPr>
          <w:lang w:val="en-AU"/>
        </w:rPr>
        <w:t xml:space="preserve"> and thereby no changes should occur in PVC during its exposure to UV radiation. However, PVC is known to be degraded on exposure to UV radiation mainly because of impurities, arising from either thermal treatment during processing or added ingredients, which catalyse </w:t>
      </w:r>
      <w:proofErr w:type="spellStart"/>
      <w:r>
        <w:rPr>
          <w:lang w:val="en-AU"/>
        </w:rPr>
        <w:t>photodegradation</w:t>
      </w:r>
      <w:proofErr w:type="spellEnd"/>
      <w:r>
        <w:rPr>
          <w:lang w:val="en-AU"/>
        </w:rPr>
        <w:t xml:space="preserve"> processes or absorb UV radiation to form radicals that initiate further reactions </w:t>
      </w:r>
      <w:r>
        <w:rPr>
          <w:noProof/>
          <w:lang w:val="en-AU"/>
        </w:rPr>
        <w:t>[32]</w:t>
      </w:r>
      <w:r>
        <w:rPr>
          <w:lang w:val="en-AU"/>
        </w:rPr>
        <w:t xml:space="preserve">. </w:t>
      </w:r>
      <w:r w:rsidRPr="004C7603">
        <w:rPr>
          <w:lang w:val="en-AU"/>
        </w:rPr>
        <w:t>PVC</w:t>
      </w:r>
      <w:r>
        <w:rPr>
          <w:lang w:val="en-AU"/>
        </w:rPr>
        <w:t xml:space="preserve"> thin</w:t>
      </w:r>
      <w:r w:rsidRPr="004C7603">
        <w:rPr>
          <w:lang w:val="en-AU"/>
        </w:rPr>
        <w:t xml:space="preserve"> films </w:t>
      </w:r>
      <w:r>
        <w:rPr>
          <w:lang w:val="en-AU"/>
        </w:rPr>
        <w:t xml:space="preserve">prepared by casting from </w:t>
      </w:r>
      <w:proofErr w:type="spellStart"/>
      <w:r w:rsidRPr="004C7603">
        <w:rPr>
          <w:lang w:val="en-AU"/>
        </w:rPr>
        <w:t>tetrahydrofuran</w:t>
      </w:r>
      <w:proofErr w:type="spellEnd"/>
      <w:r w:rsidRPr="004C7603">
        <w:rPr>
          <w:lang w:val="en-AU"/>
        </w:rPr>
        <w:t xml:space="preserve"> solution</w:t>
      </w:r>
      <w:r>
        <w:rPr>
          <w:lang w:val="en-AU"/>
        </w:rPr>
        <w:t xml:space="preserve"> for use in UV </w:t>
      </w:r>
      <w:proofErr w:type="spellStart"/>
      <w:r>
        <w:rPr>
          <w:lang w:val="en-AU"/>
        </w:rPr>
        <w:t>dosimetry</w:t>
      </w:r>
      <w:proofErr w:type="spellEnd"/>
      <w:r w:rsidRPr="004C7603">
        <w:rPr>
          <w:lang w:val="en-AU"/>
        </w:rPr>
        <w:t xml:space="preserve"> </w:t>
      </w:r>
      <w:r>
        <w:rPr>
          <w:lang w:val="en-AU"/>
        </w:rPr>
        <w:t xml:space="preserve">have not been treated thermally and contain no additives. Therefore, the UV-induced changes are assumed to be a result of the influence of residual </w:t>
      </w:r>
      <w:proofErr w:type="spellStart"/>
      <w:r>
        <w:rPr>
          <w:lang w:val="en-AU"/>
        </w:rPr>
        <w:t>tetrahydrofuran</w:t>
      </w:r>
      <w:proofErr w:type="spellEnd"/>
      <w:proofErr w:type="gramStart"/>
      <w:r>
        <w:rPr>
          <w:lang w:val="en-AU"/>
        </w:rPr>
        <w:t>,  which</w:t>
      </w:r>
      <w:proofErr w:type="gramEnd"/>
      <w:r>
        <w:rPr>
          <w:lang w:val="en-AU"/>
        </w:rPr>
        <w:t xml:space="preserve"> is considered as a photosensitiser </w:t>
      </w:r>
      <w:r>
        <w:rPr>
          <w:noProof/>
          <w:lang w:val="en-AU"/>
        </w:rPr>
        <w:t>[32]</w:t>
      </w:r>
      <w:r>
        <w:rPr>
          <w:lang w:val="en-AU"/>
        </w:rPr>
        <w:t xml:space="preserve"> and responsible for the 1064 cm</w:t>
      </w:r>
      <w:r>
        <w:rPr>
          <w:vertAlign w:val="superscript"/>
          <w:lang w:val="en-AU"/>
        </w:rPr>
        <w:t>-1</w:t>
      </w:r>
      <w:r>
        <w:rPr>
          <w:lang w:val="en-AU"/>
        </w:rPr>
        <w:t xml:space="preserve"> peak in the infra red (IR) absorption spectra of solvent cast PVC samples </w:t>
      </w:r>
      <w:r>
        <w:rPr>
          <w:noProof/>
          <w:lang w:val="en-AU"/>
        </w:rPr>
        <w:t>[33]</w:t>
      </w:r>
      <w:r>
        <w:rPr>
          <w:lang w:val="en-AU"/>
        </w:rPr>
        <w:t xml:space="preserve">. Solvent residues remain even when the films are dried at high temperatures (up to 120 </w:t>
      </w:r>
      <w:r>
        <w:rPr>
          <w:rFonts w:cstheme="minorHAnsi"/>
          <w:lang w:val="en-AU"/>
        </w:rPr>
        <w:t>º</w:t>
      </w:r>
      <w:r>
        <w:rPr>
          <w:lang w:val="en-AU"/>
        </w:rPr>
        <w:t xml:space="preserve">C) for extremely long times </w:t>
      </w:r>
      <w:r>
        <w:rPr>
          <w:noProof/>
          <w:lang w:val="en-AU"/>
        </w:rPr>
        <w:lastRenderedPageBreak/>
        <w:t>[34]</w:t>
      </w:r>
      <w:r>
        <w:rPr>
          <w:lang w:val="en-AU"/>
        </w:rPr>
        <w:t xml:space="preserve">. </w:t>
      </w:r>
      <w:r>
        <w:rPr>
          <w:noProof/>
          <w:lang w:val="en-AU"/>
        </w:rPr>
        <w:t>Maláč et al.</w:t>
      </w:r>
      <w:r>
        <w:rPr>
          <w:lang w:val="en-AU"/>
        </w:rPr>
        <w:t xml:space="preserve"> </w:t>
      </w:r>
      <w:r>
        <w:rPr>
          <w:noProof/>
          <w:lang w:val="en-AU"/>
        </w:rPr>
        <w:t>[34]</w:t>
      </w:r>
      <w:r>
        <w:rPr>
          <w:lang w:val="en-AU"/>
        </w:rPr>
        <w:t xml:space="preserve"> dried solvent cast PVC samples at 50 </w:t>
      </w:r>
      <w:r>
        <w:rPr>
          <w:rFonts w:cstheme="minorHAnsi"/>
          <w:lang w:val="en-AU"/>
        </w:rPr>
        <w:t>º</w:t>
      </w:r>
      <w:r>
        <w:rPr>
          <w:lang w:val="en-AU"/>
        </w:rPr>
        <w:t xml:space="preserve">C in air and found that the amount of residual </w:t>
      </w:r>
      <w:proofErr w:type="spellStart"/>
      <w:r>
        <w:rPr>
          <w:lang w:val="en-AU"/>
        </w:rPr>
        <w:t>tetrahydofuran</w:t>
      </w:r>
      <w:proofErr w:type="spellEnd"/>
      <w:r>
        <w:rPr>
          <w:lang w:val="en-AU"/>
        </w:rPr>
        <w:t xml:space="preserve"> in the samples decreases with time up to about 25 days and then remains nearly constant. The response of PVC dosimeters dried for various times to UV radiation, therefore, has to be investigated to determine if it is necessary to dry the PVC thin films and for how long.</w:t>
      </w:r>
    </w:p>
    <w:p w:rsidR="00B820DB" w:rsidRPr="001D3C7F" w:rsidRDefault="00B820DB" w:rsidP="00FB7C64">
      <w:pPr>
        <w:autoSpaceDE w:val="0"/>
        <w:autoSpaceDN w:val="0"/>
        <w:adjustRightInd w:val="0"/>
        <w:spacing w:line="480" w:lineRule="auto"/>
        <w:jc w:val="both"/>
        <w:rPr>
          <w:rFonts w:ascii="Times New Roman" w:hAnsi="Times New Roman"/>
          <w:lang w:val="en-AU"/>
        </w:rPr>
      </w:pPr>
      <w:r w:rsidRPr="001D3C7F">
        <w:rPr>
          <w:rFonts w:ascii="Times New Roman" w:hAnsi="Times New Roman"/>
          <w:lang w:val="en-AU"/>
        </w:rPr>
        <w:t xml:space="preserve">Ninety solvent cast PVC dosimeters of thickness of about 16 µm were prepared as described </w:t>
      </w:r>
      <w:r>
        <w:rPr>
          <w:rFonts w:ascii="Times New Roman" w:hAnsi="Times New Roman"/>
          <w:lang w:val="en-AU"/>
        </w:rPr>
        <w:t xml:space="preserve">elsewhere </w:t>
      </w:r>
      <w:r>
        <w:rPr>
          <w:rFonts w:ascii="Times New Roman" w:hAnsi="Times New Roman"/>
          <w:noProof/>
          <w:lang w:val="en-AU"/>
        </w:rPr>
        <w:t>[28]</w:t>
      </w:r>
      <w:r w:rsidRPr="001D3C7F">
        <w:rPr>
          <w:rFonts w:ascii="Times New Roman" w:hAnsi="Times New Roman"/>
          <w:lang w:val="en-AU"/>
        </w:rPr>
        <w:t>. The absolute absorbance of the dosimeters at 1064 cm</w:t>
      </w:r>
      <w:r w:rsidRPr="001D3C7F">
        <w:rPr>
          <w:rFonts w:ascii="Times New Roman" w:hAnsi="Times New Roman"/>
          <w:vertAlign w:val="superscript"/>
          <w:lang w:val="en-AU"/>
        </w:rPr>
        <w:t>-1</w:t>
      </w:r>
      <w:r w:rsidRPr="001D3C7F">
        <w:rPr>
          <w:rFonts w:ascii="Times New Roman" w:hAnsi="Times New Roman"/>
          <w:lang w:val="en-AU"/>
        </w:rPr>
        <w:t xml:space="preserve"> (</w:t>
      </w:r>
      <w:r>
        <w:rPr>
          <w:rFonts w:ascii="Times New Roman" w:hAnsi="Times New Roman"/>
          <w:lang w:val="en-AU" w:bidi="ar-SA"/>
        </w:rPr>
        <w:t xml:space="preserve">hereafter only </w:t>
      </w:r>
      <w:r w:rsidRPr="001D3C7F">
        <w:rPr>
          <w:rFonts w:ascii="Times New Roman" w:hAnsi="Times New Roman"/>
          <w:lang w:val="en-AU"/>
        </w:rPr>
        <w:t xml:space="preserve">“absorbance”) was measured immediately using </w:t>
      </w:r>
      <w:r w:rsidRPr="001D3C7F">
        <w:rPr>
          <w:rFonts w:ascii="Times New Roman" w:hAnsi="Times New Roman"/>
        </w:rPr>
        <w:t xml:space="preserve">a </w:t>
      </w:r>
      <w:r w:rsidRPr="001D3C7F">
        <w:rPr>
          <w:rFonts w:ascii="Times New Roman" w:eastAsiaTheme="minorEastAsia" w:hAnsi="Times New Roman"/>
          <w:lang w:bidi="ar-SA"/>
        </w:rPr>
        <w:t xml:space="preserve">Fourier </w:t>
      </w:r>
      <w:r>
        <w:rPr>
          <w:rFonts w:asciiTheme="majorHAnsi" w:eastAsiaTheme="minorEastAsia" w:hAnsiTheme="majorHAnsi" w:cstheme="majorHAnsi"/>
          <w:lang w:bidi="ar-SA"/>
        </w:rPr>
        <w:t>Transform Infrared (</w:t>
      </w:r>
      <w:r w:rsidRPr="004A6E49">
        <w:t>FTIR</w:t>
      </w:r>
      <w:r>
        <w:t>)</w:t>
      </w:r>
      <w:r w:rsidRPr="004A6E49">
        <w:t xml:space="preserve"> spectrophotometer</w:t>
      </w:r>
      <w:r>
        <w:t xml:space="preserve"> (IRPrestige-21/FTIR-8400S, Shimadzu Co., Kyoto) </w:t>
      </w:r>
      <w:r>
        <w:rPr>
          <w:lang w:val="en-AU"/>
        </w:rPr>
        <w:t xml:space="preserve">and found to be 0.249 </w:t>
      </w:r>
      <w:r>
        <w:rPr>
          <w:rFonts w:cstheme="minorHAnsi"/>
          <w:lang w:val="en-AU"/>
        </w:rPr>
        <w:t xml:space="preserve">± </w:t>
      </w:r>
      <w:r>
        <w:rPr>
          <w:lang w:val="en-AU"/>
        </w:rPr>
        <w:t xml:space="preserve">0.012. The dosimeters were then dried at 50 </w:t>
      </w:r>
      <w:r>
        <w:rPr>
          <w:rFonts w:ascii="Calibri" w:hAnsi="Calibri"/>
          <w:lang w:val="en-AU"/>
        </w:rPr>
        <w:t>°</w:t>
      </w:r>
      <w:r>
        <w:rPr>
          <w:lang w:val="en-AU"/>
        </w:rPr>
        <w:t>C in air for about four weeks and their absorbance was measured periodically. During the drying process, eight dosimeters were removed each five days and exposed to a broadband UV radiant exposure of 200 kJ/m</w:t>
      </w:r>
      <w:r>
        <w:rPr>
          <w:vertAlign w:val="superscript"/>
          <w:lang w:val="en-AU"/>
        </w:rPr>
        <w:t>2</w:t>
      </w:r>
      <w:r>
        <w:rPr>
          <w:lang w:val="en-AU"/>
        </w:rPr>
        <w:t xml:space="preserve"> supplied by a UV fluorescent lamp </w:t>
      </w:r>
      <w:r w:rsidRPr="009A094E">
        <w:rPr>
          <w:rFonts w:cstheme="minorHAnsi"/>
        </w:rPr>
        <w:t>(model Philips TL40/12, supplier Lawrence and Hansen, Toowoomba)</w:t>
      </w:r>
      <w:r>
        <w:rPr>
          <w:rFonts w:cstheme="minorHAnsi"/>
        </w:rPr>
        <w:t xml:space="preserve"> </w:t>
      </w:r>
      <w:r w:rsidRPr="00CB1217">
        <w:rPr>
          <w:rFonts w:cstheme="minorHAnsi"/>
        </w:rPr>
        <w:t>that emits radiation primarily in the UVB region of the UV spectrum</w:t>
      </w:r>
      <w:r>
        <w:rPr>
          <w:rFonts w:cstheme="minorHAnsi"/>
        </w:rPr>
        <w:t xml:space="preserve"> </w:t>
      </w:r>
      <w:r>
        <w:rPr>
          <w:lang w:val="en-AU"/>
        </w:rPr>
        <w:t xml:space="preserve">. Four of the dosimeters were exposed at 25 </w:t>
      </w:r>
      <w:r>
        <w:rPr>
          <w:rFonts w:ascii="Calibri" w:hAnsi="Calibri"/>
          <w:lang w:val="en-AU"/>
        </w:rPr>
        <w:t>°</w:t>
      </w:r>
      <w:r>
        <w:rPr>
          <w:lang w:val="en-AU"/>
        </w:rPr>
        <w:t xml:space="preserve">C and four at 45 </w:t>
      </w:r>
      <w:r>
        <w:rPr>
          <w:rFonts w:ascii="Calibri" w:hAnsi="Calibri"/>
          <w:lang w:val="en-AU"/>
        </w:rPr>
        <w:t>°</w:t>
      </w:r>
      <w:r>
        <w:rPr>
          <w:lang w:val="en-AU"/>
        </w:rPr>
        <w:t>C.</w:t>
      </w:r>
      <w:r w:rsidRPr="002B186F">
        <w:rPr>
          <w:lang w:val="en-AU"/>
        </w:rPr>
        <w:t xml:space="preserve"> </w:t>
      </w:r>
      <w:r>
        <w:rPr>
          <w:lang w:val="en-AU"/>
        </w:rPr>
        <w:t xml:space="preserve">The spectral irradiance at the dosimeters’ site </w:t>
      </w:r>
      <w:r w:rsidRPr="00693C2C">
        <w:rPr>
          <w:position w:val="-10"/>
        </w:rPr>
        <w:object w:dxaOrig="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15.6pt" o:ole="">
            <v:imagedata r:id="rId8" o:title=""/>
          </v:shape>
          <o:OLEObject Type="Embed" ProgID="Equation.3" ShapeID="_x0000_i1025" DrawAspect="Content" ObjectID="_1442047982" r:id="rId9"/>
        </w:object>
      </w:r>
      <w:r>
        <w:t xml:space="preserve"> </w:t>
      </w:r>
      <w:r>
        <w:rPr>
          <w:lang w:val="en-AU"/>
        </w:rPr>
        <w:t xml:space="preserve">was measured </w:t>
      </w:r>
      <w:r w:rsidRPr="00DB5612">
        <w:rPr>
          <w:rFonts w:cstheme="minorHAnsi"/>
          <w:color w:val="000000" w:themeColor="text1"/>
        </w:rPr>
        <w:t xml:space="preserve">with </w:t>
      </w:r>
      <w:r w:rsidRPr="00DB5612">
        <w:rPr>
          <w:color w:val="000000" w:themeColor="text1"/>
        </w:rPr>
        <w:t xml:space="preserve">a calibrated scanning </w:t>
      </w:r>
      <w:proofErr w:type="spellStart"/>
      <w:r w:rsidRPr="00DB5612">
        <w:rPr>
          <w:color w:val="000000" w:themeColor="text1"/>
        </w:rPr>
        <w:t>spectroradiometer</w:t>
      </w:r>
      <w:proofErr w:type="spellEnd"/>
      <w:r w:rsidRPr="00DB5612">
        <w:rPr>
          <w:color w:val="000000" w:themeColor="text1"/>
        </w:rPr>
        <w:t xml:space="preserve"> (</w:t>
      </w:r>
      <w:r w:rsidRPr="00DB5612">
        <w:rPr>
          <w:rFonts w:cstheme="minorHAnsi"/>
          <w:color w:val="000000" w:themeColor="text1"/>
        </w:rPr>
        <w:t>model DMc150, Bentham Instruments Ltd, Reading UK</w:t>
      </w:r>
      <w:r w:rsidRPr="00DB5612">
        <w:rPr>
          <w:color w:val="000000" w:themeColor="text1"/>
        </w:rPr>
        <w:t>)</w:t>
      </w:r>
      <w:r>
        <w:rPr>
          <w:lang w:val="en-AU"/>
        </w:rPr>
        <w:t xml:space="preserve"> and the radiant exposure </w:t>
      </w:r>
      <w:r w:rsidRPr="00693C2C">
        <w:rPr>
          <w:position w:val="-4"/>
        </w:rPr>
        <w:object w:dxaOrig="279" w:dyaOrig="260">
          <v:shape id="_x0000_i1026" type="#_x0000_t75" style="width:13.6pt;height:12.9pt" o:ole="">
            <v:imagedata r:id="rId10" o:title=""/>
          </v:shape>
          <o:OLEObject Type="Embed" ProgID="Equation.3" ShapeID="_x0000_i1026" DrawAspect="Content" ObjectID="_1442047983" r:id="rId11"/>
        </w:object>
      </w:r>
      <w:r>
        <w:rPr>
          <w:lang w:val="en-AU"/>
        </w:rPr>
        <w:t xml:space="preserve"> received by the dosimeters was calculated by: </w:t>
      </w:r>
    </w:p>
    <w:p w:rsidR="00B820DB" w:rsidRDefault="00B820DB" w:rsidP="00FB7C64">
      <w:pPr>
        <w:spacing w:line="480" w:lineRule="auto"/>
        <w:jc w:val="center"/>
        <w:rPr>
          <w:lang w:val="en-AU"/>
        </w:rPr>
      </w:pPr>
      <w:r w:rsidRPr="002B186F">
        <w:rPr>
          <w:position w:val="-28"/>
          <w:lang w:val="en-AU"/>
        </w:rPr>
        <w:object w:dxaOrig="2000" w:dyaOrig="680">
          <v:shape id="_x0000_i1027" type="#_x0000_t75" style="width:100.55pt;height:33.95pt" o:ole="">
            <v:imagedata r:id="rId12" o:title=""/>
          </v:shape>
          <o:OLEObject Type="Embed" ProgID="Equation.3" ShapeID="_x0000_i1027" DrawAspect="Content" ObjectID="_1442047984" r:id="rId13"/>
        </w:object>
      </w:r>
      <w:r w:rsidR="00FB7C64">
        <w:rPr>
          <w:lang w:val="en-AU"/>
        </w:rPr>
        <w:tab/>
      </w:r>
      <w:r w:rsidR="00FB7C64">
        <w:rPr>
          <w:lang w:val="en-AU"/>
        </w:rPr>
        <w:tab/>
      </w:r>
      <w:r w:rsidR="00FB7C64">
        <w:rPr>
          <w:lang w:val="en-AU"/>
        </w:rPr>
        <w:tab/>
      </w:r>
      <w:r w:rsidR="00FB7C64">
        <w:rPr>
          <w:lang w:val="en-AU"/>
        </w:rPr>
        <w:tab/>
      </w:r>
      <w:r>
        <w:rPr>
          <w:lang w:val="en-AU"/>
        </w:rPr>
        <w:t>(1)</w:t>
      </w:r>
    </w:p>
    <w:p w:rsidR="00B820DB" w:rsidRDefault="00B820DB" w:rsidP="00FB7C64">
      <w:pPr>
        <w:spacing w:line="480" w:lineRule="auto"/>
        <w:jc w:val="both"/>
      </w:pPr>
      <w:proofErr w:type="gramStart"/>
      <w:r>
        <w:rPr>
          <w:lang w:val="en-AU"/>
        </w:rPr>
        <w:t>where</w:t>
      </w:r>
      <w:proofErr w:type="gramEnd"/>
      <w:r>
        <w:rPr>
          <w:lang w:val="en-AU"/>
        </w:rPr>
        <w:t xml:space="preserve"> </w:t>
      </w:r>
      <w:r w:rsidRPr="0098337B">
        <w:rPr>
          <w:position w:val="-6"/>
        </w:rPr>
        <w:object w:dxaOrig="380" w:dyaOrig="279">
          <v:shape id="_x0000_i1028" type="#_x0000_t75" style="width:19pt;height:13.6pt" o:ole="">
            <v:imagedata r:id="rId14" o:title=""/>
          </v:shape>
          <o:OLEObject Type="Embed" ProgID="Equation.3" ShapeID="_x0000_i1028" DrawAspect="Content" ObjectID="_1442047985" r:id="rId15"/>
        </w:object>
      </w:r>
      <w:r>
        <w:t xml:space="preserve"> is the wavelength increment and </w:t>
      </w:r>
      <w:r w:rsidRPr="00693C2C">
        <w:rPr>
          <w:position w:val="-6"/>
        </w:rPr>
        <w:object w:dxaOrig="139" w:dyaOrig="240">
          <v:shape id="_x0000_i1029" type="#_x0000_t75" style="width:6.8pt;height:12.25pt" o:ole="">
            <v:imagedata r:id="rId16" o:title=""/>
          </v:shape>
          <o:OLEObject Type="Embed" ProgID="Equation.3" ShapeID="_x0000_i1029" DrawAspect="Content" ObjectID="_1442047986" r:id="rId17"/>
        </w:object>
      </w:r>
      <w:r>
        <w:t xml:space="preserve"> is the exposure time. The corresponding absorbance change </w:t>
      </w:r>
      <w:r w:rsidRPr="002B6070">
        <w:rPr>
          <w:position w:val="-10"/>
        </w:rPr>
        <w:object w:dxaOrig="520" w:dyaOrig="320">
          <v:shape id="_x0000_i1030" type="#_x0000_t75" style="width:26.5pt;height:17pt" o:ole="">
            <v:imagedata r:id="rId18" o:title=""/>
          </v:shape>
          <o:OLEObject Type="Embed" ProgID="Equation.3" ShapeID="_x0000_i1030" DrawAspect="Content" ObjectID="_1442047987" r:id="rId19"/>
        </w:object>
      </w:r>
      <w:r>
        <w:t xml:space="preserve"> was calculated by </w:t>
      </w:r>
    </w:p>
    <w:p w:rsidR="00B820DB" w:rsidRDefault="00B820DB" w:rsidP="00FB7C64">
      <w:pPr>
        <w:spacing w:line="480" w:lineRule="auto"/>
        <w:ind w:left="2160" w:firstLine="720"/>
        <w:jc w:val="both"/>
      </w:pPr>
      <w:r w:rsidRPr="00B3244B">
        <w:rPr>
          <w:position w:val="-14"/>
        </w:rPr>
        <w:object w:dxaOrig="1300" w:dyaOrig="380">
          <v:shape id="_x0000_i1031" type="#_x0000_t75" style="width:65.2pt;height:19pt" o:ole="">
            <v:imagedata r:id="rId20" o:title=""/>
          </v:shape>
          <o:OLEObject Type="Embed" ProgID="Equation.3" ShapeID="_x0000_i1031" DrawAspect="Content" ObjectID="_1442047988" r:id="rId21"/>
        </w:object>
      </w:r>
      <w:r>
        <w:tab/>
      </w:r>
      <w:r>
        <w:tab/>
        <w:t xml:space="preserve">            </w:t>
      </w:r>
      <w:r>
        <w:tab/>
        <w:t>(2)</w:t>
      </w:r>
    </w:p>
    <w:p w:rsidR="00B820DB" w:rsidRPr="00B37154" w:rsidRDefault="00B820DB" w:rsidP="00FB7C64">
      <w:pPr>
        <w:spacing w:line="480" w:lineRule="auto"/>
        <w:jc w:val="both"/>
        <w:rPr>
          <w:rFonts w:ascii="Times New Roman" w:hAnsi="Times New Roman"/>
          <w:color w:val="000000" w:themeColor="text1"/>
          <w:lang w:val="en-AU"/>
        </w:rPr>
      </w:pPr>
      <w:proofErr w:type="gramStart"/>
      <w:r>
        <w:lastRenderedPageBreak/>
        <w:t>where</w:t>
      </w:r>
      <w:proofErr w:type="gramEnd"/>
      <w:r>
        <w:t xml:space="preserve"> </w:t>
      </w:r>
      <w:r w:rsidRPr="0098337B">
        <w:rPr>
          <w:position w:val="-12"/>
        </w:rPr>
        <w:object w:dxaOrig="260" w:dyaOrig="360">
          <v:shape id="_x0000_i1032" type="#_x0000_t75" style="width:13.6pt;height:17.65pt" o:ole="">
            <v:imagedata r:id="rId22" o:title=""/>
          </v:shape>
          <o:OLEObject Type="Embed" ProgID="Equation.3" ShapeID="_x0000_i1032" DrawAspect="Content" ObjectID="_1442047989" r:id="rId23"/>
        </w:object>
      </w:r>
      <w:r>
        <w:t xml:space="preserve"> is the pre exposure absorbance and </w:t>
      </w:r>
      <w:r w:rsidRPr="00B3244B">
        <w:rPr>
          <w:position w:val="-14"/>
        </w:rPr>
        <w:object w:dxaOrig="320" w:dyaOrig="380">
          <v:shape id="_x0000_i1033" type="#_x0000_t75" style="width:17pt;height:19pt" o:ole="">
            <v:imagedata r:id="rId24" o:title=""/>
          </v:shape>
          <o:OLEObject Type="Embed" ProgID="Equation.3" ShapeID="_x0000_i1033" DrawAspect="Content" ObjectID="_1442047990" r:id="rId25"/>
        </w:object>
      </w:r>
      <w:r>
        <w:t xml:space="preserve"> is the post exposure absorbance. The </w:t>
      </w:r>
      <w:r w:rsidRPr="00DB5612">
        <w:rPr>
          <w:rFonts w:cstheme="minorHAnsi"/>
          <w:color w:val="000000" w:themeColor="text1"/>
        </w:rPr>
        <w:t xml:space="preserve">average deviation of the </w:t>
      </w:r>
      <w:r w:rsidRPr="00DB5612">
        <w:rPr>
          <w:rFonts w:ascii="Times New Roman" w:hAnsi="Times New Roman"/>
          <w:color w:val="000000" w:themeColor="text1"/>
          <w:lang w:val="en-AU"/>
        </w:rPr>
        <w:t>lamp output</w:t>
      </w:r>
      <w:r>
        <w:rPr>
          <w:rFonts w:ascii="Times New Roman" w:hAnsi="Times New Roman"/>
          <w:color w:val="000000" w:themeColor="text1"/>
          <w:lang w:val="en-AU"/>
        </w:rPr>
        <w:t xml:space="preserve"> during the exposure</w:t>
      </w:r>
      <w:r w:rsidRPr="00DB5612">
        <w:rPr>
          <w:color w:val="000000" w:themeColor="text1"/>
        </w:rPr>
        <w:t xml:space="preserve"> and</w:t>
      </w:r>
      <w:r>
        <w:rPr>
          <w:color w:val="000000" w:themeColor="text1"/>
        </w:rPr>
        <w:t xml:space="preserve"> the</w:t>
      </w:r>
      <w:r w:rsidRPr="00DB5612">
        <w:rPr>
          <w:color w:val="000000" w:themeColor="text1"/>
        </w:rPr>
        <w:t xml:space="preserve"> irradiance uniformity </w:t>
      </w:r>
      <w:r w:rsidRPr="00DB5612">
        <w:rPr>
          <w:rFonts w:ascii="Times New Roman" w:hAnsi="Times New Roman"/>
          <w:color w:val="000000" w:themeColor="text1"/>
          <w:lang w:val="en-AU"/>
        </w:rPr>
        <w:t>at the dosimeters’ site</w:t>
      </w:r>
      <w:r w:rsidRPr="00DB5612">
        <w:rPr>
          <w:color w:val="000000" w:themeColor="text1"/>
        </w:rPr>
        <w:t xml:space="preserve"> </w:t>
      </w:r>
      <w:r w:rsidRPr="00DB5612">
        <w:rPr>
          <w:rFonts w:ascii="Times New Roman" w:hAnsi="Times New Roman"/>
          <w:color w:val="000000" w:themeColor="text1"/>
          <w:lang w:val="en-AU"/>
        </w:rPr>
        <w:t>were</w:t>
      </w:r>
      <w:r>
        <w:rPr>
          <w:rFonts w:ascii="Times New Roman" w:hAnsi="Times New Roman"/>
          <w:color w:val="000000" w:themeColor="text1"/>
          <w:lang w:val="en-AU"/>
        </w:rPr>
        <w:t xml:space="preserve"> about</w:t>
      </w:r>
      <w:r w:rsidRPr="00DB5612">
        <w:rPr>
          <w:rFonts w:ascii="Times New Roman" w:hAnsi="Times New Roman"/>
          <w:color w:val="000000" w:themeColor="text1"/>
          <w:lang w:val="en-AU"/>
        </w:rPr>
        <w:t xml:space="preserve"> 3% and 3% respectively</w:t>
      </w:r>
      <w:r>
        <w:rPr>
          <w:rFonts w:ascii="Times New Roman" w:hAnsi="Times New Roman"/>
          <w:color w:val="000000" w:themeColor="text1"/>
          <w:lang w:val="en-AU"/>
        </w:rPr>
        <w:t>.</w:t>
      </w:r>
    </w:p>
    <w:p w:rsidR="00B820DB" w:rsidRPr="00F97828" w:rsidRDefault="00B820DB" w:rsidP="00FB7C64">
      <w:pPr>
        <w:pStyle w:val="Heading2"/>
        <w:numPr>
          <w:ilvl w:val="1"/>
          <w:numId w:val="1"/>
        </w:numPr>
        <w:spacing w:line="480" w:lineRule="auto"/>
        <w:jc w:val="both"/>
        <w:rPr>
          <w:lang w:val="en-AU"/>
        </w:rPr>
      </w:pPr>
      <w:r>
        <w:rPr>
          <w:lang w:val="en-AU"/>
        </w:rPr>
        <w:t xml:space="preserve">Reproducibility </w:t>
      </w:r>
    </w:p>
    <w:p w:rsidR="00B820DB" w:rsidRPr="00B37154" w:rsidRDefault="00B820DB" w:rsidP="00FB7C64">
      <w:pPr>
        <w:autoSpaceDE w:val="0"/>
        <w:autoSpaceDN w:val="0"/>
        <w:adjustRightInd w:val="0"/>
        <w:spacing w:line="480" w:lineRule="auto"/>
        <w:jc w:val="both"/>
        <w:rPr>
          <w:lang w:val="en-AU"/>
        </w:rPr>
      </w:pPr>
      <w:r>
        <w:rPr>
          <w:lang w:val="en-AU"/>
        </w:rPr>
        <w:t xml:space="preserve">The reproducibility is one of the quantities that define the dosimeter reliability. Equal radiant exposures from the same source should induce the same measured response. Any </w:t>
      </w:r>
      <w:r w:rsidRPr="009A094E">
        <w:rPr>
          <w:rFonts w:asciiTheme="majorHAnsi" w:hAnsiTheme="majorHAnsi" w:cstheme="majorHAnsi"/>
        </w:rPr>
        <w:t xml:space="preserve">errors related to the film reproducibility </w:t>
      </w:r>
      <w:r>
        <w:rPr>
          <w:rFonts w:asciiTheme="majorHAnsi" w:hAnsiTheme="majorHAnsi" w:cstheme="majorHAnsi"/>
        </w:rPr>
        <w:t>will affect the results and have to</w:t>
      </w:r>
      <w:r w:rsidRPr="009A094E">
        <w:rPr>
          <w:rFonts w:asciiTheme="majorHAnsi" w:hAnsiTheme="majorHAnsi" w:cstheme="majorHAnsi"/>
        </w:rPr>
        <w:t xml:space="preserve"> be quantified and taken into account during the measurement </w:t>
      </w:r>
      <w:r>
        <w:rPr>
          <w:rFonts w:asciiTheme="majorHAnsi" w:hAnsiTheme="majorHAnsi" w:cstheme="majorHAnsi"/>
        </w:rPr>
        <w:t>process</w:t>
      </w:r>
      <w:r w:rsidRPr="009A094E">
        <w:rPr>
          <w:rFonts w:asciiTheme="majorHAnsi" w:hAnsiTheme="majorHAnsi" w:cstheme="majorHAnsi"/>
        </w:rPr>
        <w:t>.</w:t>
      </w:r>
      <w:r>
        <w:rPr>
          <w:lang w:val="en-AU"/>
        </w:rPr>
        <w:t xml:space="preserve"> To quantify the reproducibility of the measurements, ten dosimeters were irradiated evenly by the fluorescent UV lamp for 20 days, receiving a total radiant exposure of 27 MJ/m</w:t>
      </w:r>
      <w:r>
        <w:rPr>
          <w:vertAlign w:val="superscript"/>
          <w:lang w:val="en-AU"/>
        </w:rPr>
        <w:t>2</w:t>
      </w:r>
      <w:r>
        <w:rPr>
          <w:lang w:val="en-AU"/>
        </w:rPr>
        <w:t xml:space="preserve"> of broadband UV radiation. The mean absorbance change of the dosimeters was determined at various intervals, and the average deviation from the mean was obtained and plotted as a function of the radiant exposure.</w:t>
      </w:r>
    </w:p>
    <w:p w:rsidR="00B820DB" w:rsidRPr="00F97828" w:rsidRDefault="00B820DB" w:rsidP="00FB7C64">
      <w:pPr>
        <w:pStyle w:val="Heading2"/>
        <w:numPr>
          <w:ilvl w:val="1"/>
          <w:numId w:val="1"/>
        </w:numPr>
        <w:spacing w:line="480" w:lineRule="auto"/>
      </w:pPr>
      <w:r>
        <w:t>Temperature independency</w:t>
      </w:r>
    </w:p>
    <w:p w:rsidR="00B820DB" w:rsidRDefault="00B820DB" w:rsidP="00FB7C64">
      <w:pPr>
        <w:autoSpaceDE w:val="0"/>
        <w:autoSpaceDN w:val="0"/>
        <w:adjustRightInd w:val="0"/>
        <w:spacing w:line="480" w:lineRule="auto"/>
        <w:jc w:val="both"/>
        <w:rPr>
          <w:lang w:val="en-AU"/>
        </w:rPr>
      </w:pPr>
      <w:r>
        <w:rPr>
          <w:lang w:val="en-AU"/>
        </w:rPr>
        <w:t xml:space="preserve">Chemical dosimeters employed in solar UV radiation measurements experience different ambient temperatures. Therefore, the thermal stability of the dosimeter has to be ensured and </w:t>
      </w:r>
      <w:r w:rsidRPr="009A094E">
        <w:rPr>
          <w:rFonts w:asciiTheme="majorHAnsi" w:hAnsiTheme="majorHAnsi" w:cstheme="majorHAnsi"/>
        </w:rPr>
        <w:t xml:space="preserve">the temperature </w:t>
      </w:r>
      <w:r>
        <w:rPr>
          <w:rFonts w:asciiTheme="majorHAnsi" w:hAnsiTheme="majorHAnsi" w:cstheme="majorHAnsi"/>
        </w:rPr>
        <w:t>range</w:t>
      </w:r>
      <w:r w:rsidRPr="009A094E">
        <w:rPr>
          <w:rFonts w:asciiTheme="majorHAnsi" w:hAnsiTheme="majorHAnsi" w:cstheme="majorHAnsi"/>
        </w:rPr>
        <w:t xml:space="preserve"> of the dosimeter validity should be identified</w:t>
      </w:r>
      <w:r>
        <w:rPr>
          <w:lang w:val="en-AU"/>
        </w:rPr>
        <w:t xml:space="preserve">. To investigate the effect of temperature on the response of the PVC dosimeter to UV radiation, five groups of 16 </w:t>
      </w:r>
      <w:r>
        <w:rPr>
          <w:rFonts w:cstheme="minorHAnsi"/>
          <w:lang w:val="en-AU"/>
        </w:rPr>
        <w:t>µ</w:t>
      </w:r>
      <w:r>
        <w:rPr>
          <w:lang w:val="en-AU"/>
        </w:rPr>
        <w:t xml:space="preserve">m PVC dosimeters, previously dried at 50 </w:t>
      </w:r>
      <w:r>
        <w:rPr>
          <w:rFonts w:ascii="Calibri" w:hAnsi="Calibri"/>
          <w:lang w:val="en-AU"/>
        </w:rPr>
        <w:t>°</w:t>
      </w:r>
      <w:r>
        <w:rPr>
          <w:lang w:val="en-AU"/>
        </w:rPr>
        <w:t xml:space="preserve">C for four weeks, were sequentially exposed at 5 </w:t>
      </w:r>
      <w:r>
        <w:rPr>
          <w:rFonts w:cstheme="minorHAnsi"/>
          <w:lang w:val="en-AU"/>
        </w:rPr>
        <w:t>º</w:t>
      </w:r>
      <w:r>
        <w:rPr>
          <w:lang w:val="en-AU"/>
        </w:rPr>
        <w:t xml:space="preserve">C, 12 </w:t>
      </w:r>
      <w:r>
        <w:rPr>
          <w:rFonts w:cstheme="minorHAnsi"/>
          <w:lang w:val="en-AU"/>
        </w:rPr>
        <w:t>º</w:t>
      </w:r>
      <w:r>
        <w:rPr>
          <w:lang w:val="en-AU"/>
        </w:rPr>
        <w:t xml:space="preserve">C, 20 </w:t>
      </w:r>
      <w:r>
        <w:rPr>
          <w:rFonts w:cstheme="minorHAnsi"/>
          <w:lang w:val="en-AU"/>
        </w:rPr>
        <w:t>º</w:t>
      </w:r>
      <w:r>
        <w:rPr>
          <w:lang w:val="en-AU"/>
        </w:rPr>
        <w:t xml:space="preserve">C, 30 </w:t>
      </w:r>
      <w:r>
        <w:rPr>
          <w:rFonts w:cstheme="minorHAnsi"/>
          <w:lang w:val="en-AU"/>
        </w:rPr>
        <w:t>º</w:t>
      </w:r>
      <w:r>
        <w:rPr>
          <w:lang w:val="en-AU"/>
        </w:rPr>
        <w:t xml:space="preserve">C, 40 </w:t>
      </w:r>
      <w:r>
        <w:rPr>
          <w:rFonts w:cstheme="minorHAnsi"/>
          <w:lang w:val="en-AU"/>
        </w:rPr>
        <w:t>º</w:t>
      </w:r>
      <w:r>
        <w:rPr>
          <w:lang w:val="en-AU"/>
        </w:rPr>
        <w:t xml:space="preserve">C, and 45 </w:t>
      </w:r>
      <w:r>
        <w:rPr>
          <w:rFonts w:cstheme="minorHAnsi"/>
          <w:lang w:val="en-AU"/>
        </w:rPr>
        <w:t>º</w:t>
      </w:r>
      <w:r>
        <w:rPr>
          <w:lang w:val="en-AU"/>
        </w:rPr>
        <w:t>C to radiant exposures of 200 kJ/m</w:t>
      </w:r>
      <w:r>
        <w:rPr>
          <w:vertAlign w:val="superscript"/>
          <w:lang w:val="en-AU"/>
        </w:rPr>
        <w:t>2</w:t>
      </w:r>
      <w:r>
        <w:rPr>
          <w:lang w:val="en-AU"/>
        </w:rPr>
        <w:t xml:space="preserve"> using the fluorescent lamp. Irradiation at different temperatures was achieved by controlling the air flow temperature, except for 5 </w:t>
      </w:r>
      <w:r>
        <w:rPr>
          <w:rFonts w:cstheme="minorHAnsi"/>
          <w:lang w:val="en-AU"/>
        </w:rPr>
        <w:t>º</w:t>
      </w:r>
      <w:r>
        <w:rPr>
          <w:lang w:val="en-AU"/>
        </w:rPr>
        <w:t xml:space="preserve">C in which a water bath containing a mixture of ice and water was used. The temperature error was estimated to be </w:t>
      </w:r>
      <w:r>
        <w:rPr>
          <w:rFonts w:cstheme="minorHAnsi"/>
          <w:lang w:val="en-AU"/>
        </w:rPr>
        <w:t>±</w:t>
      </w:r>
      <w:r>
        <w:rPr>
          <w:lang w:val="en-AU"/>
        </w:rPr>
        <w:t xml:space="preserve">2 </w:t>
      </w:r>
      <w:r>
        <w:rPr>
          <w:rFonts w:cstheme="minorHAnsi"/>
          <w:lang w:val="en-AU"/>
        </w:rPr>
        <w:t>º</w:t>
      </w:r>
      <w:r>
        <w:rPr>
          <w:lang w:val="en-AU"/>
        </w:rPr>
        <w:t>C. The IR absorbance was measured before and after the exposure to allow comparison of the absorbance change of the dosimeters exposed at different temperatures.</w:t>
      </w:r>
    </w:p>
    <w:p w:rsidR="00B820DB" w:rsidRDefault="00B820DB" w:rsidP="00FB7C64">
      <w:pPr>
        <w:pStyle w:val="Heading2"/>
        <w:numPr>
          <w:ilvl w:val="1"/>
          <w:numId w:val="1"/>
        </w:numPr>
        <w:rPr>
          <w:lang w:val="en-AU"/>
        </w:rPr>
      </w:pPr>
      <w:r>
        <w:rPr>
          <w:lang w:val="en-AU"/>
        </w:rPr>
        <w:lastRenderedPageBreak/>
        <w:t>Dose-rate independency</w:t>
      </w:r>
    </w:p>
    <w:p w:rsidR="00B820DB" w:rsidRPr="00B37154" w:rsidRDefault="00B820DB" w:rsidP="00FB7C64">
      <w:pPr>
        <w:rPr>
          <w:lang w:val="en-AU"/>
        </w:rPr>
      </w:pPr>
    </w:p>
    <w:p w:rsidR="00B820DB" w:rsidRPr="00E738D1" w:rsidRDefault="00B820DB" w:rsidP="00FB7C64">
      <w:pPr>
        <w:spacing w:line="480" w:lineRule="auto"/>
        <w:jc w:val="both"/>
        <w:rPr>
          <w:lang w:val="en-AU"/>
        </w:rPr>
      </w:pPr>
      <w:r w:rsidRPr="009A094E">
        <w:t>Chemical</w:t>
      </w:r>
      <w:r>
        <w:t xml:space="preserve"> </w:t>
      </w:r>
      <w:r w:rsidRPr="009A094E">
        <w:t xml:space="preserve">UV dosimeters measure the </w:t>
      </w:r>
      <w:r>
        <w:t>integrated radiant exposure (dose).</w:t>
      </w:r>
      <w:r w:rsidRPr="00AC118E">
        <w:t xml:space="preserve"> </w:t>
      </w:r>
      <w:r>
        <w:t xml:space="preserve">Therefore, the </w:t>
      </w:r>
      <w:r w:rsidRPr="009A094E">
        <w:t xml:space="preserve">UV-induced </w:t>
      </w:r>
      <w:r>
        <w:t>response</w:t>
      </w:r>
      <w:r w:rsidRPr="009A094E">
        <w:t xml:space="preserve"> within the dosimeter should be independent of the </w:t>
      </w:r>
      <w:r>
        <w:t>rate</w:t>
      </w:r>
      <w:r w:rsidRPr="009A094E">
        <w:t xml:space="preserve"> of</w:t>
      </w:r>
      <w:r>
        <w:t xml:space="preserve"> the</w:t>
      </w:r>
      <w:r w:rsidRPr="009A094E">
        <w:t xml:space="preserve"> receiv</w:t>
      </w:r>
      <w:r>
        <w:t>ed</w:t>
      </w:r>
      <w:r w:rsidRPr="009A094E">
        <w:t xml:space="preserve"> dose</w:t>
      </w:r>
      <w:r>
        <w:t xml:space="preserve"> (irradiance), i.e., e</w:t>
      </w:r>
      <w:r w:rsidRPr="009A094E">
        <w:t xml:space="preserve">qual doses are supposed to induce the same </w:t>
      </w:r>
      <w:r>
        <w:t>response</w:t>
      </w:r>
      <w:r w:rsidRPr="009A094E">
        <w:t xml:space="preserve"> regardless of the </w:t>
      </w:r>
      <w:r>
        <w:t>dose rate and duration of exposure.</w:t>
      </w:r>
      <w:r w:rsidRPr="009A094E">
        <w:t xml:space="preserve"> </w:t>
      </w:r>
      <w:r>
        <w:t xml:space="preserve">The dose rate dependence of the PVC dosimeter was studied by exposing </w:t>
      </w:r>
      <w:r>
        <w:rPr>
          <w:lang w:val="en-AU"/>
        </w:rPr>
        <w:t>seven groups of PVC dosimeters sequentially to the fluorescent lamp at different distances from the lamp for different durations of exposure, so that all groups received an equal broadband UV radiant exposure of 2 MJ/m</w:t>
      </w:r>
      <w:r>
        <w:rPr>
          <w:vertAlign w:val="superscript"/>
          <w:lang w:val="en-AU"/>
        </w:rPr>
        <w:t>2</w:t>
      </w:r>
      <w:r>
        <w:rPr>
          <w:lang w:val="en-AU"/>
        </w:rPr>
        <w:t xml:space="preserve">. The distance between the dosimeters and the lamp ranged between 6 cm and 34 cm. The UV irradiance as measured by the Bentham </w:t>
      </w:r>
      <w:proofErr w:type="spellStart"/>
      <w:r>
        <w:rPr>
          <w:lang w:val="en-AU"/>
        </w:rPr>
        <w:t>spectroradiometer</w:t>
      </w:r>
      <w:proofErr w:type="spellEnd"/>
      <w:r>
        <w:rPr>
          <w:lang w:val="en-AU"/>
        </w:rPr>
        <w:t xml:space="preserve"> at the exposure site was between 12.9 W/m</w:t>
      </w:r>
      <w:r>
        <w:rPr>
          <w:vertAlign w:val="superscript"/>
          <w:lang w:val="en-AU"/>
        </w:rPr>
        <w:t>2</w:t>
      </w:r>
      <w:r>
        <w:rPr>
          <w:lang w:val="en-AU"/>
        </w:rPr>
        <w:t xml:space="preserve"> and 2.9 W/m</w:t>
      </w:r>
      <w:r>
        <w:rPr>
          <w:vertAlign w:val="superscript"/>
          <w:lang w:val="en-AU"/>
        </w:rPr>
        <w:t>2</w:t>
      </w:r>
      <w:r>
        <w:rPr>
          <w:lang w:val="en-AU"/>
        </w:rPr>
        <w:t xml:space="preserve">; and the required exposure time ranged between 43 and 193 hours. The average absorbance change of each group was measured, normalised and plotted against the corresponding irradiance. </w:t>
      </w:r>
      <w:r w:rsidRPr="00FF2756">
        <w:rPr>
          <w:lang w:val="en-AU"/>
        </w:rPr>
        <w:t>For each exposure,</w:t>
      </w:r>
      <w:r>
        <w:rPr>
          <w:lang w:val="en-AU"/>
        </w:rPr>
        <w:t xml:space="preserve"> an</w:t>
      </w:r>
      <w:r w:rsidRPr="00FF2756">
        <w:rPr>
          <w:lang w:val="en-AU"/>
        </w:rPr>
        <w:t xml:space="preserve"> additional three dosimeters covered with cardboard were employed as control dosimeters. The covered dosimeters were placed at the exposure site to </w:t>
      </w:r>
      <w:r>
        <w:rPr>
          <w:lang w:val="en-AU"/>
        </w:rPr>
        <w:t>ensure that they were at the same temperature as the exposed dosimeters</w:t>
      </w:r>
      <w:r w:rsidRPr="00FF2756">
        <w:rPr>
          <w:lang w:val="en-AU"/>
        </w:rPr>
        <w:t xml:space="preserve">. </w:t>
      </w:r>
    </w:p>
    <w:p w:rsidR="00B820DB" w:rsidRPr="00F97828" w:rsidRDefault="00B820DB" w:rsidP="00FB7C64">
      <w:pPr>
        <w:pStyle w:val="Heading2"/>
        <w:numPr>
          <w:ilvl w:val="1"/>
          <w:numId w:val="1"/>
        </w:numPr>
        <w:spacing w:line="480" w:lineRule="auto"/>
        <w:rPr>
          <w:lang w:val="en-AU"/>
        </w:rPr>
      </w:pPr>
      <w:r>
        <w:rPr>
          <w:lang w:val="en-AU"/>
        </w:rPr>
        <w:t>Angular dependence</w:t>
      </w:r>
    </w:p>
    <w:p w:rsidR="00B820DB" w:rsidRPr="001C1F7C" w:rsidRDefault="00B820DB" w:rsidP="00FB7C64">
      <w:pPr>
        <w:spacing w:line="480" w:lineRule="auto"/>
        <w:jc w:val="both"/>
        <w:rPr>
          <w:lang w:val="en-AU"/>
        </w:rPr>
      </w:pPr>
      <w:r>
        <w:rPr>
          <w:rFonts w:asciiTheme="majorHAnsi" w:eastAsiaTheme="minorEastAsia" w:hAnsiTheme="majorHAnsi" w:cstheme="majorHAnsi"/>
          <w:lang w:bidi="ar-SA"/>
        </w:rPr>
        <w:t xml:space="preserve">The angular dependence of the dosimeter is the variation in its response with the angle of incidence of incoming radiation. The maximum irradiance of a stable beam of radiation corresponds to </w:t>
      </w:r>
      <w:r w:rsidRPr="00934DEC">
        <w:rPr>
          <w:position w:val="-6"/>
        </w:rPr>
        <w:object w:dxaOrig="260" w:dyaOrig="320">
          <v:shape id="_x0000_i1034" type="#_x0000_t75" style="width:13.6pt;height:17pt" o:ole="">
            <v:imagedata r:id="rId26" o:title=""/>
          </v:shape>
          <o:OLEObject Type="Embed" ProgID="Equation.3" ShapeID="_x0000_i1034" DrawAspect="Content" ObjectID="_1442047991" r:id="rId27"/>
        </w:object>
      </w:r>
      <w:r>
        <w:rPr>
          <w:rFonts w:asciiTheme="majorHAnsi" w:eastAsiaTheme="minorEastAsia" w:hAnsiTheme="majorHAnsi" w:cstheme="majorHAnsi"/>
          <w:lang w:bidi="ar-SA"/>
        </w:rPr>
        <w:t xml:space="preserve">angle of </w:t>
      </w:r>
      <w:r w:rsidR="00FB7C64">
        <w:rPr>
          <w:rFonts w:asciiTheme="majorHAnsi" w:eastAsiaTheme="minorEastAsia" w:hAnsiTheme="majorHAnsi" w:cstheme="majorHAnsi"/>
          <w:lang w:bidi="ar-SA"/>
        </w:rPr>
        <w:t>incidence</w:t>
      </w:r>
      <w:r w:rsidRPr="00934DEC">
        <w:rPr>
          <w:position w:val="-10"/>
        </w:rPr>
        <w:object w:dxaOrig="360" w:dyaOrig="340">
          <v:shape id="_x0000_i1035" type="#_x0000_t75" style="width:17.65pt;height:17pt" o:ole="">
            <v:imagedata r:id="rId28" o:title=""/>
          </v:shape>
          <o:OLEObject Type="Embed" ProgID="Equation.3" ShapeID="_x0000_i1035" DrawAspect="Content" ObjectID="_1442047992" r:id="rId29"/>
        </w:object>
      </w:r>
      <w:r>
        <w:t>, and</w:t>
      </w:r>
      <w:r>
        <w:rPr>
          <w:rFonts w:asciiTheme="majorHAnsi" w:eastAsiaTheme="minorEastAsia" w:hAnsiTheme="majorHAnsi" w:cstheme="majorHAnsi"/>
          <w:lang w:bidi="ar-SA"/>
        </w:rPr>
        <w:t xml:space="preserve"> reduced by a factor of </w:t>
      </w:r>
      <w:r w:rsidRPr="00934DEC">
        <w:rPr>
          <w:position w:val="-10"/>
        </w:rPr>
        <w:object w:dxaOrig="700" w:dyaOrig="320">
          <v:shape id="_x0000_i1036" type="#_x0000_t75" style="width:35.3pt;height:17pt" o:ole="">
            <v:imagedata r:id="rId30" o:title=""/>
          </v:shape>
          <o:OLEObject Type="Embed" ProgID="Equation.3" ShapeID="_x0000_i1036" DrawAspect="Content" ObjectID="_1442047993" r:id="rId31"/>
        </w:object>
      </w:r>
      <w:r>
        <w:t xml:space="preserve"> with </w:t>
      </w:r>
      <w:proofErr w:type="gramStart"/>
      <w:r>
        <w:t>increasing  angle</w:t>
      </w:r>
      <w:proofErr w:type="gramEnd"/>
      <w:r>
        <w:t xml:space="preserve"> </w:t>
      </w:r>
      <w:r>
        <w:rPr>
          <w:noProof/>
        </w:rPr>
        <w:t>[35]</w:t>
      </w:r>
      <w:r>
        <w:t xml:space="preserve">. </w:t>
      </w:r>
      <w:r>
        <w:rPr>
          <w:rFonts w:asciiTheme="majorHAnsi" w:eastAsiaTheme="minorEastAsia" w:hAnsiTheme="majorHAnsi" w:cstheme="majorHAnsi"/>
          <w:lang w:bidi="ar-SA"/>
        </w:rPr>
        <w:t xml:space="preserve"> </w:t>
      </w:r>
      <w:r w:rsidRPr="009A094E">
        <w:rPr>
          <w:rFonts w:asciiTheme="majorHAnsi" w:eastAsiaTheme="minorEastAsia" w:hAnsiTheme="majorHAnsi" w:cstheme="majorHAnsi"/>
          <w:lang w:bidi="ar-SA"/>
        </w:rPr>
        <w:t>Therefore, for an ideal UV dosimeter, the response to the change in the angle of incidence of the beam should be a cosine function.</w:t>
      </w:r>
      <w:r w:rsidRPr="009A094E">
        <w:rPr>
          <w:rFonts w:eastAsiaTheme="minorEastAsia"/>
          <w:lang w:bidi="ar-SA"/>
        </w:rPr>
        <w:t xml:space="preserve"> To quantify </w:t>
      </w:r>
      <w:r>
        <w:rPr>
          <w:rFonts w:eastAsiaTheme="minorEastAsia"/>
          <w:lang w:bidi="ar-SA"/>
        </w:rPr>
        <w:t>any</w:t>
      </w:r>
      <w:r w:rsidRPr="009A094E">
        <w:rPr>
          <w:rFonts w:eastAsiaTheme="minorEastAsia"/>
          <w:lang w:bidi="ar-SA"/>
        </w:rPr>
        <w:t xml:space="preserve"> differences of the </w:t>
      </w:r>
      <w:r>
        <w:rPr>
          <w:rFonts w:eastAsiaTheme="minorEastAsia"/>
          <w:lang w:bidi="ar-SA"/>
        </w:rPr>
        <w:t>angular</w:t>
      </w:r>
      <w:r w:rsidRPr="009A094E">
        <w:rPr>
          <w:rFonts w:eastAsiaTheme="minorEastAsia"/>
          <w:lang w:bidi="ar-SA"/>
        </w:rPr>
        <w:t xml:space="preserve"> response of the</w:t>
      </w:r>
      <w:r>
        <w:rPr>
          <w:rFonts w:eastAsiaTheme="minorEastAsia"/>
          <w:lang w:bidi="ar-SA"/>
        </w:rPr>
        <w:t xml:space="preserve"> PVC</w:t>
      </w:r>
      <w:r w:rsidRPr="009A094E">
        <w:rPr>
          <w:rFonts w:eastAsiaTheme="minorEastAsia"/>
          <w:lang w:bidi="ar-SA"/>
        </w:rPr>
        <w:t xml:space="preserve"> dosimeter from the cosine function, </w:t>
      </w:r>
      <w:r>
        <w:rPr>
          <w:rFonts w:eastAsiaTheme="minorEastAsia"/>
          <w:lang w:bidi="ar-SA"/>
        </w:rPr>
        <w:t>nine</w:t>
      </w:r>
      <w:r w:rsidRPr="009A094E">
        <w:rPr>
          <w:rFonts w:eastAsiaTheme="minorEastAsia"/>
          <w:lang w:bidi="ar-SA"/>
        </w:rPr>
        <w:t xml:space="preserve"> set</w:t>
      </w:r>
      <w:r>
        <w:rPr>
          <w:rFonts w:eastAsiaTheme="minorEastAsia"/>
          <w:lang w:bidi="ar-SA"/>
        </w:rPr>
        <w:t>s</w:t>
      </w:r>
      <w:r w:rsidRPr="009A094E">
        <w:rPr>
          <w:rFonts w:eastAsiaTheme="minorEastAsia"/>
          <w:lang w:bidi="ar-SA"/>
        </w:rPr>
        <w:t xml:space="preserve"> of</w:t>
      </w:r>
      <w:r>
        <w:rPr>
          <w:rFonts w:eastAsiaTheme="minorEastAsia"/>
          <w:lang w:bidi="ar-SA"/>
        </w:rPr>
        <w:t xml:space="preserve"> PVC</w:t>
      </w:r>
      <w:r w:rsidRPr="009A094E">
        <w:rPr>
          <w:rFonts w:eastAsiaTheme="minorEastAsia"/>
          <w:lang w:bidi="ar-SA"/>
        </w:rPr>
        <w:t xml:space="preserve"> dosimeters </w:t>
      </w:r>
      <w:r>
        <w:rPr>
          <w:rFonts w:eastAsiaTheme="minorEastAsia"/>
          <w:lang w:bidi="ar-SA"/>
        </w:rPr>
        <w:t>were</w:t>
      </w:r>
      <w:r>
        <w:rPr>
          <w:rFonts w:ascii="Times New Roman" w:hAnsi="Times New Roman"/>
          <w:color w:val="000000" w:themeColor="text1"/>
          <w:lang w:val="en-AU"/>
        </w:rPr>
        <w:t xml:space="preserve"> irradiated by a collimated UV beam at nine different angles of incidence. </w:t>
      </w:r>
      <w:r w:rsidRPr="00DB5612">
        <w:rPr>
          <w:rFonts w:ascii="Times New Roman" w:hAnsi="Times New Roman"/>
          <w:color w:val="000000" w:themeColor="text1"/>
          <w:lang w:val="en-AU"/>
        </w:rPr>
        <w:t xml:space="preserve">The irradiation source was a UV solar simulator (19160-1000, Newport Co., California, </w:t>
      </w:r>
      <w:proofErr w:type="gramStart"/>
      <w:r w:rsidRPr="00DB5612">
        <w:rPr>
          <w:rFonts w:ascii="Times New Roman" w:hAnsi="Times New Roman"/>
          <w:color w:val="000000" w:themeColor="text1"/>
          <w:lang w:val="en-AU"/>
        </w:rPr>
        <w:t>USA</w:t>
      </w:r>
      <w:proofErr w:type="gramEnd"/>
      <w:r w:rsidRPr="00DB5612">
        <w:rPr>
          <w:rFonts w:ascii="Times New Roman" w:hAnsi="Times New Roman"/>
          <w:color w:val="000000" w:themeColor="text1"/>
          <w:lang w:val="en-AU"/>
        </w:rPr>
        <w:t xml:space="preserve">) combined </w:t>
      </w:r>
      <w:r w:rsidRPr="00DB5612">
        <w:rPr>
          <w:rFonts w:ascii="Times New Roman" w:hAnsi="Times New Roman"/>
          <w:color w:val="000000" w:themeColor="text1"/>
          <w:lang w:val="en-AU"/>
        </w:rPr>
        <w:lastRenderedPageBreak/>
        <w:t>with an exposure controller (model 68945, Newport Co., California, USA) to minimise variations in the lamp output.</w:t>
      </w:r>
      <w:r>
        <w:rPr>
          <w:rFonts w:ascii="Times New Roman" w:hAnsi="Times New Roman"/>
          <w:color w:val="000000" w:themeColor="text1"/>
          <w:lang w:val="en-AU"/>
        </w:rPr>
        <w:t xml:space="preserve"> The simulator provides a stable collimated beam of 5 cm×5 cm with measured irradiance uniformity across the entire exposure area of about 5%. Batches of four PVC dosimeters were irradiated sequentially at angles ranging from 0º to 80º at intervals of 10º. The exposure lasted for 24 hours at each angle. The average absorbance change of the dosimeters corresponding to each angle was measured and then normalised for the comparison with the cosine function. The deviation of the dosimeter angular response from the </w:t>
      </w:r>
      <w:r w:rsidRPr="00CB1217">
        <w:rPr>
          <w:rFonts w:ascii="Times New Roman" w:hAnsi="Times New Roman"/>
          <w:lang w:val="en-AU"/>
        </w:rPr>
        <w:t>ideal</w:t>
      </w:r>
      <w:r>
        <w:rPr>
          <w:rFonts w:ascii="Times New Roman" w:hAnsi="Times New Roman"/>
          <w:color w:val="000000" w:themeColor="text1"/>
          <w:lang w:val="en-AU"/>
        </w:rPr>
        <w:t xml:space="preserve"> cosine response was calculated for each angle.      </w:t>
      </w:r>
    </w:p>
    <w:p w:rsidR="00B820DB" w:rsidRPr="00F97828" w:rsidRDefault="00B820DB" w:rsidP="00FB7C64">
      <w:pPr>
        <w:pStyle w:val="Heading2"/>
        <w:numPr>
          <w:ilvl w:val="1"/>
          <w:numId w:val="1"/>
        </w:numPr>
        <w:spacing w:line="480" w:lineRule="auto"/>
        <w:jc w:val="both"/>
        <w:rPr>
          <w:lang w:val="en-AU"/>
        </w:rPr>
      </w:pPr>
      <w:r>
        <w:rPr>
          <w:lang w:val="en-AU"/>
        </w:rPr>
        <w:t>Backscattering effect</w:t>
      </w:r>
    </w:p>
    <w:p w:rsidR="00B820DB" w:rsidRDefault="00B820DB" w:rsidP="00FB7C64">
      <w:pPr>
        <w:spacing w:line="480" w:lineRule="auto"/>
        <w:jc w:val="both"/>
        <w:rPr>
          <w:lang w:val="en-AU"/>
        </w:rPr>
      </w:pPr>
      <w:r>
        <w:rPr>
          <w:rFonts w:asciiTheme="majorHAnsi" w:hAnsiTheme="majorHAnsi" w:cstheme="majorHAnsi"/>
          <w:noProof/>
        </w:rPr>
        <w:t>Butson et. al. [36]</w:t>
      </w:r>
      <w:r w:rsidRPr="009A094E">
        <w:rPr>
          <w:rFonts w:asciiTheme="majorHAnsi" w:hAnsiTheme="majorHAnsi" w:cstheme="majorHAnsi"/>
          <w:b/>
          <w:bCs/>
          <w:i/>
          <w:iCs/>
        </w:rPr>
        <w:t xml:space="preserve"> </w:t>
      </w:r>
      <w:r w:rsidRPr="009A094E">
        <w:rPr>
          <w:rFonts w:asciiTheme="majorHAnsi" w:hAnsiTheme="majorHAnsi" w:cstheme="majorHAnsi"/>
        </w:rPr>
        <w:t>have reported a variation of up to 19% in the measurements of UV exposure</w:t>
      </w:r>
      <w:r>
        <w:rPr>
          <w:rFonts w:asciiTheme="majorHAnsi" w:hAnsiTheme="majorHAnsi" w:cstheme="majorHAnsi"/>
        </w:rPr>
        <w:t xml:space="preserve"> obtained </w:t>
      </w:r>
      <w:r w:rsidRPr="009A094E">
        <w:rPr>
          <w:rFonts w:asciiTheme="majorHAnsi" w:hAnsiTheme="majorHAnsi" w:cstheme="majorHAnsi"/>
        </w:rPr>
        <w:t>with</w:t>
      </w:r>
      <w:r>
        <w:rPr>
          <w:rFonts w:asciiTheme="majorHAnsi" w:hAnsiTheme="majorHAnsi" w:cstheme="majorHAnsi"/>
        </w:rPr>
        <w:t xml:space="preserve"> a</w:t>
      </w:r>
      <w:r w:rsidRPr="009A094E">
        <w:rPr>
          <w:rFonts w:asciiTheme="majorHAnsi" w:hAnsiTheme="majorHAnsi" w:cstheme="majorHAnsi"/>
        </w:rPr>
        <w:t xml:space="preserve"> UV dosimeter based on a </w:t>
      </w:r>
      <w:proofErr w:type="spellStart"/>
      <w:r w:rsidRPr="009A094E">
        <w:rPr>
          <w:rFonts w:asciiTheme="majorHAnsi" w:hAnsiTheme="majorHAnsi" w:cstheme="majorHAnsi"/>
          <w:lang w:bidi="ar-SA"/>
        </w:rPr>
        <w:t>radiochromic</w:t>
      </w:r>
      <w:proofErr w:type="spellEnd"/>
      <w:r w:rsidRPr="009A094E">
        <w:rPr>
          <w:rFonts w:asciiTheme="majorHAnsi" w:hAnsiTheme="majorHAnsi" w:cstheme="majorHAnsi"/>
          <w:lang w:bidi="ar-SA"/>
        </w:rPr>
        <w:t xml:space="preserve"> film</w:t>
      </w:r>
      <w:r w:rsidRPr="009A094E">
        <w:rPr>
          <w:rFonts w:asciiTheme="majorHAnsi" w:hAnsiTheme="majorHAnsi" w:cstheme="majorHAnsi"/>
        </w:rPr>
        <w:t xml:space="preserve"> due to various </w:t>
      </w:r>
      <w:r>
        <w:rPr>
          <w:rFonts w:asciiTheme="majorHAnsi" w:hAnsiTheme="majorHAnsi" w:cstheme="majorHAnsi"/>
        </w:rPr>
        <w:t>background</w:t>
      </w:r>
      <w:r w:rsidRPr="009A094E">
        <w:rPr>
          <w:rFonts w:asciiTheme="majorHAnsi" w:hAnsiTheme="majorHAnsi" w:cstheme="majorHAnsi"/>
        </w:rPr>
        <w:t xml:space="preserve"> materials</w:t>
      </w:r>
      <w:r>
        <w:rPr>
          <w:rFonts w:asciiTheme="majorHAnsi" w:hAnsiTheme="majorHAnsi" w:cstheme="majorHAnsi"/>
        </w:rPr>
        <w:t xml:space="preserve">. This discrepancy is assumed to be associated with backscattered radiation reflected off backing material. Therefore, </w:t>
      </w:r>
      <w:r>
        <w:rPr>
          <w:lang w:val="en-AU"/>
        </w:rPr>
        <w:t>the effect of the background material and colour on the response of PVC dosimeters to UV radiation was examined.</w:t>
      </w:r>
      <w:r>
        <w:rPr>
          <w:rFonts w:asciiTheme="majorHAnsi" w:hAnsiTheme="majorHAnsi" w:cstheme="majorHAnsi"/>
        </w:rPr>
        <w:t xml:space="preserve"> </w:t>
      </w:r>
      <w:r>
        <w:rPr>
          <w:lang w:val="en-AU"/>
        </w:rPr>
        <w:t>White, black and purple papers along with black polyethylene and glossy wood were employed as backgrounds for five batches of PVC dosimeters. The dosimeters were exposed evenly to the fluorescent UV lamp for 100 hours, providing 5 MJ/m</w:t>
      </w:r>
      <w:r>
        <w:rPr>
          <w:vertAlign w:val="superscript"/>
          <w:lang w:val="en-AU"/>
        </w:rPr>
        <w:t>2</w:t>
      </w:r>
      <w:r>
        <w:rPr>
          <w:lang w:val="en-AU"/>
        </w:rPr>
        <w:t xml:space="preserve"> of broadband UV radiant exposure at the dosimeters’ site. The UV-induced absorbance change of the dosimeters was measured and normalised for the comparison. </w:t>
      </w:r>
    </w:p>
    <w:p w:rsidR="00B820DB" w:rsidRPr="00F97828" w:rsidRDefault="00B820DB" w:rsidP="00FB7C64">
      <w:pPr>
        <w:pStyle w:val="Heading2"/>
        <w:numPr>
          <w:ilvl w:val="1"/>
          <w:numId w:val="1"/>
        </w:numPr>
        <w:spacing w:line="480" w:lineRule="auto"/>
        <w:jc w:val="both"/>
        <w:rPr>
          <w:lang w:val="en-AU"/>
        </w:rPr>
      </w:pPr>
      <w:proofErr w:type="spellStart"/>
      <w:r>
        <w:rPr>
          <w:lang w:val="en-AU"/>
        </w:rPr>
        <w:t>Erythemal</w:t>
      </w:r>
      <w:proofErr w:type="spellEnd"/>
      <w:r>
        <w:rPr>
          <w:lang w:val="en-AU"/>
        </w:rPr>
        <w:t xml:space="preserve"> dose response curves</w:t>
      </w:r>
    </w:p>
    <w:p w:rsidR="00B820DB" w:rsidRDefault="00B820DB" w:rsidP="00FB7C64">
      <w:pPr>
        <w:pStyle w:val="Default"/>
        <w:spacing w:line="480" w:lineRule="auto"/>
        <w:jc w:val="both"/>
      </w:pPr>
      <w:r>
        <w:t xml:space="preserve">The </w:t>
      </w:r>
      <w:proofErr w:type="spellStart"/>
      <w:r>
        <w:t>erythemal</w:t>
      </w:r>
      <w:proofErr w:type="spellEnd"/>
      <w:r>
        <w:t xml:space="preserve"> dose response curves of the PVC dosimeter were determined at the University of Southern Queensland, Toowoomba, Australia (latitude 27.6 </w:t>
      </w:r>
      <w:r>
        <w:rPr>
          <w:rFonts w:cstheme="minorHAnsi"/>
        </w:rPr>
        <w:t xml:space="preserve">ºS) in </w:t>
      </w:r>
      <w:proofErr w:type="gramStart"/>
      <w:r>
        <w:t>Autumn</w:t>
      </w:r>
      <w:proofErr w:type="gramEnd"/>
      <w:r>
        <w:t xml:space="preserve"> (23 April - 29 May 2012), Winter (23 July - 28 August 2012), Spring (10 September - 8 October) and Summer (5 February - 22 February 2013). For each season, five dosimeters have been </w:t>
      </w:r>
      <w:r>
        <w:lastRenderedPageBreak/>
        <w:t xml:space="preserve">exposed on a horizontal unshaded plane near an </w:t>
      </w:r>
      <w:proofErr w:type="spellStart"/>
      <w:r>
        <w:t>erythemally</w:t>
      </w:r>
      <w:proofErr w:type="spellEnd"/>
      <w:r>
        <w:t xml:space="preserve"> weighted UV meter (model </w:t>
      </w:r>
      <w:r>
        <w:rPr>
          <w:sz w:val="23"/>
          <w:szCs w:val="23"/>
        </w:rPr>
        <w:t xml:space="preserve">501 </w:t>
      </w:r>
      <w:proofErr w:type="spellStart"/>
      <w:r>
        <w:rPr>
          <w:sz w:val="23"/>
          <w:szCs w:val="23"/>
        </w:rPr>
        <w:t>Biometer</w:t>
      </w:r>
      <w:proofErr w:type="spellEnd"/>
      <w:r>
        <w:rPr>
          <w:sz w:val="23"/>
          <w:szCs w:val="23"/>
        </w:rPr>
        <w:t>, Solar Light Co. PA. USA</w:t>
      </w:r>
      <w:r w:rsidRPr="00802D2D">
        <w:t>)</w:t>
      </w:r>
      <w:r>
        <w:t>,</w:t>
      </w:r>
      <w:r w:rsidRPr="00802D2D">
        <w:t xml:space="preserve"> that records the cumulat</w:t>
      </w:r>
      <w:r>
        <w:t xml:space="preserve">ive </w:t>
      </w:r>
      <w:proofErr w:type="spellStart"/>
      <w:r w:rsidRPr="00802D2D">
        <w:t>erythemal</w:t>
      </w:r>
      <w:proofErr w:type="spellEnd"/>
      <w:r w:rsidRPr="00802D2D">
        <w:t xml:space="preserve"> exposure each five minutes</w:t>
      </w:r>
      <w:r>
        <w:t xml:space="preserve">. The </w:t>
      </w:r>
      <w:proofErr w:type="spellStart"/>
      <w:r>
        <w:t>Biometer</w:t>
      </w:r>
      <w:proofErr w:type="spellEnd"/>
      <w:r>
        <w:t xml:space="preserve"> was calibrated to the Bentham </w:t>
      </w:r>
      <w:proofErr w:type="spellStart"/>
      <w:r w:rsidRPr="00DB5612">
        <w:rPr>
          <w:color w:val="000000" w:themeColor="text1"/>
        </w:rPr>
        <w:t>spectroradiometer</w:t>
      </w:r>
      <w:proofErr w:type="spellEnd"/>
      <w:r w:rsidRPr="00DB5612">
        <w:rPr>
          <w:color w:val="000000" w:themeColor="text1"/>
        </w:rPr>
        <w:t xml:space="preserve"> </w:t>
      </w:r>
      <w:r w:rsidRPr="00DB5612">
        <w:rPr>
          <w:rFonts w:cstheme="minorHAnsi"/>
          <w:color w:val="000000" w:themeColor="text1"/>
        </w:rPr>
        <w:t>each</w:t>
      </w:r>
      <w:r>
        <w:rPr>
          <w:color w:val="000000" w:themeColor="text1"/>
        </w:rPr>
        <w:t xml:space="preserve"> season.</w:t>
      </w:r>
      <w:r>
        <w:rPr>
          <w:color w:val="FF0000"/>
        </w:rPr>
        <w:t xml:space="preserve"> </w:t>
      </w:r>
      <w:r w:rsidRPr="00CB1217">
        <w:rPr>
          <w:color w:val="auto"/>
        </w:rPr>
        <w:t xml:space="preserve">The angular response of the </w:t>
      </w:r>
      <w:proofErr w:type="spellStart"/>
      <w:r w:rsidRPr="00CB1217">
        <w:rPr>
          <w:color w:val="auto"/>
        </w:rPr>
        <w:t>Biometer</w:t>
      </w:r>
      <w:proofErr w:type="spellEnd"/>
      <w:r w:rsidRPr="00CB1217">
        <w:rPr>
          <w:color w:val="auto"/>
        </w:rPr>
        <w:t xml:space="preserve"> is assured by the manufacturer to be within 5% from ideal cosine for all incident angles.</w:t>
      </w:r>
      <w:r>
        <w:t xml:space="preserve"> The dosimeters were removed only for the absorbance measurements (15 minutes) and were not brought indoors at night. The absorbance change of the dosimeters was measured at different intervals and related to the corresponding exposure dose to construct dose response curves. During the summer calibration, three covered dosimeters (control dosimeters) were placed at the exposure site to investigate any effects of the ambient temperature on the UV-induced changes within the dosimeter. </w:t>
      </w:r>
    </w:p>
    <w:p w:rsidR="00B820DB" w:rsidRPr="00F97828" w:rsidRDefault="00B820DB" w:rsidP="00FB7C64">
      <w:pPr>
        <w:pStyle w:val="Heading2"/>
        <w:numPr>
          <w:ilvl w:val="1"/>
          <w:numId w:val="1"/>
        </w:numPr>
        <w:spacing w:line="480" w:lineRule="auto"/>
        <w:jc w:val="both"/>
      </w:pPr>
      <w:r>
        <w:t>Threshold dose</w:t>
      </w:r>
    </w:p>
    <w:p w:rsidR="00B820DB" w:rsidRDefault="00B820DB" w:rsidP="00FB7C64">
      <w:pPr>
        <w:spacing w:line="480" w:lineRule="auto"/>
        <w:jc w:val="both"/>
      </w:pPr>
      <w:r>
        <w:t xml:space="preserve">The threshold dose is the smallest dose that can induce a measureable response within the dosimeter. The </w:t>
      </w:r>
      <w:proofErr w:type="spellStart"/>
      <w:r>
        <w:t>erythemal</w:t>
      </w:r>
      <w:proofErr w:type="spellEnd"/>
      <w:r>
        <w:t xml:space="preserve"> dose response curves obtained for the PVC dosimeter indicate that the dose capacity of the dosimeter extends to more than 900 SED. However, the response to small doses does not exactly match the general trend of the data. Further investigation of the dosimeter response to small doses has been carried out using the solar simulator. A set of four PVC dosimeters was evenly exposed to a total radiant exposure of 6 SED, during which the absorbance change was measured regularly.   </w:t>
      </w:r>
    </w:p>
    <w:p w:rsidR="00B820DB" w:rsidRPr="00F97828" w:rsidRDefault="00B820DB" w:rsidP="00FB7C64">
      <w:pPr>
        <w:pStyle w:val="Heading2"/>
        <w:numPr>
          <w:ilvl w:val="1"/>
          <w:numId w:val="1"/>
        </w:numPr>
        <w:spacing w:line="480" w:lineRule="auto"/>
        <w:jc w:val="both"/>
      </w:pPr>
      <w:r>
        <w:t>Dark reaction</w:t>
      </w:r>
    </w:p>
    <w:p w:rsidR="00B820DB" w:rsidRDefault="00B820DB" w:rsidP="00FB7C64">
      <w:pPr>
        <w:autoSpaceDE w:val="0"/>
        <w:autoSpaceDN w:val="0"/>
        <w:adjustRightInd w:val="0"/>
        <w:spacing w:line="480" w:lineRule="auto"/>
        <w:jc w:val="both"/>
        <w:rPr>
          <w:rFonts w:asciiTheme="majorHAnsi" w:hAnsiTheme="majorHAnsi" w:cstheme="majorHAnsi"/>
        </w:rPr>
      </w:pPr>
      <w:r w:rsidRPr="009A094E">
        <w:rPr>
          <w:rFonts w:asciiTheme="majorHAnsi" w:hAnsiTheme="majorHAnsi" w:cstheme="majorHAnsi"/>
        </w:rPr>
        <w:t>Previous</w:t>
      </w:r>
      <w:r>
        <w:rPr>
          <w:rFonts w:asciiTheme="majorHAnsi" w:hAnsiTheme="majorHAnsi" w:cstheme="majorHAnsi"/>
        </w:rPr>
        <w:t xml:space="preserve"> research has reported changes in some chemical UV dosimeters’ response </w:t>
      </w:r>
      <w:r w:rsidRPr="009A094E">
        <w:rPr>
          <w:rFonts w:asciiTheme="majorHAnsi" w:hAnsiTheme="majorHAnsi" w:cstheme="majorHAnsi"/>
        </w:rPr>
        <w:t>after the</w:t>
      </w:r>
      <w:r>
        <w:rPr>
          <w:rFonts w:asciiTheme="majorHAnsi" w:hAnsiTheme="majorHAnsi" w:cstheme="majorHAnsi"/>
        </w:rPr>
        <w:t xml:space="preserve"> UV exposure has been terminated </w:t>
      </w:r>
      <w:r>
        <w:rPr>
          <w:rFonts w:asciiTheme="majorHAnsi" w:hAnsiTheme="majorHAnsi" w:cstheme="majorHAnsi"/>
          <w:noProof/>
        </w:rPr>
        <w:t>[3, 5, 37, 38]</w:t>
      </w:r>
      <w:r>
        <w:rPr>
          <w:rFonts w:asciiTheme="majorHAnsi" w:hAnsiTheme="majorHAnsi" w:cstheme="majorHAnsi"/>
        </w:rPr>
        <w:t xml:space="preserve">. This behaviour is commonly known as the dark reaction. </w:t>
      </w:r>
      <w:r>
        <w:t xml:space="preserve">The presented PVC dosimeter aims to measure weeks of exposure to solar UV radiation and thereby will experience nocturnal periods </w:t>
      </w:r>
      <w:r>
        <w:rPr>
          <w:rFonts w:asciiTheme="majorHAnsi" w:hAnsiTheme="majorHAnsi" w:cstheme="majorHAnsi"/>
        </w:rPr>
        <w:t>during the measurements</w:t>
      </w:r>
      <w:r w:rsidRPr="009A094E">
        <w:rPr>
          <w:rFonts w:asciiTheme="majorHAnsi" w:hAnsiTheme="majorHAnsi" w:cstheme="majorHAnsi"/>
        </w:rPr>
        <w:t xml:space="preserve">. </w:t>
      </w:r>
      <w:r>
        <w:rPr>
          <w:rFonts w:asciiTheme="majorHAnsi" w:hAnsiTheme="majorHAnsi" w:cstheme="majorHAnsi"/>
        </w:rPr>
        <w:t>In addition</w:t>
      </w:r>
      <w:r w:rsidRPr="009A094E">
        <w:rPr>
          <w:rFonts w:asciiTheme="majorHAnsi" w:hAnsiTheme="majorHAnsi" w:cstheme="majorHAnsi"/>
        </w:rPr>
        <w:t xml:space="preserve">, the </w:t>
      </w:r>
      <w:r>
        <w:rPr>
          <w:rFonts w:asciiTheme="majorHAnsi" w:hAnsiTheme="majorHAnsi" w:cstheme="majorHAnsi"/>
        </w:rPr>
        <w:t>readout process</w:t>
      </w:r>
      <w:r w:rsidRPr="009A094E">
        <w:rPr>
          <w:rFonts w:asciiTheme="majorHAnsi" w:hAnsiTheme="majorHAnsi" w:cstheme="majorHAnsi"/>
        </w:rPr>
        <w:t xml:space="preserve"> </w:t>
      </w:r>
      <w:r>
        <w:rPr>
          <w:rFonts w:asciiTheme="majorHAnsi" w:hAnsiTheme="majorHAnsi" w:cstheme="majorHAnsi"/>
        </w:rPr>
        <w:t>is</w:t>
      </w:r>
      <w:r w:rsidRPr="009A094E">
        <w:rPr>
          <w:rFonts w:asciiTheme="majorHAnsi" w:hAnsiTheme="majorHAnsi" w:cstheme="majorHAnsi"/>
        </w:rPr>
        <w:t xml:space="preserve"> not always available immediately after exposure</w:t>
      </w:r>
      <w:r>
        <w:rPr>
          <w:rFonts w:asciiTheme="majorHAnsi" w:hAnsiTheme="majorHAnsi" w:cstheme="majorHAnsi"/>
        </w:rPr>
        <w:t xml:space="preserve"> and the dosimeters </w:t>
      </w:r>
      <w:r>
        <w:rPr>
          <w:rFonts w:asciiTheme="majorHAnsi" w:hAnsiTheme="majorHAnsi" w:cstheme="majorHAnsi"/>
        </w:rPr>
        <w:lastRenderedPageBreak/>
        <w:t>may have to be stored for a while</w:t>
      </w:r>
      <w:r w:rsidRPr="009A094E">
        <w:rPr>
          <w:rFonts w:asciiTheme="majorHAnsi" w:hAnsiTheme="majorHAnsi" w:cstheme="majorHAnsi"/>
        </w:rPr>
        <w:t>.</w:t>
      </w:r>
      <w:r>
        <w:rPr>
          <w:rFonts w:asciiTheme="majorHAnsi" w:hAnsiTheme="majorHAnsi" w:cstheme="majorHAnsi"/>
        </w:rPr>
        <w:t xml:space="preserve"> The post exposure behaviour of the PVC dosimeter was investigated by exposing 16 PVC dosimeters to a radiant exposure of 3.5 MJ/m</w:t>
      </w:r>
      <w:r>
        <w:rPr>
          <w:rFonts w:asciiTheme="majorHAnsi" w:hAnsiTheme="majorHAnsi" w:cstheme="majorHAnsi"/>
          <w:vertAlign w:val="superscript"/>
        </w:rPr>
        <w:t xml:space="preserve">2 </w:t>
      </w:r>
      <w:r>
        <w:rPr>
          <w:rFonts w:asciiTheme="majorHAnsi" w:hAnsiTheme="majorHAnsi" w:cstheme="majorHAnsi"/>
        </w:rPr>
        <w:t>supplied by the fluorescent lamp. After measuring the UV-induced absorbance change, the dosimeters were divided into four groups and maintained in a UV free environment at -15 ºC, 0 ºC, 15-20 ºC and 40 ºC respectively. The absorbance change was measured at different times during the storage and plotted against time for each temperature.</w:t>
      </w:r>
    </w:p>
    <w:p w:rsidR="00FB7C64" w:rsidRDefault="00FB7C64" w:rsidP="00FB7C64">
      <w:pPr>
        <w:pStyle w:val="Heading2"/>
        <w:spacing w:line="480" w:lineRule="auto"/>
      </w:pPr>
      <w:r>
        <w:t xml:space="preserve">      2.10 Field trial</w:t>
      </w:r>
    </w:p>
    <w:p w:rsidR="00B820DB" w:rsidRPr="00B37154" w:rsidRDefault="00B820DB" w:rsidP="00FB7C64">
      <w:pPr>
        <w:autoSpaceDE w:val="0"/>
        <w:autoSpaceDN w:val="0"/>
        <w:adjustRightInd w:val="0"/>
        <w:spacing w:line="480" w:lineRule="auto"/>
        <w:jc w:val="both"/>
        <w:rPr>
          <w:rFonts w:ascii="AdvTimes" w:hAnsi="AdvTimes" w:cs="AdvTimes"/>
          <w:color w:val="FF0000"/>
          <w:sz w:val="20"/>
          <w:szCs w:val="20"/>
          <w:lang w:val="en-AU" w:bidi="ar-SA"/>
        </w:rPr>
      </w:pPr>
      <w:r>
        <w:t>An outdoor test was carried out to evaluate the use of the PVC dosimeter in measuring personal exposure in a field trial to solar UV during long periods. The results were compared with those concurrently measured by a series of PPO dosimeters. PVC and PPO dosimeters were employed for monitoring the exposure received by five anatomical sites using four upper-body manikins rotating at a speed of one revolution per minute.  Dosimeters of both types were attached to the following sites: vertex, nose, shoulder, chin and neck. The exposures were carried out for 12 consecutive days during summer 2013 at a private property near the University of Southern Queensland</w:t>
      </w:r>
      <w:r w:rsidRPr="00CA789C">
        <w:rPr>
          <w:rFonts w:ascii="Times New Roman" w:hAnsi="Times New Roman"/>
        </w:rPr>
        <w:t xml:space="preserve">. The site of the exposures was </w:t>
      </w:r>
      <w:r>
        <w:rPr>
          <w:rFonts w:ascii="Times New Roman" w:hAnsi="Times New Roman"/>
        </w:rPr>
        <w:t xml:space="preserve">an </w:t>
      </w:r>
      <w:proofErr w:type="spellStart"/>
      <w:r>
        <w:rPr>
          <w:rFonts w:ascii="Times New Roman" w:hAnsi="Times New Roman"/>
        </w:rPr>
        <w:t>unshaded</w:t>
      </w:r>
      <w:proofErr w:type="spellEnd"/>
      <w:r>
        <w:rPr>
          <w:rFonts w:ascii="Times New Roman" w:hAnsi="Times New Roman"/>
        </w:rPr>
        <w:t xml:space="preserve"> lawn </w:t>
      </w:r>
      <w:r w:rsidRPr="00CA789C">
        <w:rPr>
          <w:rFonts w:ascii="Times New Roman" w:hAnsi="Times New Roman"/>
        </w:rPr>
        <w:t>surrounded by</w:t>
      </w:r>
      <w:r>
        <w:rPr>
          <w:rFonts w:ascii="Times New Roman" w:hAnsi="Times New Roman"/>
        </w:rPr>
        <w:t xml:space="preserve"> a house and fence,</w:t>
      </w:r>
      <w:r w:rsidRPr="00CA789C">
        <w:rPr>
          <w:rFonts w:ascii="Times New Roman" w:hAnsi="Times New Roman"/>
        </w:rPr>
        <w:t xml:space="preserve"> with</w:t>
      </w:r>
      <w:r>
        <w:rPr>
          <w:rFonts w:ascii="Times New Roman" w:hAnsi="Times New Roman"/>
        </w:rPr>
        <w:t xml:space="preserve"> partial</w:t>
      </w:r>
      <w:r w:rsidRPr="00CA789C">
        <w:rPr>
          <w:rFonts w:ascii="Times New Roman" w:hAnsi="Times New Roman"/>
        </w:rPr>
        <w:t xml:space="preserve"> shading </w:t>
      </w:r>
      <w:r>
        <w:rPr>
          <w:rFonts w:ascii="Times New Roman" w:hAnsi="Times New Roman"/>
        </w:rPr>
        <w:t>before 8:00 and after 18:00</w:t>
      </w:r>
      <w:r w:rsidRPr="00CA789C">
        <w:rPr>
          <w:rFonts w:ascii="Times New Roman" w:hAnsi="Times New Roman"/>
        </w:rPr>
        <w:t xml:space="preserve"> EST.</w:t>
      </w:r>
      <w:r>
        <w:t xml:space="preserve"> The dose response curves were determined at the same time by exposing a number of PVC and PPO dosimeters on a horizontal </w:t>
      </w:r>
      <w:proofErr w:type="spellStart"/>
      <w:r>
        <w:t>unshaded</w:t>
      </w:r>
      <w:proofErr w:type="spellEnd"/>
      <w:r>
        <w:t xml:space="preserve"> plane near the </w:t>
      </w:r>
      <w:proofErr w:type="spellStart"/>
      <w:r>
        <w:t>erythemally</w:t>
      </w:r>
      <w:proofErr w:type="spellEnd"/>
      <w:r>
        <w:t xml:space="preserve"> weighted UV meter and recording the UV-induced response as a function of the UV exposure. The UV-induced response of the PPO dosimeter was quantified by the change in the absorbance at 320 nm </w:t>
      </w:r>
      <w:r>
        <w:rPr>
          <w:noProof/>
        </w:rPr>
        <w:t>[5]</w:t>
      </w:r>
      <w:r>
        <w:t xml:space="preserve"> </w:t>
      </w:r>
      <w:r w:rsidRPr="00DB5612">
        <w:rPr>
          <w:rFonts w:ascii="Times New Roman" w:hAnsi="Times New Roman"/>
          <w:color w:val="000000" w:themeColor="text1"/>
          <w:lang w:val="en-AU"/>
        </w:rPr>
        <w:t>measured using a spectrophotometer (model UV-1601, Shimadzu Co., Kyoto, Japan)</w:t>
      </w:r>
      <w:r>
        <w:t xml:space="preserve">. Due to the fact that PPO dosimeters are saturated after about five days of exposure to solar UV radiation </w:t>
      </w:r>
      <w:r>
        <w:rPr>
          <w:noProof/>
        </w:rPr>
        <w:t>[5]</w:t>
      </w:r>
      <w:r>
        <w:t xml:space="preserve">, the measuring and calibrating PPO dosimeters were replaced after each four days of exposure. At the end of the exposures, the anatomical exposure measured by one set </w:t>
      </w:r>
      <w:r>
        <w:lastRenderedPageBreak/>
        <w:t xml:space="preserve">of PVC dosimeters (10 dosimeters) was compared with that measured using three sets of PPO dosimeters (30 dosimeters).          </w:t>
      </w:r>
    </w:p>
    <w:p w:rsidR="00B820DB" w:rsidRPr="00F97828" w:rsidRDefault="00B820DB" w:rsidP="00FB7C64">
      <w:pPr>
        <w:pStyle w:val="Heading1"/>
        <w:numPr>
          <w:ilvl w:val="0"/>
          <w:numId w:val="1"/>
        </w:numPr>
        <w:suppressLineNumbers/>
        <w:spacing w:line="360" w:lineRule="auto"/>
        <w:jc w:val="both"/>
      </w:pPr>
      <w:r w:rsidRPr="005813C4">
        <w:t>Results</w:t>
      </w:r>
    </w:p>
    <w:p w:rsidR="00B820DB" w:rsidRPr="00F97828" w:rsidRDefault="00B820DB" w:rsidP="00FB7C64">
      <w:pPr>
        <w:pStyle w:val="Heading2"/>
        <w:numPr>
          <w:ilvl w:val="1"/>
          <w:numId w:val="1"/>
        </w:numPr>
        <w:spacing w:line="480" w:lineRule="auto"/>
        <w:jc w:val="both"/>
      </w:pPr>
      <w:r>
        <w:t>Drying time determination</w:t>
      </w:r>
    </w:p>
    <w:p w:rsidR="00B820DB" w:rsidRDefault="00B820DB" w:rsidP="00FB7C64">
      <w:pPr>
        <w:spacing w:line="480" w:lineRule="auto"/>
        <w:jc w:val="both"/>
        <w:rPr>
          <w:lang w:val="en-AU"/>
        </w:rPr>
      </w:pPr>
      <w:r>
        <w:rPr>
          <w:lang w:val="en-AU"/>
        </w:rPr>
        <w:t xml:space="preserve">Figure 1 shows the absorbance of the PVC dosimeters dried at 50 </w:t>
      </w:r>
      <w:r>
        <w:rPr>
          <w:rFonts w:ascii="Calibri" w:hAnsi="Calibri"/>
          <w:lang w:val="en-AU"/>
        </w:rPr>
        <w:t>°</w:t>
      </w:r>
      <w:r>
        <w:rPr>
          <w:lang w:val="en-AU"/>
        </w:rPr>
        <w:t xml:space="preserve">C as a function of the drying time. The error bars represent the standard error of the measured absorbance. There was a gradual absorbance reduction with a decreasing rate of change. Although the absorbance curve has not eventually levelled as expected </w:t>
      </w:r>
      <w:r>
        <w:rPr>
          <w:noProof/>
          <w:lang w:val="en-AU"/>
        </w:rPr>
        <w:t>[34]</w:t>
      </w:r>
      <w:r>
        <w:rPr>
          <w:lang w:val="en-AU"/>
        </w:rPr>
        <w:t xml:space="preserve">, the rate of absorbance decrease reached its minimum after about 3 weeks of drying. The absorbance dropped to 50% of its initial value after four weeks of drying. The difference between the absorbance change of PVC dosimeters exposed </w:t>
      </w:r>
      <w:proofErr w:type="gramStart"/>
      <w:r>
        <w:rPr>
          <w:lang w:val="en-AU"/>
        </w:rPr>
        <w:t>to 200 kJ/m</w:t>
      </w:r>
      <w:r>
        <w:rPr>
          <w:vertAlign w:val="superscript"/>
          <w:lang w:val="en-AU"/>
        </w:rPr>
        <w:t>2</w:t>
      </w:r>
      <w:r>
        <w:rPr>
          <w:lang w:val="en-AU"/>
        </w:rPr>
        <w:t xml:space="preserve"> at 25 </w:t>
      </w:r>
      <w:r>
        <w:rPr>
          <w:rFonts w:cstheme="minorHAnsi"/>
          <w:lang w:val="en-AU"/>
        </w:rPr>
        <w:t>º</w:t>
      </w:r>
      <w:r>
        <w:rPr>
          <w:lang w:val="en-AU"/>
        </w:rPr>
        <w:t>C</w:t>
      </w:r>
      <w:proofErr w:type="gramEnd"/>
      <w:r>
        <w:rPr>
          <w:lang w:val="en-AU"/>
        </w:rPr>
        <w:t xml:space="preserve"> and 45 </w:t>
      </w:r>
      <w:r>
        <w:rPr>
          <w:rFonts w:cstheme="minorHAnsi"/>
          <w:lang w:val="en-AU"/>
        </w:rPr>
        <w:t>º</w:t>
      </w:r>
      <w:r>
        <w:rPr>
          <w:lang w:val="en-AU"/>
        </w:rPr>
        <w:t xml:space="preserve">C decreased with the increase of drying time (Figure 2). The error bars represent the standard error of the normalised absorbance change as calculated by the error propagation formulae. The absorbance change of the undried dosimeters exposed at 45 </w:t>
      </w:r>
      <w:r>
        <w:rPr>
          <w:rFonts w:cstheme="minorHAnsi"/>
          <w:lang w:val="en-AU"/>
        </w:rPr>
        <w:t>º</w:t>
      </w:r>
      <w:r>
        <w:rPr>
          <w:lang w:val="en-AU"/>
        </w:rPr>
        <w:t xml:space="preserve">C was about 30% higher than those exposed at 25 </w:t>
      </w:r>
      <w:r>
        <w:rPr>
          <w:rFonts w:cstheme="minorHAnsi"/>
          <w:lang w:val="en-AU"/>
        </w:rPr>
        <w:t>º</w:t>
      </w:r>
      <w:r>
        <w:rPr>
          <w:lang w:val="en-AU"/>
        </w:rPr>
        <w:t xml:space="preserve">C. This difference dropped to just about 5% for those dosimeters dried for 25 days, indicating that drying the dosimeters for about 25 days at 50 </w:t>
      </w:r>
      <w:r>
        <w:rPr>
          <w:rFonts w:cstheme="minorHAnsi"/>
          <w:lang w:val="en-AU"/>
        </w:rPr>
        <w:t>º</w:t>
      </w:r>
      <w:r>
        <w:rPr>
          <w:lang w:val="en-AU"/>
        </w:rPr>
        <w:t xml:space="preserve">C will minimise the temperature dependence of the dosimeters.     </w:t>
      </w:r>
    </w:p>
    <w:p w:rsidR="00B820DB" w:rsidRPr="00F97828" w:rsidRDefault="00B820DB" w:rsidP="00FB7C64">
      <w:pPr>
        <w:pStyle w:val="Heading2"/>
        <w:numPr>
          <w:ilvl w:val="1"/>
          <w:numId w:val="1"/>
        </w:numPr>
        <w:spacing w:line="480" w:lineRule="auto"/>
      </w:pPr>
      <w:r>
        <w:rPr>
          <w:lang w:val="en-AU"/>
        </w:rPr>
        <w:t>Reproducibility</w:t>
      </w:r>
    </w:p>
    <w:p w:rsidR="00B820DB" w:rsidRDefault="00B820DB" w:rsidP="00CB1217">
      <w:pPr>
        <w:spacing w:line="480" w:lineRule="auto"/>
        <w:jc w:val="both"/>
        <w:rPr>
          <w:lang w:val="en-AU"/>
        </w:rPr>
      </w:pPr>
      <w:r>
        <w:rPr>
          <w:lang w:val="en-AU"/>
        </w:rPr>
        <w:t>The average deviation from the mean absorbance change of the ten dosimeters was 3-5% for broadband UV exposures up to 2.5 MJ/m</w:t>
      </w:r>
      <w:r>
        <w:rPr>
          <w:vertAlign w:val="superscript"/>
          <w:lang w:val="en-AU"/>
        </w:rPr>
        <w:t>2</w:t>
      </w:r>
      <w:r>
        <w:rPr>
          <w:lang w:val="en-AU"/>
        </w:rPr>
        <w:t xml:space="preserve"> and dropped to </w:t>
      </w:r>
      <w:r>
        <w:rPr>
          <w:rFonts w:cstheme="minorHAnsi"/>
          <w:lang w:val="en-AU"/>
        </w:rPr>
        <w:t>≤</w:t>
      </w:r>
      <w:r>
        <w:rPr>
          <w:lang w:val="en-AU"/>
        </w:rPr>
        <w:t xml:space="preserve"> 2% for higher exposures (Figure 3). The y error bars represent the standard error of the measured absorbance change, </w:t>
      </w:r>
      <w:r w:rsidRPr="00CB1217">
        <w:rPr>
          <w:rFonts w:ascii="Times New Roman" w:hAnsi="Times New Roman"/>
        </w:rPr>
        <w:t xml:space="preserve">they are shorter than the dimensions of the associated </w:t>
      </w:r>
      <w:r w:rsidR="00CB1217" w:rsidRPr="00CB1217">
        <w:rPr>
          <w:rFonts w:ascii="Times New Roman" w:hAnsi="Times New Roman"/>
        </w:rPr>
        <w:t>symbol</w:t>
      </w:r>
      <w:r w:rsidRPr="00CB1217">
        <w:rPr>
          <w:rFonts w:ascii="Times New Roman" w:hAnsi="Times New Roman"/>
        </w:rPr>
        <w:t xml:space="preserve"> and do not appear clearly on the graph</w:t>
      </w:r>
      <w:r>
        <w:rPr>
          <w:rFonts w:ascii="Times New Roman" w:hAnsi="Times New Roman"/>
        </w:rPr>
        <w:t>,</w:t>
      </w:r>
      <w:r>
        <w:rPr>
          <w:lang w:val="en-AU"/>
        </w:rPr>
        <w:t xml:space="preserve"> while the x bars represent 3% variation in the output of the lamp.</w:t>
      </w:r>
      <w:r w:rsidRPr="000649E5">
        <w:rPr>
          <w:rFonts w:ascii="Times New Roman" w:hAnsi="Times New Roman"/>
        </w:rPr>
        <w:t>.</w:t>
      </w:r>
    </w:p>
    <w:p w:rsidR="00B820DB" w:rsidRDefault="00B820DB" w:rsidP="00FB7C64">
      <w:pPr>
        <w:pStyle w:val="Heading2"/>
        <w:numPr>
          <w:ilvl w:val="1"/>
          <w:numId w:val="1"/>
        </w:numPr>
      </w:pPr>
      <w:r>
        <w:lastRenderedPageBreak/>
        <w:t>Temperature independency</w:t>
      </w:r>
    </w:p>
    <w:p w:rsidR="00B820DB" w:rsidRPr="00B37154" w:rsidRDefault="00B820DB" w:rsidP="00FB7C64"/>
    <w:p w:rsidR="00B820DB" w:rsidRPr="00B83C0B" w:rsidRDefault="00B820DB" w:rsidP="00FB7C64">
      <w:pPr>
        <w:spacing w:line="480" w:lineRule="auto"/>
        <w:jc w:val="both"/>
        <w:rPr>
          <w:lang w:val="en-AU"/>
        </w:rPr>
      </w:pPr>
      <w:r>
        <w:rPr>
          <w:lang w:val="en-AU"/>
        </w:rPr>
        <w:t xml:space="preserve">The dosimeters exposed at various temperatures showed no significant difference in their behaviour and the response seems to be independent of temperature. Figure 4 shows the normalised response of PVC dosimeters exposed over the range 5-45 </w:t>
      </w:r>
      <w:r>
        <w:rPr>
          <w:rFonts w:cstheme="minorHAnsi"/>
          <w:lang w:val="en-AU"/>
        </w:rPr>
        <w:t>º</w:t>
      </w:r>
      <w:r>
        <w:rPr>
          <w:lang w:val="en-AU"/>
        </w:rPr>
        <w:t xml:space="preserve">C. The average deviation from the mean response was about 4.5 %. </w:t>
      </w:r>
    </w:p>
    <w:p w:rsidR="00B820DB" w:rsidRPr="00F97828" w:rsidRDefault="00B820DB" w:rsidP="00FB7C64">
      <w:pPr>
        <w:pStyle w:val="Heading2"/>
        <w:numPr>
          <w:ilvl w:val="1"/>
          <w:numId w:val="1"/>
        </w:numPr>
        <w:spacing w:line="480" w:lineRule="auto"/>
        <w:jc w:val="both"/>
        <w:rPr>
          <w:lang w:val="en-AU"/>
        </w:rPr>
      </w:pPr>
      <w:r>
        <w:rPr>
          <w:lang w:val="en-AU"/>
        </w:rPr>
        <w:t>Dose-rate independency</w:t>
      </w:r>
    </w:p>
    <w:p w:rsidR="00B820DB" w:rsidRDefault="00B820DB" w:rsidP="00FB7C64">
      <w:pPr>
        <w:spacing w:line="480" w:lineRule="auto"/>
        <w:jc w:val="both"/>
      </w:pPr>
      <w:r>
        <w:t xml:space="preserve">The response of PVC dosimeters exposed to an equal radiant exposure accumulated from different irradiances with different durations of exposure is given in Figure 5. The average deviation from the mean response was about 6 %. </w:t>
      </w:r>
    </w:p>
    <w:p w:rsidR="00B820DB" w:rsidRPr="00F97828" w:rsidRDefault="00B820DB" w:rsidP="00FB7C64">
      <w:pPr>
        <w:pStyle w:val="Heading2"/>
        <w:numPr>
          <w:ilvl w:val="1"/>
          <w:numId w:val="1"/>
        </w:numPr>
        <w:spacing w:line="480" w:lineRule="auto"/>
        <w:jc w:val="both"/>
        <w:rPr>
          <w:lang w:val="en-AU"/>
        </w:rPr>
      </w:pPr>
      <w:r>
        <w:rPr>
          <w:lang w:val="en-AU"/>
        </w:rPr>
        <w:t>Angular dependence</w:t>
      </w:r>
    </w:p>
    <w:p w:rsidR="00B820DB" w:rsidRDefault="00B820DB" w:rsidP="00FB7C64">
      <w:pPr>
        <w:spacing w:line="480" w:lineRule="auto"/>
        <w:jc w:val="both"/>
        <w:rPr>
          <w:lang w:val="en-AU"/>
        </w:rPr>
      </w:pPr>
      <w:r>
        <w:rPr>
          <w:lang w:val="en-AU"/>
        </w:rPr>
        <w:t>The response of the PVC dosimeter as a function of the angle of incidence of UV radiation is shown in Figure 6 together with the cosine function and the corresponding cosine error. The y error bars represent the standard error of the normalised response as calculated by error propagation formulae while the x error bars represent an estimated constant angular alignment error of 1</w:t>
      </w:r>
      <w:r>
        <w:rPr>
          <w:rFonts w:cstheme="minorHAnsi"/>
          <w:lang w:val="en-AU"/>
        </w:rPr>
        <w:t>º</w:t>
      </w:r>
      <w:r>
        <w:rPr>
          <w:lang w:val="en-AU"/>
        </w:rPr>
        <w:t>. The measured cosine error was less than 6.5% for angles up to 40</w:t>
      </w:r>
      <w:r>
        <w:rPr>
          <w:rFonts w:cstheme="minorHAnsi"/>
          <w:lang w:val="en-AU"/>
        </w:rPr>
        <w:t>º, increasing to 16% at 50º and reaching its maximum of about 40% at higher angles.</w:t>
      </w:r>
    </w:p>
    <w:p w:rsidR="00B820DB" w:rsidRPr="00F97828" w:rsidRDefault="00B820DB" w:rsidP="00FB7C64">
      <w:pPr>
        <w:pStyle w:val="Heading2"/>
        <w:numPr>
          <w:ilvl w:val="1"/>
          <w:numId w:val="1"/>
        </w:numPr>
        <w:spacing w:line="480" w:lineRule="auto"/>
        <w:jc w:val="both"/>
        <w:rPr>
          <w:lang w:val="en-AU"/>
        </w:rPr>
      </w:pPr>
      <w:r>
        <w:rPr>
          <w:lang w:val="en-AU"/>
        </w:rPr>
        <w:t>Backscattering effect</w:t>
      </w:r>
    </w:p>
    <w:p w:rsidR="00B820DB" w:rsidRDefault="00B820DB" w:rsidP="00FB7C64">
      <w:pPr>
        <w:spacing w:line="480" w:lineRule="auto"/>
        <w:jc w:val="both"/>
        <w:rPr>
          <w:lang w:val="en-AU"/>
        </w:rPr>
      </w:pPr>
      <w:r>
        <w:rPr>
          <w:lang w:val="en-AU"/>
        </w:rPr>
        <w:t xml:space="preserve">The response of PVC dosimeters evenly irradiated using different backgrounds is shown in Figure 7. </w:t>
      </w:r>
      <w:r w:rsidRPr="00CB1217">
        <w:rPr>
          <w:lang w:val="en-AU"/>
        </w:rPr>
        <w:t xml:space="preserve">In general, darker backgrounds had less effect on the absorbance. This is in agreement with previous research </w:t>
      </w:r>
      <w:r w:rsidRPr="00CB1217">
        <w:rPr>
          <w:noProof/>
          <w:lang w:val="en-AU"/>
        </w:rPr>
        <w:t>[39, 40]</w:t>
      </w:r>
      <w:r w:rsidRPr="00CB1217">
        <w:rPr>
          <w:lang w:val="en-AU"/>
        </w:rPr>
        <w:t xml:space="preserve"> that reported less UV reflectivity of dark colours than the light ones.</w:t>
      </w:r>
      <w:r>
        <w:rPr>
          <w:lang w:val="en-AU"/>
        </w:rPr>
        <w:t xml:space="preserve"> The maximum response was for the white paper background. Responses for white and purple backgrounds differed by about 30%. In addition,</w:t>
      </w:r>
      <w:r>
        <w:rPr>
          <w:color w:val="FF0000"/>
          <w:lang w:val="en-AU"/>
        </w:rPr>
        <w:t xml:space="preserve"> </w:t>
      </w:r>
      <w:r>
        <w:rPr>
          <w:lang w:val="en-AU"/>
        </w:rPr>
        <w:t xml:space="preserve">a slight effect of the material type is noticed by the 5% discrepancy in the response of dosimeters irradiated with </w:t>
      </w:r>
      <w:r>
        <w:rPr>
          <w:lang w:val="en-AU"/>
        </w:rPr>
        <w:lastRenderedPageBreak/>
        <w:t xml:space="preserve">black polyethylene and black paper. The results indicate that similar materials and colours should be employed for both calibrating dosimeters and measuring dosimeters to avoid any backscattering effect. </w:t>
      </w:r>
    </w:p>
    <w:p w:rsidR="00B820DB" w:rsidRPr="00F97828" w:rsidRDefault="00B820DB" w:rsidP="00FB7C64">
      <w:pPr>
        <w:pStyle w:val="Heading2"/>
        <w:numPr>
          <w:ilvl w:val="1"/>
          <w:numId w:val="1"/>
        </w:numPr>
        <w:spacing w:line="480" w:lineRule="auto"/>
        <w:jc w:val="both"/>
        <w:rPr>
          <w:lang w:val="en-AU"/>
        </w:rPr>
      </w:pPr>
      <w:proofErr w:type="spellStart"/>
      <w:r>
        <w:rPr>
          <w:lang w:val="en-AU"/>
        </w:rPr>
        <w:t>Erythemal</w:t>
      </w:r>
      <w:proofErr w:type="spellEnd"/>
      <w:r>
        <w:rPr>
          <w:lang w:val="en-AU"/>
        </w:rPr>
        <w:t xml:space="preserve"> dose response curves</w:t>
      </w:r>
    </w:p>
    <w:p w:rsidR="00B820DB" w:rsidRDefault="00B820DB" w:rsidP="00FB7C64">
      <w:pPr>
        <w:spacing w:line="480" w:lineRule="auto"/>
        <w:jc w:val="both"/>
        <w:rPr>
          <w:lang w:val="en-AU"/>
        </w:rPr>
      </w:pPr>
      <w:r>
        <w:rPr>
          <w:lang w:val="en-AU"/>
        </w:rPr>
        <w:t xml:space="preserve">Figure 8 shows the </w:t>
      </w:r>
      <w:proofErr w:type="spellStart"/>
      <w:r>
        <w:rPr>
          <w:lang w:val="en-AU"/>
        </w:rPr>
        <w:t>erythemal</w:t>
      </w:r>
      <w:proofErr w:type="spellEnd"/>
      <w:r>
        <w:rPr>
          <w:lang w:val="en-AU"/>
        </w:rPr>
        <w:t xml:space="preserve"> dose response curves of the PVC dosimeter obtained for different seasons. The best fit of the data for all curves is almost similar and very close to linear. Control dosimeters used during summer calibration (when the temperature is the highest) </w:t>
      </w:r>
      <w:r w:rsidRPr="00CB1217">
        <w:rPr>
          <w:lang w:val="en-AU"/>
        </w:rPr>
        <w:t xml:space="preserve">showed an absorbance change of </w:t>
      </w:r>
      <w:r w:rsidRPr="00CB1217">
        <w:rPr>
          <w:rFonts w:cstheme="minorHAnsi"/>
          <w:lang w:val="en-AU"/>
        </w:rPr>
        <w:t>±</w:t>
      </w:r>
      <w:r w:rsidRPr="00CB1217">
        <w:rPr>
          <w:lang w:val="en-AU"/>
        </w:rPr>
        <w:t>1%, except one point when the change was 2%. This change is within the experimental error of the absorbance measurements,</w:t>
      </w:r>
      <w:r>
        <w:rPr>
          <w:color w:val="FF0000"/>
          <w:lang w:val="en-AU"/>
        </w:rPr>
        <w:t xml:space="preserve"> </w:t>
      </w:r>
      <w:r>
        <w:rPr>
          <w:lang w:val="en-AU"/>
        </w:rPr>
        <w:t>indicating that there was no significant effect of ambient temperature on the measured response. The maximum measured cumulative exposure was about 900 SED and obtained during the spring calibration (28 days of exposure) with no signs of saturation or substantial deviation from the general trend of the curve, indicating that the dosimeter is able to measure even higher doses.  The combined data of all seasons is shown in figure 9. The curve could be used as a standard dose response curve for the different seasons.</w:t>
      </w:r>
    </w:p>
    <w:p w:rsidR="00B820DB" w:rsidRPr="00F97828" w:rsidRDefault="00B820DB" w:rsidP="00FB7C64">
      <w:pPr>
        <w:pStyle w:val="Heading2"/>
        <w:numPr>
          <w:ilvl w:val="1"/>
          <w:numId w:val="1"/>
        </w:numPr>
        <w:spacing w:line="480" w:lineRule="auto"/>
        <w:jc w:val="both"/>
      </w:pPr>
      <w:r>
        <w:t>Threshold dose</w:t>
      </w:r>
    </w:p>
    <w:p w:rsidR="00B820DB" w:rsidRDefault="00B820DB" w:rsidP="00FB7C64">
      <w:pPr>
        <w:spacing w:line="480" w:lineRule="auto"/>
        <w:jc w:val="both"/>
        <w:rPr>
          <w:lang w:val="en-AU"/>
        </w:rPr>
      </w:pPr>
      <w:r>
        <w:rPr>
          <w:lang w:val="en-AU"/>
        </w:rPr>
        <w:t xml:space="preserve">A fluctuation in the response is noticed for doses less than 2 SED (Figure 10). After that, the response started to change monotonically. A dose of 3 SED can be considered as the threshold dose of the dosimeter. </w:t>
      </w:r>
    </w:p>
    <w:p w:rsidR="00B820DB" w:rsidRPr="00F97828" w:rsidRDefault="00B820DB" w:rsidP="00FB7C64">
      <w:pPr>
        <w:pStyle w:val="Heading2"/>
        <w:numPr>
          <w:ilvl w:val="1"/>
          <w:numId w:val="1"/>
        </w:numPr>
        <w:spacing w:line="480" w:lineRule="auto"/>
        <w:jc w:val="both"/>
      </w:pPr>
      <w:r>
        <w:t>Dark reaction</w:t>
      </w:r>
    </w:p>
    <w:p w:rsidR="00B820DB" w:rsidRPr="006412C1" w:rsidRDefault="00B820DB" w:rsidP="00FB7C64">
      <w:pPr>
        <w:spacing w:line="480" w:lineRule="auto"/>
        <w:jc w:val="both"/>
      </w:pPr>
      <w:r>
        <w:t xml:space="preserve">Figure 11 illustrates the percentage change in </w:t>
      </w:r>
      <w:r>
        <w:rPr>
          <w:rFonts w:cstheme="minorHAnsi"/>
        </w:rPr>
        <w:t>∆</w:t>
      </w:r>
      <w:r>
        <w:t xml:space="preserve">A% of four PVC batches maintained after exposure at different temperature. The change was within the experimental error </w:t>
      </w:r>
      <w:r>
        <w:rPr>
          <w:rFonts w:cstheme="minorHAnsi"/>
        </w:rPr>
        <w:t>±</w:t>
      </w:r>
      <w:r>
        <w:t xml:space="preserve"> 2% and independent of temperature.</w:t>
      </w:r>
    </w:p>
    <w:p w:rsidR="00B820DB" w:rsidRPr="00F97828" w:rsidRDefault="00FB7C64" w:rsidP="00FB7C64">
      <w:pPr>
        <w:pStyle w:val="Heading2"/>
        <w:spacing w:line="480" w:lineRule="auto"/>
      </w:pPr>
      <w:r>
        <w:lastRenderedPageBreak/>
        <w:t xml:space="preserve">      3.10 Field trial</w:t>
      </w:r>
      <w:r w:rsidR="00B820DB">
        <w:t xml:space="preserve"> </w:t>
      </w:r>
    </w:p>
    <w:p w:rsidR="00B820DB" w:rsidRDefault="00B820DB" w:rsidP="00FB7C64">
      <w:pPr>
        <w:spacing w:line="480" w:lineRule="auto"/>
        <w:jc w:val="both"/>
        <w:rPr>
          <w:rFonts w:ascii="Times New Roman" w:hAnsi="Times New Roman"/>
        </w:rPr>
      </w:pPr>
      <w:r w:rsidRPr="007F2EC1">
        <w:rPr>
          <w:rFonts w:ascii="Times New Roman" w:hAnsi="Times New Roman"/>
        </w:rPr>
        <w:t xml:space="preserve">The </w:t>
      </w:r>
      <w:r>
        <w:rPr>
          <w:rFonts w:ascii="Times New Roman" w:hAnsi="Times New Roman"/>
        </w:rPr>
        <w:t>doses received by</w:t>
      </w:r>
      <w:r w:rsidRPr="007F2EC1">
        <w:rPr>
          <w:rFonts w:ascii="Times New Roman" w:hAnsi="Times New Roman"/>
        </w:rPr>
        <w:t xml:space="preserve"> the </w:t>
      </w:r>
      <w:r>
        <w:rPr>
          <w:rFonts w:ascii="Times New Roman" w:hAnsi="Times New Roman"/>
        </w:rPr>
        <w:t>five</w:t>
      </w:r>
      <w:r w:rsidRPr="007F2EC1">
        <w:rPr>
          <w:rFonts w:ascii="Times New Roman" w:hAnsi="Times New Roman"/>
        </w:rPr>
        <w:t xml:space="preserve"> </w:t>
      </w:r>
      <w:r>
        <w:rPr>
          <w:rFonts w:ascii="Times New Roman" w:hAnsi="Times New Roman"/>
        </w:rPr>
        <w:t>anatomical</w:t>
      </w:r>
      <w:r w:rsidRPr="007F2EC1">
        <w:rPr>
          <w:rFonts w:ascii="Times New Roman" w:hAnsi="Times New Roman"/>
        </w:rPr>
        <w:t xml:space="preserve"> sites</w:t>
      </w:r>
      <w:r>
        <w:rPr>
          <w:rFonts w:ascii="Times New Roman" w:hAnsi="Times New Roman"/>
        </w:rPr>
        <w:t xml:space="preserve"> during the study period as</w:t>
      </w:r>
      <w:r w:rsidRPr="007F2EC1">
        <w:rPr>
          <w:rFonts w:ascii="Times New Roman" w:hAnsi="Times New Roman"/>
        </w:rPr>
        <w:t xml:space="preserve"> measured</w:t>
      </w:r>
      <w:r>
        <w:rPr>
          <w:rFonts w:ascii="Times New Roman" w:hAnsi="Times New Roman"/>
        </w:rPr>
        <w:t xml:space="preserve"> </w:t>
      </w:r>
      <w:r w:rsidRPr="007F2EC1">
        <w:rPr>
          <w:rFonts w:ascii="Times New Roman" w:hAnsi="Times New Roman"/>
        </w:rPr>
        <w:t xml:space="preserve">using the </w:t>
      </w:r>
      <w:r>
        <w:rPr>
          <w:rFonts w:ascii="Times New Roman" w:hAnsi="Times New Roman"/>
        </w:rPr>
        <w:t>PVC and PPO</w:t>
      </w:r>
      <w:r w:rsidRPr="007F2EC1">
        <w:rPr>
          <w:rFonts w:ascii="Times New Roman" w:hAnsi="Times New Roman"/>
        </w:rPr>
        <w:t xml:space="preserve"> dosimeters are shown</w:t>
      </w:r>
      <w:r>
        <w:rPr>
          <w:rFonts w:ascii="Times New Roman" w:hAnsi="Times New Roman"/>
        </w:rPr>
        <w:t xml:space="preserve"> in</w:t>
      </w:r>
      <w:r w:rsidRPr="007F2EC1">
        <w:rPr>
          <w:rFonts w:ascii="Times New Roman" w:hAnsi="Times New Roman"/>
        </w:rPr>
        <w:t xml:space="preserve"> </w:t>
      </w:r>
      <w:r>
        <w:rPr>
          <w:rFonts w:ascii="Times New Roman" w:hAnsi="Times New Roman"/>
        </w:rPr>
        <w:t>Figure 12.</w:t>
      </w:r>
      <w:r w:rsidRPr="007F2EC1">
        <w:rPr>
          <w:rFonts w:ascii="Times New Roman" w:hAnsi="Times New Roman"/>
        </w:rPr>
        <w:t xml:space="preserve"> </w:t>
      </w:r>
      <w:r>
        <w:rPr>
          <w:rFonts w:ascii="Times New Roman" w:hAnsi="Times New Roman"/>
        </w:rPr>
        <w:t xml:space="preserve">The agreement between the results was best for the vertex, nose and shoulder. Although there was a slight discrepancy between the two dosimeters for doses measured at the chin and back of the neck, measurements obtained by the PVC dosimeter agree with the generalization of earlier studies where the shoulders generally receive two-thirds of the dose relative to the vertex while vertical sites of the body receive roughly half of the vertex dose </w:t>
      </w:r>
      <w:r>
        <w:rPr>
          <w:rFonts w:ascii="Times New Roman" w:hAnsi="Times New Roman"/>
          <w:noProof/>
        </w:rPr>
        <w:t>[29, 41-43]</w:t>
      </w:r>
      <w:r>
        <w:rPr>
          <w:rFonts w:ascii="Times New Roman" w:hAnsi="Times New Roman"/>
        </w:rPr>
        <w:t xml:space="preserve">   </w:t>
      </w:r>
      <w:r w:rsidRPr="007F2EC1">
        <w:rPr>
          <w:rFonts w:ascii="Times New Roman" w:hAnsi="Times New Roman"/>
        </w:rPr>
        <w:t xml:space="preserve"> </w:t>
      </w:r>
    </w:p>
    <w:p w:rsidR="00B820DB" w:rsidRDefault="00B820DB" w:rsidP="00FB7C64">
      <w:pPr>
        <w:pStyle w:val="Heading1"/>
        <w:numPr>
          <w:ilvl w:val="0"/>
          <w:numId w:val="1"/>
        </w:numPr>
        <w:spacing w:line="480" w:lineRule="auto"/>
        <w:jc w:val="both"/>
      </w:pPr>
      <w:r>
        <w:t xml:space="preserve">Discussion and conclusion </w:t>
      </w:r>
    </w:p>
    <w:p w:rsidR="00B820DB" w:rsidRPr="00CB1217" w:rsidRDefault="00B820DB" w:rsidP="00FB7C64">
      <w:pPr>
        <w:spacing w:line="480" w:lineRule="auto"/>
        <w:jc w:val="both"/>
        <w:rPr>
          <w:rFonts w:ascii="Times New Roman" w:hAnsi="Times New Roman"/>
        </w:rPr>
      </w:pPr>
      <w:r w:rsidRPr="00CB1217">
        <w:t xml:space="preserve">The results presented in this research demonstrate that the PVC film dosimeter fulfils, in general, the criteria required for a reliable UV dosimeter.  The 16 </w:t>
      </w:r>
      <w:r w:rsidRPr="00CB1217">
        <w:rPr>
          <w:rFonts w:cstheme="minorHAnsi"/>
        </w:rPr>
        <w:t>µ</w:t>
      </w:r>
      <w:r w:rsidRPr="00CB1217">
        <w:t xml:space="preserve">m PVC films prepared from 10% PVC/THF solution and dried in air at 50 </w:t>
      </w:r>
      <w:r w:rsidRPr="00CB1217">
        <w:rPr>
          <w:rFonts w:cstheme="minorHAnsi"/>
        </w:rPr>
        <w:t>º</w:t>
      </w:r>
      <w:r w:rsidRPr="00CB1217">
        <w:t>C for 28 days showed a</w:t>
      </w:r>
      <w:r w:rsidRPr="00CB1217">
        <w:rPr>
          <w:rFonts w:ascii="Times New Roman" w:hAnsi="Times New Roman"/>
        </w:rPr>
        <w:t xml:space="preserve"> high reproducibility in their response to UV exposure. The response was within 2.5% of its mean, with a maximum deviation of 5% for exposures less than </w:t>
      </w:r>
      <w:r w:rsidRPr="00CB1217">
        <w:rPr>
          <w:lang w:val="en-AU"/>
        </w:rPr>
        <w:t>2.5 MJ/m</w:t>
      </w:r>
      <w:r w:rsidRPr="00CB1217">
        <w:rPr>
          <w:vertAlign w:val="superscript"/>
          <w:lang w:val="en-AU"/>
        </w:rPr>
        <w:t xml:space="preserve">2 </w:t>
      </w:r>
      <w:r w:rsidRPr="00CB1217">
        <w:rPr>
          <w:lang w:val="en-AU"/>
        </w:rPr>
        <w:t>(Figure 3)</w:t>
      </w:r>
      <w:r w:rsidRPr="00CB1217">
        <w:rPr>
          <w:rFonts w:ascii="Times New Roman" w:hAnsi="Times New Roman"/>
        </w:rPr>
        <w:t xml:space="preserve">. In addition, there was </w:t>
      </w:r>
      <w:r w:rsidRPr="00CB1217">
        <w:t>no significant dependence of the dose response on exposure temperature over the range 5</w:t>
      </w:r>
      <w:r w:rsidRPr="00CB1217">
        <w:rPr>
          <w:rFonts w:cstheme="minorHAnsi"/>
        </w:rPr>
        <w:t>-</w:t>
      </w:r>
      <w:r w:rsidRPr="00CB1217">
        <w:t xml:space="preserve">45 </w:t>
      </w:r>
      <w:r w:rsidRPr="00CB1217">
        <w:rPr>
          <w:rFonts w:cstheme="minorHAnsi"/>
        </w:rPr>
        <w:t>º</w:t>
      </w:r>
      <w:r w:rsidRPr="00CB1217">
        <w:t xml:space="preserve">C </w:t>
      </w:r>
      <w:r w:rsidRPr="00CB1217">
        <w:rPr>
          <w:lang w:val="en-AU"/>
        </w:rPr>
        <w:t>(Figure 4)</w:t>
      </w:r>
      <w:r w:rsidRPr="00CB1217">
        <w:t>. The average deviation from the mean response was 4.5 %, which is</w:t>
      </w:r>
      <w:r w:rsidRPr="00CB1217">
        <w:rPr>
          <w:lang w:val="en-AU"/>
        </w:rPr>
        <w:t xml:space="preserve"> an acceptable value considering the 3% variation in the lamp output, 5% reproducibility and an uncertainty of about 1.5% for the absorbance measurements. </w:t>
      </w:r>
      <w:r w:rsidRPr="00CB1217">
        <w:t>Likewise, no clear relationship was found between the dose response and dose rate for the tested irradiances (</w:t>
      </w:r>
      <w:r w:rsidRPr="00CB1217">
        <w:rPr>
          <w:rFonts w:ascii="Times New Roman" w:hAnsi="Times New Roman"/>
        </w:rPr>
        <w:t>3 W/m</w:t>
      </w:r>
      <w:r w:rsidRPr="00CB1217">
        <w:rPr>
          <w:rFonts w:ascii="Times New Roman" w:hAnsi="Times New Roman"/>
          <w:vertAlign w:val="superscript"/>
        </w:rPr>
        <w:t>2</w:t>
      </w:r>
      <w:r w:rsidRPr="00CB1217">
        <w:rPr>
          <w:rFonts w:ascii="Times New Roman" w:hAnsi="Times New Roman"/>
        </w:rPr>
        <w:t xml:space="preserve"> - 13 W/m</w:t>
      </w:r>
      <w:r w:rsidRPr="00CB1217">
        <w:rPr>
          <w:rFonts w:ascii="Times New Roman" w:hAnsi="Times New Roman"/>
          <w:vertAlign w:val="superscript"/>
        </w:rPr>
        <w:t>2</w:t>
      </w:r>
      <w:r w:rsidRPr="00CB1217">
        <w:rPr>
          <w:rFonts w:ascii="Times New Roman" w:hAnsi="Times New Roman"/>
        </w:rPr>
        <w:t xml:space="preserve">) </w:t>
      </w:r>
      <w:r w:rsidRPr="00CB1217">
        <w:rPr>
          <w:lang w:val="en-AU"/>
        </w:rPr>
        <w:t>(Figure 5)</w:t>
      </w:r>
      <w:r w:rsidRPr="00CB1217">
        <w:rPr>
          <w:rFonts w:ascii="Times New Roman" w:hAnsi="Times New Roman"/>
        </w:rPr>
        <w:t xml:space="preserve">. The response over this range of irradiances deviated within an average of 6% from the mean. Additionally, the general shape of the angular response of the PVC film was similar to the cosine function </w:t>
      </w:r>
      <w:r w:rsidRPr="00CB1217">
        <w:rPr>
          <w:lang w:val="en-AU"/>
        </w:rPr>
        <w:t>(Figure 6)</w:t>
      </w:r>
      <w:r w:rsidRPr="00CB1217">
        <w:rPr>
          <w:rFonts w:ascii="Times New Roman" w:hAnsi="Times New Roman"/>
        </w:rPr>
        <w:t xml:space="preserve">. The difference between the curves was less than 6.5% for angles up to 40º, but it reached 40% for angles ≥70º. Furthermore, the dark reaction induced response was negligible and independent of temperature </w:t>
      </w:r>
      <w:r w:rsidRPr="00CB1217">
        <w:rPr>
          <w:lang w:val="en-AU"/>
        </w:rPr>
        <w:t>(Figure 11)</w:t>
      </w:r>
      <w:r w:rsidRPr="00CB1217">
        <w:rPr>
          <w:rFonts w:ascii="Times New Roman" w:hAnsi="Times New Roman"/>
        </w:rPr>
        <w:t xml:space="preserve">. </w:t>
      </w:r>
      <w:r w:rsidRPr="00CB1217">
        <w:rPr>
          <w:rFonts w:ascii="Times New Roman" w:hAnsi="Times New Roman"/>
        </w:rPr>
        <w:lastRenderedPageBreak/>
        <w:t xml:space="preserve">The study of the dosimeter’s sensitivity to small doses showed that an </w:t>
      </w:r>
      <w:proofErr w:type="spellStart"/>
      <w:r w:rsidRPr="00CB1217">
        <w:rPr>
          <w:rFonts w:ascii="Times New Roman" w:hAnsi="Times New Roman"/>
        </w:rPr>
        <w:t>erythemal</w:t>
      </w:r>
      <w:proofErr w:type="spellEnd"/>
      <w:r w:rsidRPr="00CB1217">
        <w:rPr>
          <w:rFonts w:ascii="Times New Roman" w:hAnsi="Times New Roman"/>
        </w:rPr>
        <w:t xml:space="preserve"> dose of 3 SED seems to be the threshold dose of the dosimeter </w:t>
      </w:r>
      <w:r w:rsidRPr="00CB1217">
        <w:rPr>
          <w:lang w:val="en-AU"/>
        </w:rPr>
        <w:t>(Figure 10)</w:t>
      </w:r>
      <w:r w:rsidRPr="00CB1217">
        <w:rPr>
          <w:rFonts w:ascii="Times New Roman" w:hAnsi="Times New Roman"/>
        </w:rPr>
        <w:t xml:space="preserve">. However, high threshold dose is not necessarily a disadvantage, as the dosimeter is proposed for long term exposures. Additionally, the results demonstrated the necessity of using the same background material for both calibrating and measuring dosimeters to eliminate any response due to the backscattering radiation </w:t>
      </w:r>
      <w:r w:rsidRPr="00CB1217">
        <w:rPr>
          <w:lang w:val="en-AU"/>
        </w:rPr>
        <w:t>(Figure 7)</w:t>
      </w:r>
      <w:r w:rsidRPr="00CB1217">
        <w:rPr>
          <w:rFonts w:ascii="Times New Roman" w:hAnsi="Times New Roman"/>
        </w:rPr>
        <w:t xml:space="preserve">. Finally, the </w:t>
      </w:r>
      <w:proofErr w:type="spellStart"/>
      <w:r w:rsidRPr="00CB1217">
        <w:rPr>
          <w:rFonts w:ascii="Times New Roman" w:hAnsi="Times New Roman"/>
        </w:rPr>
        <w:t>dosimetric</w:t>
      </w:r>
      <w:proofErr w:type="spellEnd"/>
      <w:r w:rsidRPr="00CB1217">
        <w:rPr>
          <w:rFonts w:ascii="Times New Roman" w:hAnsi="Times New Roman"/>
        </w:rPr>
        <w:t xml:space="preserve"> characteristics of the PVC dosimeter are comparable with those of PPO and PS dosimeters (Table 1) with a far higher dose capacity for the PVC dosimeter.</w:t>
      </w:r>
    </w:p>
    <w:p w:rsidR="00B820DB" w:rsidRPr="00CB1217" w:rsidRDefault="00B820DB" w:rsidP="00FB7C64">
      <w:pPr>
        <w:spacing w:line="480" w:lineRule="auto"/>
        <w:jc w:val="both"/>
        <w:rPr>
          <w:rFonts w:ascii="Times New Roman" w:hAnsi="Times New Roman"/>
        </w:rPr>
      </w:pPr>
      <w:r w:rsidRPr="00CB1217">
        <w:rPr>
          <w:rFonts w:ascii="Times New Roman" w:hAnsi="Times New Roman"/>
        </w:rPr>
        <w:t xml:space="preserve">The establishment of the PVC dose response curves underlined not only the high dose capacity of the dosimeter, but also the suitability of the dosimeter to be used in a range of environmental conditions. </w:t>
      </w:r>
      <w:r w:rsidRPr="00CB1217">
        <w:t>The dose response curves indicate that the PVC dosimeter can measure more than 900 SED of exposure. This is equivalent to about three weeks of continuous exposure during summer at subtropical sites.</w:t>
      </w:r>
      <w:r w:rsidRPr="00CB1217">
        <w:rPr>
          <w:rFonts w:ascii="Times New Roman" w:hAnsi="Times New Roman"/>
        </w:rPr>
        <w:t xml:space="preserve"> </w:t>
      </w:r>
    </w:p>
    <w:p w:rsidR="00B820DB" w:rsidRPr="00CB1217" w:rsidRDefault="00B820DB" w:rsidP="00FB7C64">
      <w:pPr>
        <w:spacing w:line="480" w:lineRule="auto"/>
        <w:jc w:val="both"/>
        <w:rPr>
          <w:rFonts w:ascii="Times New Roman" w:hAnsi="Times New Roman"/>
        </w:rPr>
      </w:pPr>
      <w:r w:rsidRPr="00CB1217">
        <w:t xml:space="preserve">The anatomical exposure measurements obtained by the PVC dosimeter over 12 consecutive days agreed well with the results reported in earlier similar studies, supporting the positive </w:t>
      </w:r>
      <w:r w:rsidRPr="00CB1217">
        <w:rPr>
          <w:rFonts w:ascii="Times New Roman" w:hAnsi="Times New Roman"/>
        </w:rPr>
        <w:t xml:space="preserve">overall evaluation of the PVC dosimeter. </w:t>
      </w:r>
    </w:p>
    <w:p w:rsidR="00B820DB" w:rsidRDefault="00B820DB" w:rsidP="00FB7C64">
      <w:pPr>
        <w:spacing w:line="480" w:lineRule="auto"/>
        <w:jc w:val="both"/>
      </w:pPr>
    </w:p>
    <w:p w:rsidR="00B820DB" w:rsidRDefault="00B820DB" w:rsidP="00FB7C64"/>
    <w:p w:rsidR="00FB7C64" w:rsidRDefault="00FB7C64" w:rsidP="00FB7C64"/>
    <w:p w:rsidR="00FB7C64" w:rsidRDefault="00FB7C64" w:rsidP="00FB7C64"/>
    <w:p w:rsidR="00FB7C64" w:rsidRDefault="00FB7C64" w:rsidP="00FB7C64"/>
    <w:p w:rsidR="00FB7C64" w:rsidRDefault="00FB7C64" w:rsidP="00FB7C64"/>
    <w:p w:rsidR="00FB7C64" w:rsidRDefault="00FB7C64" w:rsidP="00FB7C64"/>
    <w:p w:rsidR="00FB7C64" w:rsidRDefault="00FB7C64" w:rsidP="00FB7C64"/>
    <w:p w:rsidR="00FB7C64" w:rsidRDefault="00FB7C64" w:rsidP="00FB7C64"/>
    <w:p w:rsidR="00FB7C64" w:rsidRDefault="00FB7C64" w:rsidP="00FB7C64"/>
    <w:p w:rsidR="00FB7C64" w:rsidRDefault="00FB7C64" w:rsidP="00FB7C64"/>
    <w:p w:rsidR="00FB7C64" w:rsidRDefault="00FB7C64" w:rsidP="00FB7C64"/>
    <w:p w:rsidR="00FB7C64" w:rsidRDefault="00FB7C64" w:rsidP="00FB7C64"/>
    <w:p w:rsidR="00FB7C64" w:rsidRPr="00FB7C64" w:rsidRDefault="00FB7C64" w:rsidP="00FB7C64">
      <w:pPr>
        <w:pStyle w:val="Heading1"/>
        <w:numPr>
          <w:ilvl w:val="0"/>
          <w:numId w:val="1"/>
        </w:numPr>
        <w:spacing w:line="480" w:lineRule="auto"/>
        <w:jc w:val="both"/>
        <w:rPr>
          <w:lang w:val="en-AU"/>
        </w:rPr>
      </w:pPr>
      <w:r>
        <w:rPr>
          <w:lang w:val="en-AU"/>
        </w:rPr>
        <w:lastRenderedPageBreak/>
        <w:t>References</w:t>
      </w:r>
    </w:p>
    <w:p w:rsidR="00FB7C64" w:rsidRPr="002422A8" w:rsidRDefault="00FB7C64" w:rsidP="00FB7C64">
      <w:pPr>
        <w:pStyle w:val="ListParagraph"/>
        <w:numPr>
          <w:ilvl w:val="0"/>
          <w:numId w:val="5"/>
        </w:numPr>
        <w:spacing w:line="480" w:lineRule="auto"/>
        <w:ind w:left="567" w:hanging="567"/>
        <w:jc w:val="both"/>
      </w:pPr>
      <w:r w:rsidRPr="0024117C">
        <w:rPr>
          <w:rFonts w:ascii="Times New Roman" w:hAnsi="Times New Roman"/>
          <w:noProof/>
        </w:rPr>
        <w:t xml:space="preserve">Kimlin, M.G. (2003) Techniques for assessing human UV exposures. In </w:t>
      </w:r>
      <w:r w:rsidRPr="0024117C">
        <w:rPr>
          <w:rFonts w:ascii="Times New Roman" w:hAnsi="Times New Roman"/>
          <w:i/>
          <w:noProof/>
        </w:rPr>
        <w:t>Ultraviolet Ground- and Space-based Measurements, Models, and Effects III</w:t>
      </w:r>
      <w:r w:rsidRPr="0024117C">
        <w:rPr>
          <w:rFonts w:ascii="Times New Roman" w:hAnsi="Times New Roman"/>
          <w:noProof/>
        </w:rPr>
        <w:t>, Vol. 5156. (Edited by Slusser, J.R., Herman, J.R. and Gao, W.), pp. 197-206. SPIE, San Diego.</w:t>
      </w:r>
    </w:p>
    <w:p w:rsidR="00FB7C64" w:rsidRPr="00362E2A" w:rsidRDefault="00FB7C64" w:rsidP="00FB7C64">
      <w:pPr>
        <w:pStyle w:val="ListParagraph"/>
        <w:numPr>
          <w:ilvl w:val="0"/>
          <w:numId w:val="5"/>
        </w:numPr>
        <w:spacing w:line="480" w:lineRule="auto"/>
        <w:ind w:left="567" w:hanging="567"/>
        <w:jc w:val="both"/>
        <w:rPr>
          <w:rFonts w:ascii="Times New Roman" w:hAnsi="Times New Roman"/>
          <w:noProof/>
        </w:rPr>
      </w:pPr>
      <w:r w:rsidRPr="00362E2A">
        <w:rPr>
          <w:rFonts w:ascii="Times New Roman" w:hAnsi="Times New Roman"/>
          <w:noProof/>
        </w:rPr>
        <w:t xml:space="preserve">Downs, N. and Parisi, A.V. (2012) Mean Exposure Fractions of Human Body Solar UV Exposure Patterns for Application in Different Ambient Climates. </w:t>
      </w:r>
      <w:r w:rsidRPr="00362E2A">
        <w:rPr>
          <w:rFonts w:ascii="Times New Roman" w:hAnsi="Times New Roman"/>
          <w:i/>
          <w:noProof/>
        </w:rPr>
        <w:t>Photochemistry and Photobiology</w:t>
      </w:r>
      <w:r w:rsidRPr="00362E2A">
        <w:rPr>
          <w:rFonts w:ascii="Times New Roman" w:hAnsi="Times New Roman"/>
          <w:noProof/>
        </w:rPr>
        <w:t xml:space="preserve"> </w:t>
      </w:r>
      <w:r w:rsidRPr="00362E2A">
        <w:rPr>
          <w:rFonts w:ascii="Times New Roman" w:hAnsi="Times New Roman"/>
          <w:b/>
          <w:noProof/>
        </w:rPr>
        <w:t>88</w:t>
      </w:r>
      <w:r w:rsidRPr="00362E2A">
        <w:rPr>
          <w:rFonts w:ascii="Times New Roman" w:hAnsi="Times New Roman"/>
          <w:noProof/>
        </w:rPr>
        <w:t>(1)</w:t>
      </w:r>
      <w:r w:rsidRPr="00362E2A">
        <w:rPr>
          <w:rFonts w:ascii="Times New Roman" w:hAnsi="Times New Roman"/>
          <w:b/>
          <w:noProof/>
        </w:rPr>
        <w:t>,</w:t>
      </w:r>
      <w:r w:rsidRPr="00362E2A">
        <w:rPr>
          <w:rFonts w:ascii="Times New Roman" w:hAnsi="Times New Roman"/>
          <w:noProof/>
        </w:rPr>
        <w:t xml:space="preserve"> 223-226.</w:t>
      </w:r>
    </w:p>
    <w:p w:rsidR="00FB7C64" w:rsidRPr="00362E2A" w:rsidRDefault="00FB7C64" w:rsidP="00FB7C64">
      <w:pPr>
        <w:pStyle w:val="ListParagraph"/>
        <w:numPr>
          <w:ilvl w:val="0"/>
          <w:numId w:val="5"/>
        </w:numPr>
        <w:spacing w:line="480" w:lineRule="auto"/>
        <w:ind w:left="567" w:hanging="567"/>
        <w:jc w:val="both"/>
      </w:pPr>
      <w:r w:rsidRPr="0024117C">
        <w:rPr>
          <w:rFonts w:ascii="Times New Roman" w:hAnsi="Times New Roman"/>
          <w:noProof/>
        </w:rPr>
        <w:t xml:space="preserve">Davis, A., Deane, G. and Diffey, B. (1976) Possible dosimeter for ultraviolet radiation. </w:t>
      </w:r>
      <w:r w:rsidRPr="0024117C">
        <w:rPr>
          <w:rFonts w:ascii="Times New Roman" w:hAnsi="Times New Roman"/>
          <w:i/>
          <w:noProof/>
        </w:rPr>
        <w:t>Nature</w:t>
      </w:r>
      <w:r w:rsidRPr="0024117C">
        <w:rPr>
          <w:rFonts w:ascii="Times New Roman" w:hAnsi="Times New Roman"/>
          <w:noProof/>
        </w:rPr>
        <w:t xml:space="preserve"> </w:t>
      </w:r>
      <w:r w:rsidRPr="0024117C">
        <w:rPr>
          <w:rFonts w:ascii="Times New Roman" w:hAnsi="Times New Roman"/>
          <w:b/>
          <w:noProof/>
        </w:rPr>
        <w:t>261,</w:t>
      </w:r>
      <w:r w:rsidRPr="0024117C">
        <w:rPr>
          <w:rFonts w:ascii="Times New Roman" w:hAnsi="Times New Roman"/>
          <w:noProof/>
        </w:rPr>
        <w:t xml:space="preserve"> 169-170.</w:t>
      </w:r>
    </w:p>
    <w:p w:rsidR="00FB7C64" w:rsidRPr="00362E2A" w:rsidRDefault="00FB7C64" w:rsidP="00FB7C64">
      <w:pPr>
        <w:pStyle w:val="ListParagraph"/>
        <w:numPr>
          <w:ilvl w:val="0"/>
          <w:numId w:val="5"/>
        </w:numPr>
        <w:spacing w:line="480" w:lineRule="auto"/>
        <w:ind w:left="567" w:hanging="567"/>
        <w:jc w:val="both"/>
        <w:rPr>
          <w:rFonts w:ascii="Times New Roman" w:hAnsi="Times New Roman"/>
          <w:noProof/>
        </w:rPr>
      </w:pPr>
      <w:r w:rsidRPr="00362E2A">
        <w:rPr>
          <w:rFonts w:ascii="Times New Roman" w:hAnsi="Times New Roman"/>
          <w:noProof/>
        </w:rPr>
        <w:t xml:space="preserve">Berre, B. (1989) Investigation on photochemical dosimeters for ultraviolet radiation. </w:t>
      </w:r>
      <w:r w:rsidRPr="00362E2A">
        <w:rPr>
          <w:rFonts w:ascii="Times New Roman" w:hAnsi="Times New Roman"/>
          <w:i/>
          <w:noProof/>
        </w:rPr>
        <w:t>Solar Energy</w:t>
      </w:r>
      <w:r w:rsidRPr="00362E2A">
        <w:rPr>
          <w:rFonts w:ascii="Times New Roman" w:hAnsi="Times New Roman"/>
          <w:noProof/>
        </w:rPr>
        <w:t xml:space="preserve"> </w:t>
      </w:r>
      <w:r w:rsidRPr="00362E2A">
        <w:rPr>
          <w:rFonts w:ascii="Times New Roman" w:hAnsi="Times New Roman"/>
          <w:b/>
          <w:noProof/>
        </w:rPr>
        <w:t>42</w:t>
      </w:r>
      <w:r w:rsidRPr="00362E2A">
        <w:rPr>
          <w:rFonts w:ascii="Times New Roman" w:hAnsi="Times New Roman"/>
          <w:noProof/>
        </w:rPr>
        <w:t>(5)</w:t>
      </w:r>
      <w:r w:rsidRPr="00362E2A">
        <w:rPr>
          <w:rFonts w:ascii="Times New Roman" w:hAnsi="Times New Roman"/>
          <w:b/>
          <w:noProof/>
        </w:rPr>
        <w:t>,</w:t>
      </w:r>
      <w:r w:rsidRPr="00362E2A">
        <w:rPr>
          <w:rFonts w:ascii="Times New Roman" w:hAnsi="Times New Roman"/>
          <w:noProof/>
        </w:rPr>
        <w:t xml:space="preserve"> 405-405.</w:t>
      </w:r>
    </w:p>
    <w:p w:rsidR="00FB7C64" w:rsidRPr="00362E2A" w:rsidRDefault="00FB7C64" w:rsidP="00FB7C64">
      <w:pPr>
        <w:pStyle w:val="ListParagraph"/>
        <w:numPr>
          <w:ilvl w:val="0"/>
          <w:numId w:val="5"/>
        </w:numPr>
        <w:spacing w:line="480" w:lineRule="auto"/>
        <w:ind w:left="567" w:hanging="567"/>
        <w:jc w:val="both"/>
      </w:pPr>
      <w:r w:rsidRPr="0024117C">
        <w:rPr>
          <w:rFonts w:ascii="Times New Roman" w:hAnsi="Times New Roman"/>
          <w:noProof/>
        </w:rPr>
        <w:t xml:space="preserve">Lester, R.A., Parisi, A.V., Kimlin, M.G. and Sabburg, J.M. (2003) Optical properties of Poly(2,6-Dimethyl-1,4-Phenylene Oxide) film and its potential for a long-term solar ultraviolet dosimeter. </w:t>
      </w:r>
      <w:r w:rsidRPr="0024117C">
        <w:rPr>
          <w:rFonts w:ascii="Times New Roman" w:hAnsi="Times New Roman"/>
          <w:i/>
          <w:noProof/>
        </w:rPr>
        <w:t>Physics in Medicine and Biology</w:t>
      </w:r>
      <w:r w:rsidRPr="0024117C">
        <w:rPr>
          <w:rFonts w:ascii="Times New Roman" w:hAnsi="Times New Roman"/>
          <w:noProof/>
        </w:rPr>
        <w:t xml:space="preserve"> </w:t>
      </w:r>
      <w:r w:rsidRPr="0024117C">
        <w:rPr>
          <w:rFonts w:ascii="Times New Roman" w:hAnsi="Times New Roman"/>
          <w:b/>
          <w:noProof/>
        </w:rPr>
        <w:t>48,</w:t>
      </w:r>
      <w:r w:rsidRPr="0024117C">
        <w:rPr>
          <w:rFonts w:ascii="Times New Roman" w:hAnsi="Times New Roman"/>
          <w:noProof/>
        </w:rPr>
        <w:t xml:space="preserve"> 3685-3698.</w:t>
      </w:r>
    </w:p>
    <w:p w:rsidR="00FB7C64" w:rsidRPr="00362E2A" w:rsidRDefault="00FB7C64" w:rsidP="00FB7C64">
      <w:pPr>
        <w:pStyle w:val="ListParagraph"/>
        <w:numPr>
          <w:ilvl w:val="0"/>
          <w:numId w:val="5"/>
        </w:numPr>
        <w:spacing w:line="480" w:lineRule="auto"/>
        <w:ind w:left="567" w:hanging="567"/>
        <w:jc w:val="both"/>
      </w:pPr>
      <w:r w:rsidRPr="0024117C">
        <w:rPr>
          <w:rFonts w:ascii="Times New Roman" w:hAnsi="Times New Roman"/>
          <w:noProof/>
        </w:rPr>
        <w:t xml:space="preserve">Siani, A.M., Casale, G.R., Sisto, R., Borra, M., Kimlin, M.G., Lang, C.A. and Colosimo, A. (2009) Short-term UV exposure of sunbathers at a Mediterranean sea site. </w:t>
      </w:r>
      <w:r w:rsidRPr="0024117C">
        <w:rPr>
          <w:rFonts w:ascii="Times New Roman" w:hAnsi="Times New Roman"/>
          <w:i/>
          <w:noProof/>
        </w:rPr>
        <w:t>Photochemistry and Photobiology</w:t>
      </w:r>
      <w:r w:rsidRPr="0024117C">
        <w:rPr>
          <w:rFonts w:ascii="Times New Roman" w:hAnsi="Times New Roman"/>
          <w:noProof/>
        </w:rPr>
        <w:t xml:space="preserve"> </w:t>
      </w:r>
      <w:r w:rsidRPr="0024117C">
        <w:rPr>
          <w:rFonts w:ascii="Times New Roman" w:hAnsi="Times New Roman"/>
          <w:b/>
          <w:noProof/>
        </w:rPr>
        <w:t>85</w:t>
      </w:r>
      <w:r w:rsidRPr="0024117C">
        <w:rPr>
          <w:rFonts w:ascii="Times New Roman" w:hAnsi="Times New Roman"/>
          <w:noProof/>
        </w:rPr>
        <w:t>(1)</w:t>
      </w:r>
      <w:r w:rsidRPr="0024117C">
        <w:rPr>
          <w:rFonts w:ascii="Times New Roman" w:hAnsi="Times New Roman"/>
          <w:b/>
          <w:noProof/>
        </w:rPr>
        <w:t>,</w:t>
      </w:r>
      <w:r w:rsidRPr="0024117C">
        <w:rPr>
          <w:rFonts w:ascii="Times New Roman" w:hAnsi="Times New Roman"/>
          <w:noProof/>
        </w:rPr>
        <w:t xml:space="preserve"> 177-177.</w:t>
      </w:r>
    </w:p>
    <w:p w:rsidR="00FB7C64" w:rsidRPr="00362E2A" w:rsidRDefault="00FB7C64" w:rsidP="00FB7C64">
      <w:pPr>
        <w:pStyle w:val="ListParagraph"/>
        <w:numPr>
          <w:ilvl w:val="0"/>
          <w:numId w:val="5"/>
        </w:numPr>
        <w:spacing w:line="480" w:lineRule="auto"/>
        <w:ind w:left="567" w:hanging="567"/>
        <w:jc w:val="both"/>
      </w:pPr>
      <w:r w:rsidRPr="0024117C">
        <w:rPr>
          <w:rFonts w:ascii="Times New Roman" w:hAnsi="Times New Roman"/>
          <w:noProof/>
        </w:rPr>
        <w:t xml:space="preserve">Gies, P., Glanz, K., Oriordan, D., Elliott, T. and Nehl, E. (2009) Measured occupational solar UVR exposures of lifeguards in pool settings. </w:t>
      </w:r>
      <w:r w:rsidRPr="0024117C">
        <w:rPr>
          <w:rFonts w:ascii="Times New Roman" w:hAnsi="Times New Roman"/>
          <w:i/>
          <w:noProof/>
        </w:rPr>
        <w:t>American Journal of Industrial Medicine</w:t>
      </w:r>
      <w:r w:rsidRPr="0024117C">
        <w:rPr>
          <w:rFonts w:ascii="Times New Roman" w:hAnsi="Times New Roman"/>
          <w:noProof/>
        </w:rPr>
        <w:t xml:space="preserve"> </w:t>
      </w:r>
      <w:r w:rsidRPr="0024117C">
        <w:rPr>
          <w:rFonts w:ascii="Times New Roman" w:hAnsi="Times New Roman"/>
          <w:b/>
          <w:noProof/>
        </w:rPr>
        <w:t>52</w:t>
      </w:r>
      <w:r w:rsidRPr="0024117C">
        <w:rPr>
          <w:rFonts w:ascii="Times New Roman" w:hAnsi="Times New Roman"/>
          <w:noProof/>
        </w:rPr>
        <w:t>(8)</w:t>
      </w:r>
      <w:r w:rsidRPr="0024117C">
        <w:rPr>
          <w:rFonts w:ascii="Times New Roman" w:hAnsi="Times New Roman"/>
          <w:b/>
          <w:noProof/>
        </w:rPr>
        <w:t>,</w:t>
      </w:r>
      <w:r w:rsidRPr="0024117C">
        <w:rPr>
          <w:rFonts w:ascii="Times New Roman" w:hAnsi="Times New Roman"/>
          <w:noProof/>
        </w:rPr>
        <w:t xml:space="preserve"> 645-653.</w:t>
      </w:r>
    </w:p>
    <w:p w:rsidR="00FB7C64" w:rsidRPr="00362E2A" w:rsidRDefault="00FB7C64" w:rsidP="00FB7C64">
      <w:pPr>
        <w:pStyle w:val="ListParagraph"/>
        <w:numPr>
          <w:ilvl w:val="0"/>
          <w:numId w:val="5"/>
        </w:numPr>
        <w:spacing w:line="480" w:lineRule="auto"/>
        <w:ind w:left="567" w:hanging="567"/>
        <w:jc w:val="both"/>
      </w:pPr>
      <w:r w:rsidRPr="0024117C">
        <w:rPr>
          <w:rFonts w:ascii="Times New Roman" w:hAnsi="Times New Roman"/>
          <w:noProof/>
        </w:rPr>
        <w:t xml:space="preserve">Downs, N.J. and Parisi, A.V. (2009) Ultraviolet exposures in different playground settings: a cohort study of measurements performed in a school population. </w:t>
      </w:r>
      <w:r w:rsidRPr="0024117C">
        <w:rPr>
          <w:rFonts w:ascii="Times New Roman" w:hAnsi="Times New Roman"/>
          <w:i/>
          <w:noProof/>
        </w:rPr>
        <w:t>Photodermatology, Photoimmunology &amp; Photomedicine</w:t>
      </w:r>
      <w:r w:rsidRPr="0024117C">
        <w:rPr>
          <w:rFonts w:ascii="Times New Roman" w:hAnsi="Times New Roman"/>
          <w:noProof/>
        </w:rPr>
        <w:t xml:space="preserve"> </w:t>
      </w:r>
      <w:r w:rsidRPr="0024117C">
        <w:rPr>
          <w:rFonts w:ascii="Times New Roman" w:hAnsi="Times New Roman"/>
          <w:b/>
          <w:noProof/>
        </w:rPr>
        <w:t>25</w:t>
      </w:r>
      <w:r w:rsidRPr="0024117C">
        <w:rPr>
          <w:rFonts w:ascii="Times New Roman" w:hAnsi="Times New Roman"/>
          <w:noProof/>
        </w:rPr>
        <w:t>(4)</w:t>
      </w:r>
      <w:r w:rsidRPr="0024117C">
        <w:rPr>
          <w:rFonts w:ascii="Times New Roman" w:hAnsi="Times New Roman"/>
          <w:b/>
          <w:noProof/>
        </w:rPr>
        <w:t>,</w:t>
      </w:r>
      <w:r w:rsidRPr="0024117C">
        <w:rPr>
          <w:rFonts w:ascii="Times New Roman" w:hAnsi="Times New Roman"/>
          <w:noProof/>
        </w:rPr>
        <w:t xml:space="preserve"> 196-201.</w:t>
      </w:r>
    </w:p>
    <w:p w:rsidR="00FB7C64" w:rsidRPr="00362E2A" w:rsidRDefault="00FB7C64" w:rsidP="00FB7C64">
      <w:pPr>
        <w:pStyle w:val="ListParagraph"/>
        <w:numPr>
          <w:ilvl w:val="0"/>
          <w:numId w:val="5"/>
        </w:numPr>
        <w:spacing w:line="480" w:lineRule="auto"/>
        <w:ind w:left="567" w:hanging="567"/>
        <w:jc w:val="both"/>
      </w:pPr>
      <w:r w:rsidRPr="0024117C">
        <w:rPr>
          <w:rFonts w:ascii="Times New Roman" w:hAnsi="Times New Roman"/>
          <w:noProof/>
        </w:rPr>
        <w:lastRenderedPageBreak/>
        <w:t xml:space="preserve">Gies, P., Roy, C., Toomey, S., MacLennan, R. and Watson, M. (1998) Solar UVR exposures of primary school children at three locations in Queensland. </w:t>
      </w:r>
      <w:r w:rsidRPr="0024117C">
        <w:rPr>
          <w:rFonts w:ascii="Times New Roman" w:hAnsi="Times New Roman"/>
          <w:i/>
          <w:noProof/>
        </w:rPr>
        <w:t>Photochemistry and Photobiology</w:t>
      </w:r>
      <w:r w:rsidRPr="0024117C">
        <w:rPr>
          <w:rFonts w:ascii="Times New Roman" w:hAnsi="Times New Roman"/>
          <w:noProof/>
        </w:rPr>
        <w:t xml:space="preserve"> </w:t>
      </w:r>
      <w:r w:rsidRPr="0024117C">
        <w:rPr>
          <w:rFonts w:ascii="Times New Roman" w:hAnsi="Times New Roman"/>
          <w:b/>
          <w:noProof/>
        </w:rPr>
        <w:t>68</w:t>
      </w:r>
      <w:r w:rsidRPr="0024117C">
        <w:rPr>
          <w:rFonts w:ascii="Times New Roman" w:hAnsi="Times New Roman"/>
          <w:noProof/>
        </w:rPr>
        <w:t>(1)</w:t>
      </w:r>
      <w:r w:rsidRPr="0024117C">
        <w:rPr>
          <w:rFonts w:ascii="Times New Roman" w:hAnsi="Times New Roman"/>
          <w:b/>
          <w:noProof/>
        </w:rPr>
        <w:t>,</w:t>
      </w:r>
      <w:r w:rsidRPr="0024117C">
        <w:rPr>
          <w:rFonts w:ascii="Times New Roman" w:hAnsi="Times New Roman"/>
          <w:noProof/>
        </w:rPr>
        <w:t xml:space="preserve"> 78-83.</w:t>
      </w:r>
    </w:p>
    <w:p w:rsidR="00FB7C64" w:rsidRPr="00362E2A" w:rsidRDefault="00FB7C64" w:rsidP="00FB7C64">
      <w:pPr>
        <w:pStyle w:val="ListParagraph"/>
        <w:numPr>
          <w:ilvl w:val="0"/>
          <w:numId w:val="5"/>
        </w:numPr>
        <w:spacing w:line="480" w:lineRule="auto"/>
        <w:ind w:left="567" w:hanging="567"/>
        <w:jc w:val="both"/>
      </w:pPr>
      <w:r w:rsidRPr="0024117C">
        <w:rPr>
          <w:rFonts w:ascii="Times New Roman" w:hAnsi="Times New Roman"/>
          <w:noProof/>
        </w:rPr>
        <w:t xml:space="preserve">Guy, C., Diab, R. and Martincigh, B. (2003) Ultraviolet radiation exposure of children and adolescents in Durban, South Africa. </w:t>
      </w:r>
      <w:r w:rsidRPr="0024117C">
        <w:rPr>
          <w:rFonts w:ascii="Times New Roman" w:hAnsi="Times New Roman"/>
          <w:i/>
          <w:noProof/>
        </w:rPr>
        <w:t>Photochemistry and Photobiology</w:t>
      </w:r>
      <w:r w:rsidRPr="0024117C">
        <w:rPr>
          <w:rFonts w:ascii="Times New Roman" w:hAnsi="Times New Roman"/>
          <w:noProof/>
        </w:rPr>
        <w:t xml:space="preserve"> </w:t>
      </w:r>
      <w:r w:rsidRPr="0024117C">
        <w:rPr>
          <w:rFonts w:ascii="Times New Roman" w:hAnsi="Times New Roman"/>
          <w:b/>
          <w:noProof/>
        </w:rPr>
        <w:t>77</w:t>
      </w:r>
      <w:r w:rsidRPr="0024117C">
        <w:rPr>
          <w:rFonts w:ascii="Times New Roman" w:hAnsi="Times New Roman"/>
          <w:noProof/>
        </w:rPr>
        <w:t>(3)</w:t>
      </w:r>
      <w:r w:rsidRPr="0024117C">
        <w:rPr>
          <w:rFonts w:ascii="Times New Roman" w:hAnsi="Times New Roman"/>
          <w:b/>
          <w:noProof/>
        </w:rPr>
        <w:t>,</w:t>
      </w:r>
      <w:r w:rsidRPr="0024117C">
        <w:rPr>
          <w:rFonts w:ascii="Times New Roman" w:hAnsi="Times New Roman"/>
          <w:noProof/>
        </w:rPr>
        <w:t xml:space="preserve"> 265-270.</w:t>
      </w:r>
    </w:p>
    <w:p w:rsidR="00FB7C64" w:rsidRPr="00362E2A" w:rsidRDefault="00FB7C64" w:rsidP="00FB7C64">
      <w:pPr>
        <w:pStyle w:val="ListParagraph"/>
        <w:numPr>
          <w:ilvl w:val="0"/>
          <w:numId w:val="5"/>
        </w:numPr>
        <w:spacing w:line="480" w:lineRule="auto"/>
        <w:ind w:left="567" w:hanging="567"/>
        <w:jc w:val="both"/>
      </w:pPr>
      <w:r w:rsidRPr="0024117C">
        <w:rPr>
          <w:rFonts w:ascii="Times New Roman" w:hAnsi="Times New Roman"/>
          <w:noProof/>
        </w:rPr>
        <w:t xml:space="preserve">Diffey, B.L., Gibson, C.J., Haylock, R. and McKinlay, A.F. (1996) Outdoor ultraviolet exposure of children and adolescents. </w:t>
      </w:r>
      <w:r w:rsidRPr="0024117C">
        <w:rPr>
          <w:rFonts w:ascii="Times New Roman" w:hAnsi="Times New Roman"/>
          <w:i/>
          <w:noProof/>
        </w:rPr>
        <w:t>British Journal of Dermatology</w:t>
      </w:r>
      <w:r w:rsidRPr="0024117C">
        <w:rPr>
          <w:rFonts w:ascii="Times New Roman" w:hAnsi="Times New Roman"/>
          <w:noProof/>
        </w:rPr>
        <w:t xml:space="preserve"> </w:t>
      </w:r>
      <w:r w:rsidRPr="0024117C">
        <w:rPr>
          <w:rFonts w:ascii="Times New Roman" w:hAnsi="Times New Roman"/>
          <w:b/>
          <w:noProof/>
        </w:rPr>
        <w:t>134</w:t>
      </w:r>
      <w:r w:rsidRPr="0024117C">
        <w:rPr>
          <w:rFonts w:ascii="Times New Roman" w:hAnsi="Times New Roman"/>
          <w:noProof/>
        </w:rPr>
        <w:t>(6)</w:t>
      </w:r>
      <w:r w:rsidRPr="0024117C">
        <w:rPr>
          <w:rFonts w:ascii="Times New Roman" w:hAnsi="Times New Roman"/>
          <w:b/>
          <w:noProof/>
        </w:rPr>
        <w:t>,</w:t>
      </w:r>
      <w:r w:rsidRPr="0024117C">
        <w:rPr>
          <w:rFonts w:ascii="Times New Roman" w:hAnsi="Times New Roman"/>
          <w:noProof/>
        </w:rPr>
        <w:t xml:space="preserve"> 1030-1034.</w:t>
      </w:r>
    </w:p>
    <w:p w:rsidR="00FB7C64" w:rsidRPr="00362E2A" w:rsidRDefault="00FB7C64" w:rsidP="00FB7C64">
      <w:pPr>
        <w:pStyle w:val="ListParagraph"/>
        <w:numPr>
          <w:ilvl w:val="0"/>
          <w:numId w:val="5"/>
        </w:numPr>
        <w:spacing w:line="480" w:lineRule="auto"/>
        <w:ind w:left="567" w:hanging="567"/>
        <w:jc w:val="both"/>
      </w:pPr>
      <w:r w:rsidRPr="0024117C">
        <w:rPr>
          <w:rFonts w:ascii="Times New Roman" w:hAnsi="Times New Roman"/>
          <w:noProof/>
        </w:rPr>
        <w:t xml:space="preserve">Parisi, A.V. and Kimlin, M.G. (2000) Effect of meal break times on solar UV exposure to schoolchildren in a southeast Queensland summer month. </w:t>
      </w:r>
      <w:r w:rsidRPr="0024117C">
        <w:rPr>
          <w:rFonts w:ascii="Times New Roman" w:hAnsi="Times New Roman"/>
          <w:i/>
          <w:noProof/>
        </w:rPr>
        <w:t>Environmetrics</w:t>
      </w:r>
      <w:r w:rsidRPr="0024117C">
        <w:rPr>
          <w:rFonts w:ascii="Times New Roman" w:hAnsi="Times New Roman"/>
          <w:noProof/>
        </w:rPr>
        <w:t xml:space="preserve"> </w:t>
      </w:r>
      <w:r w:rsidRPr="0024117C">
        <w:rPr>
          <w:rFonts w:ascii="Times New Roman" w:hAnsi="Times New Roman"/>
          <w:b/>
          <w:noProof/>
        </w:rPr>
        <w:t>11</w:t>
      </w:r>
      <w:r w:rsidRPr="0024117C">
        <w:rPr>
          <w:rFonts w:ascii="Times New Roman" w:hAnsi="Times New Roman"/>
          <w:noProof/>
        </w:rPr>
        <w:t>(5)</w:t>
      </w:r>
      <w:r w:rsidRPr="0024117C">
        <w:rPr>
          <w:rFonts w:ascii="Times New Roman" w:hAnsi="Times New Roman"/>
          <w:b/>
          <w:noProof/>
        </w:rPr>
        <w:t>,</w:t>
      </w:r>
      <w:r w:rsidRPr="0024117C">
        <w:rPr>
          <w:rFonts w:ascii="Times New Roman" w:hAnsi="Times New Roman"/>
          <w:noProof/>
        </w:rPr>
        <w:t xml:space="preserve"> 563-570.</w:t>
      </w:r>
    </w:p>
    <w:p w:rsidR="00FB7C64" w:rsidRPr="00362E2A" w:rsidRDefault="00FB7C64" w:rsidP="00FB7C64">
      <w:pPr>
        <w:pStyle w:val="ListParagraph"/>
        <w:numPr>
          <w:ilvl w:val="0"/>
          <w:numId w:val="5"/>
        </w:numPr>
        <w:spacing w:line="480" w:lineRule="auto"/>
        <w:ind w:left="567" w:hanging="567"/>
        <w:jc w:val="both"/>
      </w:pPr>
      <w:r w:rsidRPr="0024117C">
        <w:rPr>
          <w:rFonts w:ascii="Times New Roman" w:hAnsi="Times New Roman"/>
          <w:noProof/>
        </w:rPr>
        <w:t xml:space="preserve">Gies, P. and Wright, J. (2003) Measured solar ultraviolet radiation exposures of outdoor workers in Queensland in the building and construction industry. </w:t>
      </w:r>
      <w:r w:rsidRPr="0024117C">
        <w:rPr>
          <w:rFonts w:ascii="Times New Roman" w:hAnsi="Times New Roman"/>
          <w:i/>
          <w:noProof/>
        </w:rPr>
        <w:t>Photochemistry and Photobiology</w:t>
      </w:r>
      <w:r w:rsidRPr="0024117C">
        <w:rPr>
          <w:rFonts w:ascii="Times New Roman" w:hAnsi="Times New Roman"/>
          <w:noProof/>
        </w:rPr>
        <w:t xml:space="preserve"> </w:t>
      </w:r>
      <w:r w:rsidRPr="0024117C">
        <w:rPr>
          <w:rFonts w:ascii="Times New Roman" w:hAnsi="Times New Roman"/>
          <w:b/>
          <w:noProof/>
        </w:rPr>
        <w:t>78</w:t>
      </w:r>
      <w:r w:rsidRPr="0024117C">
        <w:rPr>
          <w:rFonts w:ascii="Times New Roman" w:hAnsi="Times New Roman"/>
          <w:noProof/>
        </w:rPr>
        <w:t>(4)</w:t>
      </w:r>
      <w:r w:rsidRPr="0024117C">
        <w:rPr>
          <w:rFonts w:ascii="Times New Roman" w:hAnsi="Times New Roman"/>
          <w:b/>
          <w:noProof/>
        </w:rPr>
        <w:t>,</w:t>
      </w:r>
      <w:r w:rsidRPr="0024117C">
        <w:rPr>
          <w:rFonts w:ascii="Times New Roman" w:hAnsi="Times New Roman"/>
          <w:noProof/>
        </w:rPr>
        <w:t xml:space="preserve"> 342-348.</w:t>
      </w:r>
    </w:p>
    <w:p w:rsidR="00FB7C64" w:rsidRPr="00362E2A" w:rsidRDefault="00FB7C64" w:rsidP="00FB7C64">
      <w:pPr>
        <w:pStyle w:val="ListParagraph"/>
        <w:numPr>
          <w:ilvl w:val="0"/>
          <w:numId w:val="5"/>
        </w:numPr>
        <w:spacing w:line="480" w:lineRule="auto"/>
        <w:ind w:left="567" w:hanging="567"/>
        <w:jc w:val="both"/>
      </w:pPr>
      <w:r w:rsidRPr="0024117C">
        <w:rPr>
          <w:rFonts w:ascii="Times New Roman" w:hAnsi="Times New Roman"/>
          <w:noProof/>
        </w:rPr>
        <w:t xml:space="preserve">Siani, A.M., Casale, G.R., Sisto, R., Colosimo, A., Lang, C.A. and Kimlin, M.G. (2011) Occupational exposures to solar ultraviolet radiation of vineyard workers in Tuscany (Italy). </w:t>
      </w:r>
      <w:r w:rsidRPr="0024117C">
        <w:rPr>
          <w:rFonts w:ascii="Times New Roman" w:hAnsi="Times New Roman"/>
          <w:i/>
          <w:noProof/>
        </w:rPr>
        <w:t>Photochemistry &amp; Photobiology</w:t>
      </w:r>
      <w:r w:rsidRPr="0024117C">
        <w:rPr>
          <w:rFonts w:ascii="Times New Roman" w:hAnsi="Times New Roman"/>
          <w:noProof/>
        </w:rPr>
        <w:t xml:space="preserve"> </w:t>
      </w:r>
      <w:r w:rsidRPr="0024117C">
        <w:rPr>
          <w:rFonts w:ascii="Times New Roman" w:hAnsi="Times New Roman"/>
          <w:b/>
          <w:noProof/>
        </w:rPr>
        <w:t>87</w:t>
      </w:r>
      <w:r w:rsidRPr="0024117C">
        <w:rPr>
          <w:rFonts w:ascii="Times New Roman" w:hAnsi="Times New Roman"/>
          <w:noProof/>
        </w:rPr>
        <w:t>(4)</w:t>
      </w:r>
      <w:r w:rsidRPr="0024117C">
        <w:rPr>
          <w:rFonts w:ascii="Times New Roman" w:hAnsi="Times New Roman"/>
          <w:b/>
          <w:noProof/>
        </w:rPr>
        <w:t>,</w:t>
      </w:r>
      <w:r w:rsidRPr="0024117C">
        <w:rPr>
          <w:rFonts w:ascii="Times New Roman" w:hAnsi="Times New Roman"/>
          <w:noProof/>
        </w:rPr>
        <w:t xml:space="preserve"> 925-934.</w:t>
      </w:r>
    </w:p>
    <w:p w:rsidR="00FB7C64" w:rsidRPr="008D5A97" w:rsidRDefault="00FB7C64" w:rsidP="00FB7C64">
      <w:pPr>
        <w:pStyle w:val="ListParagraph"/>
        <w:numPr>
          <w:ilvl w:val="0"/>
          <w:numId w:val="5"/>
        </w:numPr>
        <w:spacing w:line="480" w:lineRule="auto"/>
        <w:ind w:left="567" w:hanging="567"/>
        <w:jc w:val="both"/>
        <w:rPr>
          <w:rFonts w:ascii="Times New Roman" w:hAnsi="Times New Roman"/>
          <w:noProof/>
        </w:rPr>
      </w:pPr>
      <w:r w:rsidRPr="008D5A97">
        <w:rPr>
          <w:rFonts w:ascii="Times New Roman" w:hAnsi="Times New Roman"/>
          <w:noProof/>
        </w:rPr>
        <w:t xml:space="preserve">Siani, A.M., Casale, G.R., Diémoz, H., Agnesod, G., Kimlin, M.G., Lang, C.A. and Colosimo, A. (2008) Personal UV exposure in high albedo alpine sites. </w:t>
      </w:r>
      <w:r w:rsidRPr="008D5A97">
        <w:rPr>
          <w:rFonts w:ascii="Times New Roman" w:hAnsi="Times New Roman"/>
          <w:i/>
          <w:noProof/>
        </w:rPr>
        <w:t>Atmospheric Chemistry and Physics</w:t>
      </w:r>
      <w:r w:rsidRPr="008D5A97">
        <w:rPr>
          <w:rFonts w:ascii="Times New Roman" w:hAnsi="Times New Roman"/>
          <w:noProof/>
        </w:rPr>
        <w:t xml:space="preserve"> </w:t>
      </w:r>
      <w:r w:rsidRPr="008D5A97">
        <w:rPr>
          <w:rFonts w:ascii="Times New Roman" w:hAnsi="Times New Roman"/>
          <w:b/>
          <w:noProof/>
        </w:rPr>
        <w:t>8</w:t>
      </w:r>
      <w:r w:rsidRPr="008D5A97">
        <w:rPr>
          <w:rFonts w:ascii="Times New Roman" w:hAnsi="Times New Roman"/>
          <w:noProof/>
        </w:rPr>
        <w:t>(14)</w:t>
      </w:r>
      <w:r w:rsidRPr="008D5A97">
        <w:rPr>
          <w:rFonts w:ascii="Times New Roman" w:hAnsi="Times New Roman"/>
          <w:b/>
          <w:noProof/>
        </w:rPr>
        <w:t>,</w:t>
      </w:r>
      <w:r w:rsidRPr="008D5A97">
        <w:rPr>
          <w:rFonts w:ascii="Times New Roman" w:hAnsi="Times New Roman"/>
          <w:noProof/>
        </w:rPr>
        <w:t xml:space="preserve"> 3749-3760.</w:t>
      </w:r>
    </w:p>
    <w:p w:rsidR="00FB7C64" w:rsidRPr="008D5A97" w:rsidRDefault="00FB7C64" w:rsidP="00FB7C64">
      <w:pPr>
        <w:pStyle w:val="ListParagraph"/>
        <w:numPr>
          <w:ilvl w:val="0"/>
          <w:numId w:val="5"/>
        </w:numPr>
        <w:spacing w:line="480" w:lineRule="auto"/>
        <w:ind w:left="567" w:hanging="567"/>
        <w:jc w:val="both"/>
        <w:rPr>
          <w:rFonts w:ascii="Times New Roman" w:hAnsi="Times New Roman"/>
          <w:noProof/>
        </w:rPr>
      </w:pPr>
      <w:r w:rsidRPr="008D5A97">
        <w:rPr>
          <w:rFonts w:ascii="Times New Roman" w:hAnsi="Times New Roman"/>
          <w:noProof/>
        </w:rPr>
        <w:t xml:space="preserve">Parisi, A.V., Kimlin, M.G., Wong, J.C.F., Lester, R.A. and Turnbull, D.J. (2000) Reduction in the personal annual solar erythemal ultraviolet exposure provided by Australian gum trees. </w:t>
      </w:r>
      <w:r w:rsidRPr="008D5A97">
        <w:rPr>
          <w:rFonts w:ascii="Times New Roman" w:hAnsi="Times New Roman"/>
          <w:i/>
          <w:noProof/>
        </w:rPr>
        <w:t>Radiation Protection Dosimetry</w:t>
      </w:r>
      <w:r w:rsidRPr="008D5A97">
        <w:rPr>
          <w:rFonts w:ascii="Times New Roman" w:hAnsi="Times New Roman"/>
          <w:noProof/>
        </w:rPr>
        <w:t xml:space="preserve"> </w:t>
      </w:r>
      <w:r w:rsidRPr="008D5A97">
        <w:rPr>
          <w:rFonts w:ascii="Times New Roman" w:hAnsi="Times New Roman"/>
          <w:b/>
          <w:noProof/>
        </w:rPr>
        <w:t>92</w:t>
      </w:r>
      <w:r w:rsidRPr="008D5A97">
        <w:rPr>
          <w:rFonts w:ascii="Times New Roman" w:hAnsi="Times New Roman"/>
          <w:noProof/>
        </w:rPr>
        <w:t>(4)</w:t>
      </w:r>
      <w:r w:rsidRPr="008D5A97">
        <w:rPr>
          <w:rFonts w:ascii="Times New Roman" w:hAnsi="Times New Roman"/>
          <w:b/>
          <w:noProof/>
        </w:rPr>
        <w:t>,</w:t>
      </w:r>
      <w:r w:rsidRPr="008D5A97">
        <w:rPr>
          <w:rFonts w:ascii="Times New Roman" w:hAnsi="Times New Roman"/>
          <w:noProof/>
        </w:rPr>
        <w:t xml:space="preserve"> 307-312.</w:t>
      </w:r>
    </w:p>
    <w:p w:rsidR="00FB7C64" w:rsidRPr="008D5A97" w:rsidRDefault="00FB7C64" w:rsidP="00FB7C64">
      <w:pPr>
        <w:pStyle w:val="ListParagraph"/>
        <w:numPr>
          <w:ilvl w:val="0"/>
          <w:numId w:val="5"/>
        </w:numPr>
        <w:spacing w:line="480" w:lineRule="auto"/>
        <w:ind w:left="567" w:hanging="567"/>
        <w:jc w:val="both"/>
        <w:rPr>
          <w:rFonts w:ascii="Times New Roman" w:hAnsi="Times New Roman"/>
          <w:noProof/>
        </w:rPr>
      </w:pPr>
      <w:r w:rsidRPr="008D5A97">
        <w:rPr>
          <w:rFonts w:ascii="Times New Roman" w:hAnsi="Times New Roman"/>
          <w:noProof/>
        </w:rPr>
        <w:lastRenderedPageBreak/>
        <w:t xml:space="preserve">Parisi, A.V., Turnbull, D.J., Downs, N. and Smith, D. (2012) Dosimetric investigation of the solar erythemal UV radiation protection provided by beards and moustaches. </w:t>
      </w:r>
      <w:r w:rsidRPr="008D5A97">
        <w:rPr>
          <w:rFonts w:ascii="Times New Roman" w:hAnsi="Times New Roman"/>
          <w:i/>
          <w:noProof/>
        </w:rPr>
        <w:t>Radiation Protection Dosimetry</w:t>
      </w:r>
      <w:r w:rsidRPr="008D5A97">
        <w:rPr>
          <w:rFonts w:ascii="Times New Roman" w:hAnsi="Times New Roman"/>
          <w:noProof/>
        </w:rPr>
        <w:t xml:space="preserve"> </w:t>
      </w:r>
      <w:r w:rsidRPr="008D5A97">
        <w:rPr>
          <w:rFonts w:ascii="Times New Roman" w:hAnsi="Times New Roman"/>
          <w:b/>
          <w:noProof/>
        </w:rPr>
        <w:t>150</w:t>
      </w:r>
      <w:r w:rsidRPr="008D5A97">
        <w:rPr>
          <w:rFonts w:ascii="Times New Roman" w:hAnsi="Times New Roman"/>
          <w:noProof/>
        </w:rPr>
        <w:t>(3)</w:t>
      </w:r>
      <w:r w:rsidRPr="008D5A97">
        <w:rPr>
          <w:rFonts w:ascii="Times New Roman" w:hAnsi="Times New Roman"/>
          <w:b/>
          <w:noProof/>
        </w:rPr>
        <w:t>,</w:t>
      </w:r>
      <w:r w:rsidRPr="008D5A97">
        <w:rPr>
          <w:rFonts w:ascii="Times New Roman" w:hAnsi="Times New Roman"/>
          <w:noProof/>
        </w:rPr>
        <w:t xml:space="preserve"> 278-282.</w:t>
      </w:r>
    </w:p>
    <w:p w:rsidR="00FB7C64" w:rsidRPr="008D5A97" w:rsidRDefault="00FB7C64" w:rsidP="00FB7C64">
      <w:pPr>
        <w:pStyle w:val="ListParagraph"/>
        <w:numPr>
          <w:ilvl w:val="0"/>
          <w:numId w:val="5"/>
        </w:numPr>
        <w:spacing w:line="480" w:lineRule="auto"/>
        <w:ind w:left="567" w:hanging="567"/>
        <w:jc w:val="both"/>
      </w:pPr>
      <w:r w:rsidRPr="0024117C">
        <w:rPr>
          <w:rFonts w:ascii="Times New Roman" w:hAnsi="Times New Roman"/>
          <w:noProof/>
        </w:rPr>
        <w:t xml:space="preserve">Kimlin, M.G. and Parisi, A.V. (1999) Ultraviolet protective capabilities of hats under two different atmospheric conditions. </w:t>
      </w:r>
      <w:r w:rsidRPr="0024117C">
        <w:rPr>
          <w:rFonts w:ascii="Times New Roman" w:hAnsi="Times New Roman"/>
          <w:i/>
          <w:noProof/>
        </w:rPr>
        <w:t>Vertex</w:t>
      </w:r>
      <w:r w:rsidRPr="0024117C">
        <w:rPr>
          <w:rFonts w:ascii="Times New Roman" w:hAnsi="Times New Roman"/>
          <w:noProof/>
        </w:rPr>
        <w:t xml:space="preserve"> </w:t>
      </w:r>
      <w:r w:rsidRPr="0024117C">
        <w:rPr>
          <w:rFonts w:ascii="Times New Roman" w:hAnsi="Times New Roman"/>
          <w:b/>
          <w:noProof/>
        </w:rPr>
        <w:t>100</w:t>
      </w:r>
      <w:r w:rsidRPr="0024117C">
        <w:rPr>
          <w:rFonts w:ascii="Times New Roman" w:hAnsi="Times New Roman"/>
          <w:noProof/>
        </w:rPr>
        <w:t>(100)</w:t>
      </w:r>
      <w:r w:rsidRPr="0024117C">
        <w:rPr>
          <w:rFonts w:ascii="Times New Roman" w:hAnsi="Times New Roman"/>
          <w:b/>
          <w:noProof/>
        </w:rPr>
        <w:t>,</w:t>
      </w:r>
      <w:r w:rsidRPr="0024117C">
        <w:rPr>
          <w:rFonts w:ascii="Times New Roman" w:hAnsi="Times New Roman"/>
          <w:noProof/>
        </w:rPr>
        <w:t xml:space="preserve"> 100.</w:t>
      </w:r>
    </w:p>
    <w:p w:rsidR="00FB7C64" w:rsidRPr="008D5A97" w:rsidRDefault="00FB7C64" w:rsidP="00FB7C64">
      <w:pPr>
        <w:pStyle w:val="ListParagraph"/>
        <w:numPr>
          <w:ilvl w:val="0"/>
          <w:numId w:val="5"/>
        </w:numPr>
        <w:spacing w:line="480" w:lineRule="auto"/>
        <w:ind w:left="567" w:hanging="567"/>
        <w:jc w:val="both"/>
      </w:pPr>
      <w:r w:rsidRPr="0024117C">
        <w:rPr>
          <w:rFonts w:ascii="Times New Roman" w:hAnsi="Times New Roman"/>
          <w:noProof/>
        </w:rPr>
        <w:t xml:space="preserve">Turnbull, D.J. and Schouten, P.W. (2008) Utilising polyphenylene oxide for high exposure solar UVA dosimetry. </w:t>
      </w:r>
      <w:r w:rsidRPr="0024117C">
        <w:rPr>
          <w:rFonts w:ascii="Times New Roman" w:hAnsi="Times New Roman"/>
          <w:i/>
          <w:noProof/>
        </w:rPr>
        <w:t>Atmos. Chem. Phys.</w:t>
      </w:r>
      <w:r w:rsidRPr="0024117C">
        <w:rPr>
          <w:rFonts w:ascii="Times New Roman" w:hAnsi="Times New Roman"/>
          <w:noProof/>
        </w:rPr>
        <w:t xml:space="preserve"> </w:t>
      </w:r>
      <w:r w:rsidRPr="0024117C">
        <w:rPr>
          <w:rFonts w:ascii="Times New Roman" w:hAnsi="Times New Roman"/>
          <w:b/>
          <w:noProof/>
        </w:rPr>
        <w:t>8</w:t>
      </w:r>
      <w:r w:rsidRPr="0024117C">
        <w:rPr>
          <w:rFonts w:ascii="Times New Roman" w:hAnsi="Times New Roman"/>
          <w:noProof/>
        </w:rPr>
        <w:t>(10)</w:t>
      </w:r>
      <w:r w:rsidRPr="0024117C">
        <w:rPr>
          <w:rFonts w:ascii="Times New Roman" w:hAnsi="Times New Roman"/>
          <w:b/>
          <w:noProof/>
        </w:rPr>
        <w:t>,</w:t>
      </w:r>
      <w:r w:rsidRPr="0024117C">
        <w:rPr>
          <w:rFonts w:ascii="Times New Roman" w:hAnsi="Times New Roman"/>
          <w:noProof/>
        </w:rPr>
        <w:t xml:space="preserve"> 2759-2762.</w:t>
      </w:r>
    </w:p>
    <w:p w:rsidR="00FB7C64" w:rsidRPr="008D5A97" w:rsidRDefault="00FB7C64" w:rsidP="00FB7C64">
      <w:pPr>
        <w:pStyle w:val="ListParagraph"/>
        <w:numPr>
          <w:ilvl w:val="0"/>
          <w:numId w:val="5"/>
        </w:numPr>
        <w:spacing w:line="480" w:lineRule="auto"/>
        <w:ind w:left="567" w:hanging="567"/>
        <w:jc w:val="both"/>
      </w:pPr>
      <w:r w:rsidRPr="0024117C">
        <w:rPr>
          <w:rFonts w:ascii="Times New Roman" w:hAnsi="Times New Roman"/>
          <w:noProof/>
        </w:rPr>
        <w:t xml:space="preserve">Schouten, P.W., Parisi, A.V. and Turnbull, D.J. (2010) Usage of the polyphenylene oxide dosimeter to measure annual solar erythemal exposures. </w:t>
      </w:r>
      <w:r w:rsidRPr="0024117C">
        <w:rPr>
          <w:rFonts w:ascii="Times New Roman" w:hAnsi="Times New Roman"/>
          <w:i/>
          <w:noProof/>
        </w:rPr>
        <w:t>Photochemistry and Photobiology</w:t>
      </w:r>
      <w:r w:rsidRPr="0024117C">
        <w:rPr>
          <w:rFonts w:ascii="Times New Roman" w:hAnsi="Times New Roman"/>
          <w:noProof/>
        </w:rPr>
        <w:t xml:space="preserve"> </w:t>
      </w:r>
      <w:r w:rsidRPr="0024117C">
        <w:rPr>
          <w:rFonts w:ascii="Times New Roman" w:hAnsi="Times New Roman"/>
          <w:b/>
          <w:noProof/>
        </w:rPr>
        <w:t>86</w:t>
      </w:r>
      <w:r w:rsidRPr="0024117C">
        <w:rPr>
          <w:rFonts w:ascii="Times New Roman" w:hAnsi="Times New Roman"/>
          <w:noProof/>
        </w:rPr>
        <w:t>(3)</w:t>
      </w:r>
      <w:r w:rsidRPr="0024117C">
        <w:rPr>
          <w:rFonts w:ascii="Times New Roman" w:hAnsi="Times New Roman"/>
          <w:b/>
          <w:noProof/>
        </w:rPr>
        <w:t>,</w:t>
      </w:r>
      <w:r w:rsidRPr="0024117C">
        <w:rPr>
          <w:rFonts w:ascii="Times New Roman" w:hAnsi="Times New Roman"/>
          <w:noProof/>
        </w:rPr>
        <w:t xml:space="preserve"> 706-710.</w:t>
      </w:r>
    </w:p>
    <w:p w:rsidR="00FB7C64" w:rsidRPr="004626C5" w:rsidRDefault="00FB7C64" w:rsidP="00FB7C64">
      <w:pPr>
        <w:pStyle w:val="ListParagraph"/>
        <w:numPr>
          <w:ilvl w:val="0"/>
          <w:numId w:val="5"/>
        </w:numPr>
        <w:spacing w:line="480" w:lineRule="auto"/>
        <w:ind w:left="567" w:hanging="567"/>
        <w:jc w:val="both"/>
        <w:rPr>
          <w:rFonts w:ascii="Times New Roman" w:hAnsi="Times New Roman"/>
          <w:noProof/>
        </w:rPr>
      </w:pPr>
      <w:r w:rsidRPr="008D5A97">
        <w:rPr>
          <w:rFonts w:ascii="Times New Roman" w:hAnsi="Times New Roman"/>
          <w:noProof/>
        </w:rPr>
        <w:t xml:space="preserve">Schouten, P.W. and Parisi, A.V. (2012) Underwater deployment of the polyphenylene oxide dosimeter combined with a neutral density filter to measure long-term solar UVB exposures. </w:t>
      </w:r>
      <w:r w:rsidRPr="008D5A97">
        <w:rPr>
          <w:rFonts w:ascii="Times New Roman" w:hAnsi="Times New Roman"/>
          <w:i/>
          <w:noProof/>
        </w:rPr>
        <w:t>Journal of Photochemistry and Photobiology B Biology</w:t>
      </w:r>
      <w:r w:rsidRPr="008D5A97">
        <w:rPr>
          <w:rFonts w:ascii="Times New Roman" w:hAnsi="Times New Roman"/>
          <w:noProof/>
        </w:rPr>
        <w:t xml:space="preserve"> </w:t>
      </w:r>
      <w:r w:rsidRPr="008D5A97">
        <w:rPr>
          <w:rFonts w:ascii="Times New Roman" w:hAnsi="Times New Roman"/>
          <w:b/>
          <w:noProof/>
        </w:rPr>
        <w:t>112,</w:t>
      </w:r>
      <w:r w:rsidRPr="008D5A97">
        <w:rPr>
          <w:rFonts w:ascii="Times New Roman" w:hAnsi="Times New Roman"/>
          <w:noProof/>
        </w:rPr>
        <w:t xml:space="preserve"> 31-36.</w:t>
      </w:r>
    </w:p>
    <w:p w:rsidR="00FB7C64" w:rsidRPr="004626C5" w:rsidRDefault="00FB7C64" w:rsidP="00AE1474">
      <w:pPr>
        <w:pStyle w:val="ListParagraph"/>
        <w:numPr>
          <w:ilvl w:val="0"/>
          <w:numId w:val="5"/>
        </w:numPr>
        <w:spacing w:line="480" w:lineRule="auto"/>
        <w:ind w:left="567" w:hanging="567"/>
        <w:jc w:val="both"/>
        <w:rPr>
          <w:rFonts w:ascii="Times New Roman" w:hAnsi="Times New Roman"/>
          <w:noProof/>
        </w:rPr>
      </w:pPr>
      <w:r w:rsidRPr="004626C5">
        <w:rPr>
          <w:rFonts w:ascii="Times New Roman" w:hAnsi="Times New Roman"/>
          <w:noProof/>
        </w:rPr>
        <w:t xml:space="preserve">Cahoon, E.K., Wheeler, D.C., Kimlin, M.G., Kwok, R.K., Alexander, B.H., Little, M.P., Linet, M.S. and Freedman, D.M. (2013) Individual, environmental, and meteorological predictors of daily personal ultraviolet radiation exposure measurements in a United States </w:t>
      </w:r>
      <w:r w:rsidR="00AE1474" w:rsidRPr="004626C5">
        <w:rPr>
          <w:rFonts w:ascii="Times New Roman" w:hAnsi="Times New Roman"/>
          <w:noProof/>
        </w:rPr>
        <w:t>c</w:t>
      </w:r>
      <w:r w:rsidRPr="004626C5">
        <w:rPr>
          <w:rFonts w:ascii="Times New Roman" w:hAnsi="Times New Roman"/>
          <w:noProof/>
        </w:rPr>
        <w:t xml:space="preserve">ohort </w:t>
      </w:r>
      <w:r w:rsidR="00AE1474" w:rsidRPr="004626C5">
        <w:rPr>
          <w:rFonts w:ascii="Times New Roman" w:hAnsi="Times New Roman"/>
          <w:noProof/>
        </w:rPr>
        <w:t>s</w:t>
      </w:r>
      <w:r w:rsidRPr="004626C5">
        <w:rPr>
          <w:rFonts w:ascii="Times New Roman" w:hAnsi="Times New Roman"/>
          <w:noProof/>
        </w:rPr>
        <w:t xml:space="preserve">tudy. </w:t>
      </w:r>
      <w:r w:rsidRPr="004626C5">
        <w:rPr>
          <w:rFonts w:ascii="Times New Roman" w:hAnsi="Times New Roman"/>
          <w:i/>
          <w:noProof/>
        </w:rPr>
        <w:t>PLoS ONE</w:t>
      </w:r>
      <w:r w:rsidRPr="004626C5">
        <w:rPr>
          <w:rFonts w:ascii="Times New Roman" w:hAnsi="Times New Roman"/>
          <w:noProof/>
        </w:rPr>
        <w:t xml:space="preserve"> </w:t>
      </w:r>
      <w:r w:rsidRPr="004626C5">
        <w:rPr>
          <w:rFonts w:ascii="Times New Roman" w:hAnsi="Times New Roman"/>
          <w:b/>
          <w:noProof/>
        </w:rPr>
        <w:t>8</w:t>
      </w:r>
      <w:r w:rsidRPr="004626C5">
        <w:rPr>
          <w:rFonts w:ascii="Times New Roman" w:hAnsi="Times New Roman"/>
          <w:noProof/>
        </w:rPr>
        <w:t>(2)</w:t>
      </w:r>
      <w:r w:rsidRPr="004626C5">
        <w:rPr>
          <w:rFonts w:ascii="Times New Roman" w:hAnsi="Times New Roman"/>
          <w:b/>
          <w:noProof/>
        </w:rPr>
        <w:t>,</w:t>
      </w:r>
      <w:r w:rsidRPr="004626C5">
        <w:rPr>
          <w:rFonts w:ascii="Times New Roman" w:hAnsi="Times New Roman"/>
          <w:noProof/>
        </w:rPr>
        <w:t xml:space="preserve"> e54983.</w:t>
      </w:r>
    </w:p>
    <w:p w:rsidR="00AE1474" w:rsidRPr="004626C5" w:rsidRDefault="00AE1474" w:rsidP="00FB7C64">
      <w:pPr>
        <w:pStyle w:val="ListParagraph"/>
        <w:numPr>
          <w:ilvl w:val="0"/>
          <w:numId w:val="5"/>
        </w:numPr>
        <w:spacing w:line="480" w:lineRule="auto"/>
        <w:ind w:left="567" w:hanging="567"/>
        <w:jc w:val="both"/>
        <w:rPr>
          <w:rFonts w:ascii="Times New Roman" w:hAnsi="Times New Roman"/>
          <w:noProof/>
        </w:rPr>
      </w:pPr>
      <w:r w:rsidRPr="004626C5">
        <w:rPr>
          <w:rFonts w:ascii="Times New Roman" w:hAnsi="Times New Roman"/>
          <w:noProof/>
        </w:rPr>
        <w:t>WHO (1979) Environmental health criteria 14: Ultraviolet radiation. Geneva.</w:t>
      </w:r>
    </w:p>
    <w:p w:rsidR="00AE1474" w:rsidRPr="004626C5" w:rsidRDefault="00AE1474" w:rsidP="00FB7C64">
      <w:pPr>
        <w:pStyle w:val="ListParagraph"/>
        <w:numPr>
          <w:ilvl w:val="0"/>
          <w:numId w:val="5"/>
        </w:numPr>
        <w:spacing w:line="480" w:lineRule="auto"/>
        <w:ind w:left="567" w:hanging="567"/>
        <w:jc w:val="both"/>
        <w:rPr>
          <w:rFonts w:ascii="Times New Roman" w:hAnsi="Times New Roman"/>
          <w:noProof/>
        </w:rPr>
      </w:pPr>
      <w:r w:rsidRPr="004626C5">
        <w:rPr>
          <w:rFonts w:ascii="Times New Roman" w:hAnsi="Times New Roman"/>
          <w:noProof/>
        </w:rPr>
        <w:t xml:space="preserve">Norval, M., Lucas, R., Cullen, A., De Gruijl, F., Longstreth, J., Takizawa, Y. and Van Der Leun, J. (2011) The human health effects of ozone depletion and interactions with climate change. </w:t>
      </w:r>
      <w:r w:rsidRPr="004626C5">
        <w:rPr>
          <w:rFonts w:ascii="Times New Roman" w:hAnsi="Times New Roman"/>
          <w:i/>
          <w:noProof/>
        </w:rPr>
        <w:t>Photochemical &amp; Photobiological Sciences</w:t>
      </w:r>
      <w:r w:rsidRPr="004626C5">
        <w:rPr>
          <w:rFonts w:ascii="Times New Roman" w:hAnsi="Times New Roman"/>
          <w:noProof/>
        </w:rPr>
        <w:t xml:space="preserve"> </w:t>
      </w:r>
      <w:r w:rsidRPr="004626C5">
        <w:rPr>
          <w:rFonts w:ascii="Times New Roman" w:hAnsi="Times New Roman"/>
          <w:b/>
          <w:noProof/>
        </w:rPr>
        <w:t>10</w:t>
      </w:r>
      <w:r w:rsidRPr="004626C5">
        <w:rPr>
          <w:rFonts w:ascii="Times New Roman" w:hAnsi="Times New Roman"/>
          <w:noProof/>
        </w:rPr>
        <w:t>(2)</w:t>
      </w:r>
      <w:r w:rsidRPr="004626C5">
        <w:rPr>
          <w:rFonts w:ascii="Times New Roman" w:hAnsi="Times New Roman"/>
          <w:b/>
          <w:noProof/>
        </w:rPr>
        <w:t>,</w:t>
      </w:r>
      <w:r w:rsidRPr="004626C5">
        <w:rPr>
          <w:rFonts w:ascii="Times New Roman" w:hAnsi="Times New Roman"/>
          <w:noProof/>
        </w:rPr>
        <w:t xml:space="preserve"> 199-225.</w:t>
      </w:r>
    </w:p>
    <w:p w:rsidR="00AE1474" w:rsidRPr="004626C5" w:rsidRDefault="00C66189" w:rsidP="004626C5">
      <w:pPr>
        <w:pStyle w:val="ListParagraph"/>
        <w:numPr>
          <w:ilvl w:val="0"/>
          <w:numId w:val="5"/>
        </w:numPr>
        <w:spacing w:line="480" w:lineRule="auto"/>
        <w:ind w:left="567" w:hanging="567"/>
        <w:jc w:val="both"/>
        <w:rPr>
          <w:rFonts w:ascii="Times New Roman" w:hAnsi="Times New Roman"/>
          <w:noProof/>
        </w:rPr>
      </w:pPr>
      <w:r w:rsidRPr="006E4D75">
        <w:rPr>
          <w:rFonts w:ascii="Times New Roman" w:hAnsi="Times New Roman"/>
          <w:noProof/>
        </w:rPr>
        <w:t xml:space="preserve">Asokan, R.R.S.L.V.R. (2012) Prevalence and associated factors for pterygium and pinguecula in a South Indian population. </w:t>
      </w:r>
      <w:r w:rsidRPr="006E4D75">
        <w:rPr>
          <w:rFonts w:ascii="Times New Roman" w:hAnsi="Times New Roman"/>
          <w:i/>
          <w:noProof/>
        </w:rPr>
        <w:t>Ophthalmic &amp; Physiological Optics</w:t>
      </w:r>
      <w:r w:rsidRPr="006E4D75">
        <w:rPr>
          <w:rFonts w:ascii="Times New Roman" w:hAnsi="Times New Roman"/>
          <w:noProof/>
        </w:rPr>
        <w:t xml:space="preserve"> </w:t>
      </w:r>
      <w:r w:rsidRPr="006E4D75">
        <w:rPr>
          <w:rFonts w:ascii="Times New Roman" w:hAnsi="Times New Roman"/>
          <w:b/>
          <w:noProof/>
        </w:rPr>
        <w:t>32</w:t>
      </w:r>
      <w:r w:rsidRPr="006E4D75">
        <w:rPr>
          <w:rFonts w:ascii="Times New Roman" w:hAnsi="Times New Roman"/>
          <w:noProof/>
        </w:rPr>
        <w:t>(1)</w:t>
      </w:r>
      <w:r w:rsidRPr="006E4D75">
        <w:rPr>
          <w:rFonts w:ascii="Times New Roman" w:hAnsi="Times New Roman"/>
          <w:b/>
          <w:noProof/>
        </w:rPr>
        <w:t>,</w:t>
      </w:r>
      <w:r w:rsidRPr="006E4D75">
        <w:rPr>
          <w:rFonts w:ascii="Times New Roman" w:hAnsi="Times New Roman"/>
          <w:noProof/>
        </w:rPr>
        <w:t xml:space="preserve"> 39-44.</w:t>
      </w:r>
    </w:p>
    <w:p w:rsidR="00AE1474" w:rsidRPr="004626C5" w:rsidRDefault="00C66189" w:rsidP="00C66189">
      <w:pPr>
        <w:pStyle w:val="ListParagraph"/>
        <w:numPr>
          <w:ilvl w:val="0"/>
          <w:numId w:val="5"/>
        </w:numPr>
        <w:spacing w:line="480" w:lineRule="auto"/>
        <w:ind w:left="567" w:hanging="567"/>
        <w:jc w:val="both"/>
        <w:rPr>
          <w:rFonts w:ascii="Times New Roman" w:hAnsi="Times New Roman"/>
          <w:noProof/>
        </w:rPr>
      </w:pPr>
      <w:r w:rsidRPr="006E4D75">
        <w:rPr>
          <w:rFonts w:ascii="Times New Roman" w:hAnsi="Times New Roman"/>
          <w:noProof/>
        </w:rPr>
        <w:lastRenderedPageBreak/>
        <w:t>Wang, Y., Yu, J., Gao, Q., Hu, L., Gao, N., Gong, H. and Liu, Y. (2012) The relationship between the disability prevalence of cataracts and ambient erythemal</w:t>
      </w:r>
      <w:r>
        <w:rPr>
          <w:rFonts w:ascii="Times New Roman" w:hAnsi="Times New Roman"/>
          <w:noProof/>
        </w:rPr>
        <w:t xml:space="preserve"> ultraviolet radiation in China. </w:t>
      </w:r>
      <w:proofErr w:type="spellStart"/>
      <w:r w:rsidRPr="00C66189">
        <w:rPr>
          <w:rFonts w:ascii="Times New Roman" w:hAnsi="Times New Roman"/>
          <w:i/>
          <w:iCs/>
          <w:color w:val="333333"/>
          <w:shd w:val="clear" w:color="auto" w:fill="FFFFFF"/>
        </w:rPr>
        <w:t>PLoS</w:t>
      </w:r>
      <w:proofErr w:type="spellEnd"/>
      <w:r w:rsidRPr="00C66189">
        <w:rPr>
          <w:rFonts w:ascii="Times New Roman" w:hAnsi="Times New Roman"/>
          <w:i/>
          <w:iCs/>
          <w:color w:val="333333"/>
          <w:shd w:val="clear" w:color="auto" w:fill="FFFFFF"/>
        </w:rPr>
        <w:t xml:space="preserve"> ONE</w:t>
      </w:r>
      <w:r w:rsidRPr="006E4D75">
        <w:rPr>
          <w:rFonts w:ascii="Times New Roman" w:hAnsi="Times New Roman"/>
          <w:noProof/>
        </w:rPr>
        <w:t xml:space="preserve"> </w:t>
      </w:r>
      <w:r w:rsidRPr="00C66189">
        <w:rPr>
          <w:rFonts w:ascii="Times New Roman" w:hAnsi="Times New Roman"/>
          <w:b/>
          <w:noProof/>
        </w:rPr>
        <w:t>7</w:t>
      </w:r>
      <w:r>
        <w:rPr>
          <w:rFonts w:ascii="Times New Roman" w:hAnsi="Times New Roman"/>
          <w:noProof/>
        </w:rPr>
        <w:t>(11), 1-8.</w:t>
      </w:r>
    </w:p>
    <w:p w:rsidR="00FB7C64" w:rsidRPr="004626C5" w:rsidRDefault="00FB7C64" w:rsidP="00FB7C64">
      <w:pPr>
        <w:pStyle w:val="ListParagraph"/>
        <w:numPr>
          <w:ilvl w:val="0"/>
          <w:numId w:val="5"/>
        </w:numPr>
        <w:spacing w:line="480" w:lineRule="auto"/>
        <w:ind w:left="567" w:hanging="567"/>
        <w:jc w:val="both"/>
        <w:rPr>
          <w:rFonts w:ascii="Times New Roman" w:hAnsi="Times New Roman"/>
          <w:noProof/>
        </w:rPr>
      </w:pPr>
      <w:r w:rsidRPr="004626C5">
        <w:rPr>
          <w:rFonts w:ascii="Times New Roman" w:hAnsi="Times New Roman"/>
          <w:noProof/>
        </w:rPr>
        <w:t xml:space="preserve">Amar, A. and Parisi, A.V. (2012) Investigation of unstabilized polyvinyl chloride (PVC) for use as a long-term UV dosimeter: preliminary results. </w:t>
      </w:r>
      <w:r w:rsidRPr="004626C5">
        <w:rPr>
          <w:rFonts w:ascii="Times New Roman" w:hAnsi="Times New Roman"/>
          <w:i/>
          <w:noProof/>
        </w:rPr>
        <w:t>Measurement Science and Technology</w:t>
      </w:r>
      <w:r w:rsidRPr="004626C5">
        <w:rPr>
          <w:rFonts w:ascii="Times New Roman" w:hAnsi="Times New Roman"/>
          <w:noProof/>
        </w:rPr>
        <w:t xml:space="preserve"> </w:t>
      </w:r>
      <w:r w:rsidRPr="004626C5">
        <w:rPr>
          <w:rFonts w:ascii="Times New Roman" w:hAnsi="Times New Roman"/>
          <w:b/>
          <w:noProof/>
        </w:rPr>
        <w:t>23</w:t>
      </w:r>
      <w:r w:rsidRPr="004626C5">
        <w:rPr>
          <w:rFonts w:ascii="Times New Roman" w:hAnsi="Times New Roman"/>
          <w:noProof/>
        </w:rPr>
        <w:t>(8)</w:t>
      </w:r>
      <w:r w:rsidRPr="004626C5">
        <w:rPr>
          <w:rFonts w:ascii="Times New Roman" w:hAnsi="Times New Roman"/>
          <w:b/>
          <w:noProof/>
        </w:rPr>
        <w:t>,</w:t>
      </w:r>
      <w:r w:rsidRPr="004626C5">
        <w:rPr>
          <w:rFonts w:ascii="Times New Roman" w:hAnsi="Times New Roman"/>
          <w:noProof/>
        </w:rPr>
        <w:t xml:space="preserve"> 1-7.</w:t>
      </w:r>
    </w:p>
    <w:p w:rsidR="00FB7C64" w:rsidRPr="004626C5" w:rsidRDefault="00FB7C64" w:rsidP="00FB7C64">
      <w:pPr>
        <w:pStyle w:val="ListParagraph"/>
        <w:numPr>
          <w:ilvl w:val="0"/>
          <w:numId w:val="5"/>
        </w:numPr>
        <w:spacing w:line="480" w:lineRule="auto"/>
        <w:ind w:left="567" w:hanging="567"/>
        <w:jc w:val="both"/>
        <w:rPr>
          <w:rFonts w:ascii="Times New Roman" w:hAnsi="Times New Roman"/>
          <w:noProof/>
        </w:rPr>
      </w:pPr>
      <w:r w:rsidRPr="004626C5">
        <w:rPr>
          <w:rFonts w:ascii="Times New Roman" w:hAnsi="Times New Roman"/>
          <w:noProof/>
        </w:rPr>
        <w:t xml:space="preserve">Amar, A. and Parisi, A.V. (2013) Spectral response of solvent-cast polyvinyl chloride (PVC) thin film used as a long-term UV dosimeter. </w:t>
      </w:r>
      <w:r w:rsidRPr="004626C5">
        <w:rPr>
          <w:rFonts w:ascii="Times New Roman" w:hAnsi="Times New Roman"/>
          <w:i/>
          <w:noProof/>
        </w:rPr>
        <w:t>Journal of Photochemistry and Photobiology B: Biology</w:t>
      </w:r>
      <w:r w:rsidRPr="004626C5">
        <w:rPr>
          <w:rFonts w:ascii="Times New Roman" w:hAnsi="Times New Roman"/>
          <w:noProof/>
        </w:rPr>
        <w:t xml:space="preserve"> </w:t>
      </w:r>
      <w:r w:rsidRPr="004626C5">
        <w:rPr>
          <w:rFonts w:ascii="Times New Roman" w:hAnsi="Times New Roman"/>
          <w:b/>
          <w:noProof/>
        </w:rPr>
        <w:t>125,</w:t>
      </w:r>
      <w:r w:rsidRPr="004626C5">
        <w:rPr>
          <w:rFonts w:ascii="Times New Roman" w:hAnsi="Times New Roman"/>
          <w:noProof/>
        </w:rPr>
        <w:t xml:space="preserve"> 115-120.</w:t>
      </w:r>
    </w:p>
    <w:p w:rsidR="00FB7C64" w:rsidRPr="004626C5" w:rsidRDefault="00FB7C64" w:rsidP="00FB7C64">
      <w:pPr>
        <w:pStyle w:val="ListParagraph"/>
        <w:numPr>
          <w:ilvl w:val="0"/>
          <w:numId w:val="5"/>
        </w:numPr>
        <w:spacing w:line="480" w:lineRule="auto"/>
        <w:ind w:left="567" w:hanging="567"/>
        <w:jc w:val="both"/>
        <w:rPr>
          <w:rFonts w:ascii="Times New Roman" w:hAnsi="Times New Roman"/>
          <w:noProof/>
        </w:rPr>
      </w:pPr>
      <w:r w:rsidRPr="004626C5">
        <w:rPr>
          <w:rFonts w:ascii="Times New Roman" w:hAnsi="Times New Roman"/>
          <w:noProof/>
        </w:rPr>
        <w:t xml:space="preserve">ICNIRP (2007) Protecting workers from ultraviolet radiation In </w:t>
      </w:r>
      <w:r w:rsidRPr="004626C5">
        <w:rPr>
          <w:rFonts w:ascii="Times New Roman" w:hAnsi="Times New Roman"/>
          <w:i/>
          <w:noProof/>
        </w:rPr>
        <w:t>International Commission on Non-Ionizing Radiation Protection   ICNIRP 14/2007</w:t>
      </w:r>
      <w:r w:rsidRPr="004626C5">
        <w:rPr>
          <w:rFonts w:ascii="Times New Roman" w:hAnsi="Times New Roman"/>
          <w:noProof/>
        </w:rPr>
        <w:t>, (Edited by Vecchia, P., Hietanen, M., Stuck, B.E., Deventer, E.V. and Niu, S.). , Germany.</w:t>
      </w:r>
    </w:p>
    <w:p w:rsidR="00FB7C64" w:rsidRPr="004626C5" w:rsidRDefault="00FB7C64" w:rsidP="00FB7C64">
      <w:pPr>
        <w:pStyle w:val="ListParagraph"/>
        <w:numPr>
          <w:ilvl w:val="0"/>
          <w:numId w:val="5"/>
        </w:numPr>
        <w:spacing w:line="480" w:lineRule="auto"/>
        <w:ind w:left="567" w:hanging="567"/>
        <w:jc w:val="both"/>
        <w:rPr>
          <w:rFonts w:ascii="Times New Roman" w:hAnsi="Times New Roman"/>
          <w:noProof/>
        </w:rPr>
      </w:pPr>
      <w:r w:rsidRPr="004626C5">
        <w:rPr>
          <w:rFonts w:ascii="Times New Roman" w:hAnsi="Times New Roman"/>
          <w:noProof/>
        </w:rPr>
        <w:t xml:space="preserve">Wong, J.C.F. and Parisi, A.V. (1998) Assessment of ultraviolet radiation exposures in photobiological experiments: Protection against the hazards of UVR. In </w:t>
      </w:r>
      <w:r w:rsidRPr="004626C5">
        <w:rPr>
          <w:rFonts w:ascii="Times New Roman" w:hAnsi="Times New Roman"/>
          <w:i/>
          <w:noProof/>
        </w:rPr>
        <w:t>Protection Against the Hazards of UVR</w:t>
      </w:r>
      <w:r w:rsidRPr="004626C5">
        <w:rPr>
          <w:rFonts w:ascii="Times New Roman" w:hAnsi="Times New Roman"/>
          <w:noProof/>
        </w:rPr>
        <w:t>. Internet Photochemistry and Photobiology.</w:t>
      </w:r>
    </w:p>
    <w:p w:rsidR="00FB7C64" w:rsidRPr="004626C5" w:rsidRDefault="00FB7C64" w:rsidP="00FB7C64">
      <w:pPr>
        <w:pStyle w:val="ListParagraph"/>
        <w:numPr>
          <w:ilvl w:val="0"/>
          <w:numId w:val="5"/>
        </w:numPr>
        <w:spacing w:line="480" w:lineRule="auto"/>
        <w:ind w:left="567" w:hanging="567"/>
        <w:jc w:val="both"/>
      </w:pPr>
      <w:r w:rsidRPr="004626C5">
        <w:rPr>
          <w:rFonts w:ascii="Times New Roman" w:hAnsi="Times New Roman"/>
          <w:noProof/>
        </w:rPr>
        <w:t xml:space="preserve">Zweifel, H., Maier, R. and Schiller, M. (2009) </w:t>
      </w:r>
      <w:r w:rsidRPr="004626C5">
        <w:rPr>
          <w:rFonts w:ascii="Times New Roman" w:hAnsi="Times New Roman"/>
          <w:i/>
          <w:noProof/>
        </w:rPr>
        <w:t xml:space="preserve">Plastics Additives Handbook. </w:t>
      </w:r>
      <w:r w:rsidRPr="004626C5">
        <w:rPr>
          <w:rFonts w:ascii="Times New Roman" w:hAnsi="Times New Roman"/>
          <w:noProof/>
        </w:rPr>
        <w:t>Hanser Publeshers, Munich.</w:t>
      </w:r>
    </w:p>
    <w:p w:rsidR="00FB7C64" w:rsidRPr="004626C5" w:rsidRDefault="00FB7C64" w:rsidP="00FB7C64">
      <w:pPr>
        <w:pStyle w:val="ListParagraph"/>
        <w:numPr>
          <w:ilvl w:val="0"/>
          <w:numId w:val="5"/>
        </w:numPr>
        <w:spacing w:line="480" w:lineRule="auto"/>
        <w:ind w:left="567" w:hanging="567"/>
        <w:jc w:val="both"/>
      </w:pPr>
      <w:r w:rsidRPr="004626C5">
        <w:rPr>
          <w:rFonts w:ascii="Times New Roman" w:hAnsi="Times New Roman"/>
          <w:noProof/>
        </w:rPr>
        <w:t xml:space="preserve">Wypych, G. (2008) </w:t>
      </w:r>
      <w:r w:rsidRPr="004626C5">
        <w:rPr>
          <w:rFonts w:ascii="Times New Roman" w:hAnsi="Times New Roman"/>
          <w:i/>
          <w:noProof/>
        </w:rPr>
        <w:t xml:space="preserve">PVC degradation &amp; stabilization. </w:t>
      </w:r>
      <w:r w:rsidRPr="004626C5">
        <w:rPr>
          <w:rFonts w:ascii="Times New Roman" w:hAnsi="Times New Roman"/>
          <w:noProof/>
        </w:rPr>
        <w:t>ChemTec Publishing, Toronto.</w:t>
      </w:r>
    </w:p>
    <w:p w:rsidR="00FB7C64" w:rsidRPr="004626C5" w:rsidRDefault="00FB7C64" w:rsidP="00FB7C64">
      <w:pPr>
        <w:pStyle w:val="ListParagraph"/>
        <w:numPr>
          <w:ilvl w:val="0"/>
          <w:numId w:val="5"/>
        </w:numPr>
        <w:spacing w:line="480" w:lineRule="auto"/>
        <w:ind w:left="567" w:hanging="567"/>
        <w:jc w:val="both"/>
      </w:pPr>
      <w:r w:rsidRPr="004626C5">
        <w:rPr>
          <w:rFonts w:ascii="Times New Roman" w:hAnsi="Times New Roman"/>
          <w:noProof/>
        </w:rPr>
        <w:t xml:space="preserve">Wypych, G. (1985) </w:t>
      </w:r>
      <w:r w:rsidRPr="004626C5">
        <w:rPr>
          <w:rFonts w:ascii="Times New Roman" w:hAnsi="Times New Roman"/>
          <w:i/>
          <w:noProof/>
        </w:rPr>
        <w:t xml:space="preserve">Polyvinyl chloride degradation / Jerzy Wypych. </w:t>
      </w:r>
      <w:r w:rsidRPr="004626C5">
        <w:rPr>
          <w:rFonts w:ascii="Times New Roman" w:hAnsi="Times New Roman"/>
          <w:noProof/>
        </w:rPr>
        <w:t>Elsevier, Amsterdam ; New York.</w:t>
      </w:r>
    </w:p>
    <w:p w:rsidR="00FB7C64" w:rsidRPr="004626C5" w:rsidRDefault="00FB7C64" w:rsidP="00FB7C64">
      <w:pPr>
        <w:pStyle w:val="ListParagraph"/>
        <w:numPr>
          <w:ilvl w:val="0"/>
          <w:numId w:val="5"/>
        </w:numPr>
        <w:spacing w:line="480" w:lineRule="auto"/>
        <w:ind w:left="567" w:hanging="567"/>
        <w:jc w:val="both"/>
        <w:rPr>
          <w:rFonts w:ascii="Times New Roman" w:hAnsi="Times New Roman"/>
          <w:noProof/>
        </w:rPr>
      </w:pPr>
      <w:r w:rsidRPr="004626C5">
        <w:rPr>
          <w:rFonts w:ascii="Times New Roman" w:hAnsi="Times New Roman"/>
          <w:noProof/>
        </w:rPr>
        <w:t>Maláč, J., Šimu</w:t>
      </w:r>
      <w:r w:rsidRPr="004626C5">
        <w:rPr>
          <w:rFonts w:ascii="Cambria Math" w:hAnsi="Cambria Math" w:cs="Cambria Math"/>
          <w:noProof/>
        </w:rPr>
        <w:t>̇</w:t>
      </w:r>
      <w:r w:rsidRPr="004626C5">
        <w:rPr>
          <w:rFonts w:ascii="Times New Roman" w:hAnsi="Times New Roman"/>
          <w:noProof/>
        </w:rPr>
        <w:t xml:space="preserve">nková, E. and Zelinger, J. (1969) Properties of PVC. I. Properties of PVC films prepared by casting and by precipitation. </w:t>
      </w:r>
      <w:r w:rsidRPr="004626C5">
        <w:rPr>
          <w:rFonts w:ascii="Times New Roman" w:hAnsi="Times New Roman"/>
          <w:i/>
          <w:noProof/>
        </w:rPr>
        <w:t>Journal of Polymer Science Part A-1: Polymer Chemistry</w:t>
      </w:r>
      <w:r w:rsidRPr="004626C5">
        <w:rPr>
          <w:rFonts w:ascii="Times New Roman" w:hAnsi="Times New Roman"/>
          <w:noProof/>
        </w:rPr>
        <w:t xml:space="preserve"> </w:t>
      </w:r>
      <w:r w:rsidRPr="004626C5">
        <w:rPr>
          <w:rFonts w:ascii="Times New Roman" w:hAnsi="Times New Roman"/>
          <w:b/>
          <w:noProof/>
        </w:rPr>
        <w:t>7</w:t>
      </w:r>
      <w:r w:rsidRPr="004626C5">
        <w:rPr>
          <w:rFonts w:ascii="Times New Roman" w:hAnsi="Times New Roman"/>
          <w:noProof/>
        </w:rPr>
        <w:t>(7)</w:t>
      </w:r>
      <w:r w:rsidRPr="004626C5">
        <w:rPr>
          <w:rFonts w:ascii="Times New Roman" w:hAnsi="Times New Roman"/>
          <w:b/>
          <w:noProof/>
        </w:rPr>
        <w:t>,</w:t>
      </w:r>
      <w:r w:rsidRPr="004626C5">
        <w:rPr>
          <w:rFonts w:ascii="Times New Roman" w:hAnsi="Times New Roman"/>
          <w:noProof/>
        </w:rPr>
        <w:t xml:space="preserve"> 1893-1904.</w:t>
      </w:r>
    </w:p>
    <w:p w:rsidR="00FB7C64" w:rsidRPr="004626C5" w:rsidRDefault="00FB7C64" w:rsidP="00FB7C64">
      <w:pPr>
        <w:pStyle w:val="ListParagraph"/>
        <w:numPr>
          <w:ilvl w:val="0"/>
          <w:numId w:val="5"/>
        </w:numPr>
        <w:spacing w:line="480" w:lineRule="auto"/>
        <w:ind w:left="567" w:hanging="567"/>
        <w:jc w:val="both"/>
        <w:rPr>
          <w:rFonts w:ascii="Times New Roman" w:hAnsi="Times New Roman"/>
          <w:noProof/>
        </w:rPr>
      </w:pPr>
      <w:r w:rsidRPr="004626C5">
        <w:rPr>
          <w:rFonts w:ascii="Times New Roman" w:hAnsi="Times New Roman"/>
          <w:noProof/>
        </w:rPr>
        <w:t xml:space="preserve">Parisi, A.V., Sabburg, J. and Kimlin, M.G. (2004) </w:t>
      </w:r>
      <w:r w:rsidRPr="004626C5">
        <w:rPr>
          <w:rFonts w:ascii="Times New Roman" w:hAnsi="Times New Roman"/>
          <w:i/>
          <w:noProof/>
        </w:rPr>
        <w:t xml:space="preserve">Scattered and filtered solar UV measurements </w:t>
      </w:r>
      <w:r w:rsidRPr="004626C5">
        <w:rPr>
          <w:rFonts w:ascii="Times New Roman" w:hAnsi="Times New Roman"/>
          <w:noProof/>
        </w:rPr>
        <w:t>Dordrecht ; London : Kluwer Academic, 2004.</w:t>
      </w:r>
    </w:p>
    <w:p w:rsidR="00FB7C64" w:rsidRPr="004626C5" w:rsidRDefault="00FB7C64" w:rsidP="00FB7C64">
      <w:pPr>
        <w:pStyle w:val="ListParagraph"/>
        <w:numPr>
          <w:ilvl w:val="0"/>
          <w:numId w:val="5"/>
        </w:numPr>
        <w:spacing w:line="480" w:lineRule="auto"/>
        <w:ind w:left="567" w:hanging="567"/>
        <w:jc w:val="both"/>
      </w:pPr>
      <w:r w:rsidRPr="004626C5">
        <w:rPr>
          <w:rFonts w:ascii="Times New Roman" w:hAnsi="Times New Roman"/>
          <w:noProof/>
        </w:rPr>
        <w:lastRenderedPageBreak/>
        <w:t xml:space="preserve">Butson, M.J., Cheung, T., Yu, P.K.N., Greenoak, D.A. and Gavin, E. (2000) Ultraviolet radiation dosimetry with radiochromic film. </w:t>
      </w:r>
      <w:r w:rsidRPr="004626C5">
        <w:rPr>
          <w:rFonts w:ascii="Times New Roman" w:hAnsi="Times New Roman"/>
          <w:i/>
          <w:noProof/>
        </w:rPr>
        <w:t>Physics in Medicine and Biology</w:t>
      </w:r>
      <w:r w:rsidRPr="004626C5">
        <w:rPr>
          <w:rFonts w:ascii="Times New Roman" w:hAnsi="Times New Roman"/>
          <w:noProof/>
        </w:rPr>
        <w:t xml:space="preserve"> </w:t>
      </w:r>
      <w:r w:rsidRPr="004626C5">
        <w:rPr>
          <w:rFonts w:ascii="Times New Roman" w:hAnsi="Times New Roman"/>
          <w:b/>
          <w:noProof/>
        </w:rPr>
        <w:t>45</w:t>
      </w:r>
      <w:r w:rsidRPr="004626C5">
        <w:rPr>
          <w:rFonts w:ascii="Times New Roman" w:hAnsi="Times New Roman"/>
          <w:noProof/>
        </w:rPr>
        <w:t>(7)</w:t>
      </w:r>
      <w:r w:rsidRPr="004626C5">
        <w:rPr>
          <w:rFonts w:ascii="Times New Roman" w:hAnsi="Times New Roman"/>
          <w:b/>
          <w:noProof/>
        </w:rPr>
        <w:t>,</w:t>
      </w:r>
      <w:r w:rsidRPr="004626C5">
        <w:rPr>
          <w:rFonts w:ascii="Times New Roman" w:hAnsi="Times New Roman"/>
          <w:noProof/>
        </w:rPr>
        <w:t xml:space="preserve"> 1863-1868.</w:t>
      </w:r>
    </w:p>
    <w:p w:rsidR="00FB7C64" w:rsidRPr="004626C5" w:rsidRDefault="00FB7C64" w:rsidP="00FB7C64">
      <w:pPr>
        <w:pStyle w:val="ListParagraph"/>
        <w:numPr>
          <w:ilvl w:val="0"/>
          <w:numId w:val="5"/>
        </w:numPr>
        <w:spacing w:line="480" w:lineRule="auto"/>
        <w:ind w:left="567" w:hanging="567"/>
        <w:jc w:val="both"/>
      </w:pPr>
      <w:r w:rsidRPr="004626C5">
        <w:rPr>
          <w:rFonts w:ascii="Times New Roman" w:hAnsi="Times New Roman"/>
          <w:noProof/>
        </w:rPr>
        <w:t xml:space="preserve">Diffey, B.L. (1989) Ultraviolet radiation dosimetery with Polysulphone film. In </w:t>
      </w:r>
      <w:r w:rsidRPr="004626C5">
        <w:rPr>
          <w:rFonts w:ascii="Times New Roman" w:hAnsi="Times New Roman"/>
          <w:i/>
          <w:noProof/>
        </w:rPr>
        <w:t xml:space="preserve">Radiation measurement in photobiology </w:t>
      </w:r>
      <w:r w:rsidRPr="004626C5">
        <w:rPr>
          <w:rFonts w:ascii="Times New Roman" w:hAnsi="Times New Roman"/>
          <w:noProof/>
        </w:rPr>
        <w:t>(Edited by Diffey, B.L.), pp. 135-159. Academic Press Limited, London.</w:t>
      </w:r>
    </w:p>
    <w:p w:rsidR="00FB7C64" w:rsidRPr="004626C5" w:rsidRDefault="00FB7C64" w:rsidP="00FB7C64">
      <w:pPr>
        <w:pStyle w:val="ListParagraph"/>
        <w:numPr>
          <w:ilvl w:val="0"/>
          <w:numId w:val="5"/>
        </w:numPr>
        <w:spacing w:line="480" w:lineRule="auto"/>
        <w:ind w:left="567" w:hanging="567"/>
        <w:jc w:val="both"/>
      </w:pPr>
      <w:r w:rsidRPr="004626C5">
        <w:rPr>
          <w:rFonts w:ascii="Times New Roman" w:hAnsi="Times New Roman"/>
          <w:noProof/>
        </w:rPr>
        <w:t xml:space="preserve">Parisi, A.V. and Kimlin, M. (2003) Extending the dynamic range of polysulphone for measuring UV exposures. In </w:t>
      </w:r>
      <w:r w:rsidRPr="004626C5">
        <w:rPr>
          <w:rFonts w:ascii="Times New Roman" w:hAnsi="Times New Roman"/>
          <w:i/>
          <w:noProof/>
        </w:rPr>
        <w:t>Ultraviolet Ground and Space based Measurements, Models, and Effects III</w:t>
      </w:r>
      <w:r w:rsidRPr="004626C5">
        <w:rPr>
          <w:rFonts w:ascii="Times New Roman" w:hAnsi="Times New Roman"/>
          <w:noProof/>
        </w:rPr>
        <w:t>, Vol. 5156. (Edited by Slusser, J.R., Herman, J.R. and Gao, W.), pp. 188-196. SPIE - The International Society for Optical Engineering, San Diago.</w:t>
      </w:r>
    </w:p>
    <w:p w:rsidR="00AE1474" w:rsidRPr="004626C5" w:rsidRDefault="00AE1474" w:rsidP="00FB7C64">
      <w:pPr>
        <w:pStyle w:val="ListParagraph"/>
        <w:numPr>
          <w:ilvl w:val="0"/>
          <w:numId w:val="5"/>
        </w:numPr>
        <w:spacing w:line="480" w:lineRule="auto"/>
        <w:ind w:left="567" w:hanging="567"/>
        <w:jc w:val="both"/>
      </w:pPr>
      <w:r w:rsidRPr="004626C5">
        <w:rPr>
          <w:rFonts w:ascii="Times New Roman" w:hAnsi="Times New Roman"/>
          <w:noProof/>
        </w:rPr>
        <w:t xml:space="preserve">Riva, A.n., Algaba, I.s., Pepió, M. and Prieto, R. (2009) Modeling the effects of color on the UV protection provided by cotton woven fabrics dyed with Azo Dyestuffs. </w:t>
      </w:r>
      <w:r w:rsidRPr="004626C5">
        <w:rPr>
          <w:rFonts w:ascii="Times New Roman" w:hAnsi="Times New Roman"/>
          <w:i/>
          <w:noProof/>
        </w:rPr>
        <w:t>Industrial &amp; Engineering Chemistry Research</w:t>
      </w:r>
      <w:r w:rsidRPr="004626C5">
        <w:rPr>
          <w:rFonts w:ascii="Times New Roman" w:hAnsi="Times New Roman"/>
          <w:noProof/>
        </w:rPr>
        <w:t xml:space="preserve"> </w:t>
      </w:r>
      <w:r w:rsidRPr="004626C5">
        <w:rPr>
          <w:rFonts w:ascii="Times New Roman" w:hAnsi="Times New Roman"/>
          <w:b/>
          <w:noProof/>
        </w:rPr>
        <w:t>48</w:t>
      </w:r>
      <w:r w:rsidRPr="004626C5">
        <w:rPr>
          <w:rFonts w:ascii="Times New Roman" w:hAnsi="Times New Roman"/>
          <w:noProof/>
        </w:rPr>
        <w:t>(22)</w:t>
      </w:r>
      <w:r w:rsidRPr="004626C5">
        <w:rPr>
          <w:rFonts w:ascii="Times New Roman" w:hAnsi="Times New Roman"/>
          <w:b/>
          <w:noProof/>
        </w:rPr>
        <w:t>,</w:t>
      </w:r>
      <w:r w:rsidRPr="004626C5">
        <w:rPr>
          <w:rFonts w:ascii="Times New Roman" w:hAnsi="Times New Roman"/>
          <w:noProof/>
        </w:rPr>
        <w:t xml:space="preserve"> 9817-9822.</w:t>
      </w:r>
    </w:p>
    <w:p w:rsidR="00AE1474" w:rsidRPr="004626C5" w:rsidRDefault="00AE1474" w:rsidP="00FB7C64">
      <w:pPr>
        <w:pStyle w:val="ListParagraph"/>
        <w:numPr>
          <w:ilvl w:val="0"/>
          <w:numId w:val="5"/>
        </w:numPr>
        <w:spacing w:line="480" w:lineRule="auto"/>
        <w:ind w:left="567" w:hanging="567"/>
        <w:jc w:val="both"/>
      </w:pPr>
      <w:r w:rsidRPr="004626C5">
        <w:rPr>
          <w:rFonts w:ascii="Times New Roman" w:hAnsi="Times New Roman"/>
          <w:noProof/>
        </w:rPr>
        <w:t xml:space="preserve">Lester, R.A. and Parisi, A.V. (2002) Spectral ultraviolet albedo of roofing surfaces and human facial exposure. </w:t>
      </w:r>
      <w:r w:rsidRPr="004626C5">
        <w:rPr>
          <w:rFonts w:ascii="Times New Roman" w:hAnsi="Times New Roman"/>
          <w:i/>
          <w:noProof/>
        </w:rPr>
        <w:t>International Journal of Environmental Health Research</w:t>
      </w:r>
      <w:r w:rsidRPr="004626C5">
        <w:rPr>
          <w:rFonts w:ascii="Times New Roman" w:hAnsi="Times New Roman"/>
          <w:noProof/>
        </w:rPr>
        <w:t xml:space="preserve"> </w:t>
      </w:r>
      <w:r w:rsidRPr="004626C5">
        <w:rPr>
          <w:rFonts w:ascii="Times New Roman" w:hAnsi="Times New Roman"/>
          <w:b/>
          <w:noProof/>
        </w:rPr>
        <w:t>12</w:t>
      </w:r>
      <w:r w:rsidRPr="004626C5">
        <w:rPr>
          <w:rFonts w:ascii="Times New Roman" w:hAnsi="Times New Roman"/>
          <w:noProof/>
        </w:rPr>
        <w:t>(1)</w:t>
      </w:r>
      <w:r w:rsidRPr="004626C5">
        <w:rPr>
          <w:rFonts w:ascii="Times New Roman" w:hAnsi="Times New Roman"/>
          <w:b/>
          <w:noProof/>
        </w:rPr>
        <w:t>,</w:t>
      </w:r>
      <w:r w:rsidRPr="004626C5">
        <w:rPr>
          <w:rFonts w:ascii="Times New Roman" w:hAnsi="Times New Roman"/>
          <w:noProof/>
        </w:rPr>
        <w:t xml:space="preserve"> 75-81.</w:t>
      </w:r>
    </w:p>
    <w:p w:rsidR="00FB7C64" w:rsidRPr="004626C5" w:rsidRDefault="00FB7C64" w:rsidP="00FB7C64">
      <w:pPr>
        <w:pStyle w:val="ListParagraph"/>
        <w:numPr>
          <w:ilvl w:val="0"/>
          <w:numId w:val="5"/>
        </w:numPr>
        <w:spacing w:line="480" w:lineRule="auto"/>
        <w:ind w:left="567" w:hanging="567"/>
        <w:jc w:val="both"/>
      </w:pPr>
      <w:r w:rsidRPr="004626C5">
        <w:rPr>
          <w:rFonts w:ascii="Times New Roman" w:hAnsi="Times New Roman"/>
          <w:noProof/>
        </w:rPr>
        <w:t xml:space="preserve">Sobolewski, P., Krzyścin, J.W., Jaroslawski, J. and Stebel, K. (2008) Measurements of UV radiation on rotating vertical plane at the ALOMAR Observatory (69&amp;deg; N, 16&amp;deg; E), Norway, June 2007. </w:t>
      </w:r>
      <w:r w:rsidRPr="004626C5">
        <w:rPr>
          <w:rFonts w:ascii="Times New Roman" w:hAnsi="Times New Roman"/>
          <w:i/>
          <w:noProof/>
        </w:rPr>
        <w:t>Atmos. Chem. Phys.</w:t>
      </w:r>
      <w:r w:rsidRPr="004626C5">
        <w:rPr>
          <w:rFonts w:ascii="Times New Roman" w:hAnsi="Times New Roman"/>
          <w:noProof/>
        </w:rPr>
        <w:t xml:space="preserve"> </w:t>
      </w:r>
      <w:r w:rsidRPr="004626C5">
        <w:rPr>
          <w:rFonts w:ascii="Times New Roman" w:hAnsi="Times New Roman"/>
          <w:b/>
          <w:noProof/>
        </w:rPr>
        <w:t>8</w:t>
      </w:r>
      <w:r w:rsidRPr="004626C5">
        <w:rPr>
          <w:rFonts w:ascii="Times New Roman" w:hAnsi="Times New Roman"/>
          <w:noProof/>
        </w:rPr>
        <w:t>(12)</w:t>
      </w:r>
      <w:r w:rsidRPr="004626C5">
        <w:rPr>
          <w:rFonts w:ascii="Times New Roman" w:hAnsi="Times New Roman"/>
          <w:b/>
          <w:noProof/>
        </w:rPr>
        <w:t>,</w:t>
      </w:r>
      <w:r w:rsidRPr="004626C5">
        <w:rPr>
          <w:rFonts w:ascii="Times New Roman" w:hAnsi="Times New Roman"/>
          <w:noProof/>
        </w:rPr>
        <w:t xml:space="preserve"> 3033-3043.</w:t>
      </w:r>
    </w:p>
    <w:p w:rsidR="00FB7C64" w:rsidRPr="004626C5" w:rsidRDefault="00FB7C64" w:rsidP="00FB7C64">
      <w:pPr>
        <w:pStyle w:val="ListParagraph"/>
        <w:numPr>
          <w:ilvl w:val="0"/>
          <w:numId w:val="5"/>
        </w:numPr>
        <w:spacing w:line="480" w:lineRule="auto"/>
        <w:ind w:left="567" w:hanging="567"/>
        <w:jc w:val="both"/>
      </w:pPr>
      <w:r w:rsidRPr="004626C5">
        <w:rPr>
          <w:rFonts w:ascii="Times New Roman" w:hAnsi="Times New Roman"/>
          <w:noProof/>
        </w:rPr>
        <w:t xml:space="preserve">Diffey, B.L. (1991) Solar ultraviolet radiation effects on biological systems. </w:t>
      </w:r>
      <w:r w:rsidRPr="004626C5">
        <w:rPr>
          <w:rFonts w:ascii="Times New Roman" w:hAnsi="Times New Roman"/>
          <w:i/>
          <w:noProof/>
        </w:rPr>
        <w:t>Physics in Medicine and Biology</w:t>
      </w:r>
      <w:r w:rsidRPr="004626C5">
        <w:rPr>
          <w:rFonts w:ascii="Times New Roman" w:hAnsi="Times New Roman"/>
          <w:noProof/>
        </w:rPr>
        <w:t xml:space="preserve"> </w:t>
      </w:r>
      <w:r w:rsidRPr="004626C5">
        <w:rPr>
          <w:rFonts w:ascii="Times New Roman" w:hAnsi="Times New Roman"/>
          <w:b/>
          <w:noProof/>
        </w:rPr>
        <w:t>36</w:t>
      </w:r>
      <w:r w:rsidRPr="004626C5">
        <w:rPr>
          <w:rFonts w:ascii="Times New Roman" w:hAnsi="Times New Roman"/>
          <w:noProof/>
        </w:rPr>
        <w:t>(3)</w:t>
      </w:r>
      <w:r w:rsidRPr="004626C5">
        <w:rPr>
          <w:rFonts w:ascii="Times New Roman" w:hAnsi="Times New Roman"/>
          <w:b/>
          <w:noProof/>
        </w:rPr>
        <w:t>,</w:t>
      </w:r>
      <w:r w:rsidRPr="004626C5">
        <w:rPr>
          <w:rFonts w:ascii="Times New Roman" w:hAnsi="Times New Roman"/>
          <w:noProof/>
        </w:rPr>
        <w:t xml:space="preserve"> 299-328.</w:t>
      </w:r>
    </w:p>
    <w:p w:rsidR="00FB7C64" w:rsidRPr="004626C5" w:rsidRDefault="00FB7C64" w:rsidP="00FB7C64">
      <w:pPr>
        <w:pStyle w:val="ListParagraph"/>
        <w:numPr>
          <w:ilvl w:val="0"/>
          <w:numId w:val="5"/>
        </w:numPr>
        <w:spacing w:line="480" w:lineRule="auto"/>
        <w:ind w:left="567" w:hanging="567"/>
        <w:jc w:val="both"/>
      </w:pPr>
      <w:r w:rsidRPr="004626C5">
        <w:rPr>
          <w:rFonts w:ascii="Times New Roman" w:hAnsi="Times New Roman"/>
          <w:noProof/>
        </w:rPr>
        <w:t xml:space="preserve">Vuilleumier, L., Milon, A., Bulliard, J.-L., Moccozet, L. and Vernez, D. (2013) Inferring ultraviolet anatomical exposure patterns while distinguishing the relative contribution of radiation components. </w:t>
      </w:r>
      <w:r w:rsidRPr="004626C5">
        <w:rPr>
          <w:rFonts w:ascii="Times New Roman" w:hAnsi="Times New Roman"/>
          <w:i/>
          <w:noProof/>
        </w:rPr>
        <w:t>AIP Conference Proceedings</w:t>
      </w:r>
      <w:r w:rsidRPr="004626C5">
        <w:rPr>
          <w:rFonts w:ascii="Times New Roman" w:hAnsi="Times New Roman"/>
          <w:noProof/>
        </w:rPr>
        <w:t xml:space="preserve"> </w:t>
      </w:r>
      <w:r w:rsidRPr="004626C5">
        <w:rPr>
          <w:rFonts w:ascii="Times New Roman" w:hAnsi="Times New Roman"/>
          <w:b/>
          <w:noProof/>
        </w:rPr>
        <w:t>1531</w:t>
      </w:r>
      <w:r w:rsidRPr="004626C5">
        <w:rPr>
          <w:rFonts w:ascii="Times New Roman" w:hAnsi="Times New Roman"/>
          <w:noProof/>
        </w:rPr>
        <w:t>(1)</w:t>
      </w:r>
      <w:r w:rsidRPr="004626C5">
        <w:rPr>
          <w:rFonts w:ascii="Times New Roman" w:hAnsi="Times New Roman"/>
          <w:b/>
          <w:noProof/>
        </w:rPr>
        <w:t>,</w:t>
      </w:r>
      <w:r w:rsidRPr="004626C5">
        <w:rPr>
          <w:rFonts w:ascii="Times New Roman" w:hAnsi="Times New Roman"/>
          <w:noProof/>
        </w:rPr>
        <w:t xml:space="preserve"> 792-796.</w:t>
      </w:r>
    </w:p>
    <w:p w:rsidR="00AE1474" w:rsidRPr="004626C5" w:rsidRDefault="00AE1474" w:rsidP="00AE1474">
      <w:pPr>
        <w:pStyle w:val="ListParagraph"/>
        <w:numPr>
          <w:ilvl w:val="0"/>
          <w:numId w:val="5"/>
        </w:numPr>
        <w:spacing w:line="480" w:lineRule="auto"/>
        <w:ind w:left="567" w:hanging="567"/>
        <w:jc w:val="both"/>
      </w:pPr>
      <w:r w:rsidRPr="004626C5">
        <w:rPr>
          <w:rFonts w:ascii="Times New Roman" w:hAnsi="Times New Roman"/>
          <w:noProof/>
        </w:rPr>
        <w:lastRenderedPageBreak/>
        <w:t xml:space="preserve">Casale, G.R., Siani, A.M., Diémoz, H., Kimlin, M.G. and Colosimo, A. (2012) Applicability of the polysulphone horizontal calibration to differently inclined dosimeters. </w:t>
      </w:r>
      <w:r w:rsidRPr="004626C5">
        <w:rPr>
          <w:rFonts w:ascii="Times New Roman" w:hAnsi="Times New Roman"/>
          <w:i/>
          <w:noProof/>
        </w:rPr>
        <w:t>Photochemistry and Photobiology</w:t>
      </w:r>
      <w:r w:rsidRPr="004626C5">
        <w:rPr>
          <w:rFonts w:ascii="Times New Roman" w:hAnsi="Times New Roman"/>
          <w:noProof/>
        </w:rPr>
        <w:t xml:space="preserve"> </w:t>
      </w:r>
      <w:r w:rsidRPr="004626C5">
        <w:rPr>
          <w:rFonts w:ascii="Times New Roman" w:hAnsi="Times New Roman"/>
          <w:b/>
          <w:noProof/>
        </w:rPr>
        <w:t>88</w:t>
      </w:r>
      <w:r w:rsidRPr="004626C5">
        <w:rPr>
          <w:rFonts w:ascii="Times New Roman" w:hAnsi="Times New Roman"/>
          <w:noProof/>
        </w:rPr>
        <w:t>(1)</w:t>
      </w:r>
      <w:r w:rsidRPr="004626C5">
        <w:rPr>
          <w:rFonts w:ascii="Times New Roman" w:hAnsi="Times New Roman"/>
          <w:b/>
          <w:noProof/>
        </w:rPr>
        <w:t>,</w:t>
      </w:r>
      <w:r w:rsidRPr="004626C5">
        <w:rPr>
          <w:rFonts w:ascii="Times New Roman" w:hAnsi="Times New Roman"/>
          <w:noProof/>
        </w:rPr>
        <w:t xml:space="preserve"> 207-214.</w:t>
      </w:r>
    </w:p>
    <w:p w:rsidR="00FB7C64" w:rsidRPr="004626C5" w:rsidRDefault="00FB7C64" w:rsidP="00FB7C64">
      <w:pPr>
        <w:pStyle w:val="ListParagraph"/>
        <w:numPr>
          <w:ilvl w:val="0"/>
          <w:numId w:val="5"/>
        </w:numPr>
        <w:spacing w:line="480" w:lineRule="auto"/>
        <w:ind w:left="567" w:hanging="567"/>
        <w:jc w:val="both"/>
      </w:pPr>
      <w:r w:rsidRPr="004626C5">
        <w:rPr>
          <w:rFonts w:ascii="Times New Roman" w:hAnsi="Times New Roman"/>
          <w:noProof/>
        </w:rPr>
        <w:t xml:space="preserve">Diffey, B.L. (1987) A comparison of dosimeters used for solar ultraviolet radiometry. </w:t>
      </w:r>
      <w:r w:rsidRPr="004626C5">
        <w:rPr>
          <w:rFonts w:ascii="Times New Roman" w:hAnsi="Times New Roman"/>
          <w:i/>
          <w:noProof/>
        </w:rPr>
        <w:t>Photochemistry and Photobiology</w:t>
      </w:r>
      <w:r w:rsidRPr="004626C5">
        <w:rPr>
          <w:rFonts w:ascii="Times New Roman" w:hAnsi="Times New Roman"/>
          <w:noProof/>
        </w:rPr>
        <w:t xml:space="preserve"> </w:t>
      </w:r>
      <w:r w:rsidRPr="004626C5">
        <w:rPr>
          <w:rFonts w:ascii="Times New Roman" w:hAnsi="Times New Roman"/>
          <w:b/>
          <w:noProof/>
        </w:rPr>
        <w:t>46</w:t>
      </w:r>
      <w:r w:rsidRPr="004626C5">
        <w:rPr>
          <w:rFonts w:ascii="Times New Roman" w:hAnsi="Times New Roman"/>
          <w:noProof/>
        </w:rPr>
        <w:t>(1)</w:t>
      </w:r>
      <w:r w:rsidRPr="004626C5">
        <w:rPr>
          <w:rFonts w:ascii="Times New Roman" w:hAnsi="Times New Roman"/>
          <w:b/>
          <w:noProof/>
        </w:rPr>
        <w:t>,</w:t>
      </w:r>
      <w:r w:rsidRPr="004626C5">
        <w:rPr>
          <w:rFonts w:ascii="Times New Roman" w:hAnsi="Times New Roman"/>
          <w:noProof/>
        </w:rPr>
        <w:t xml:space="preserve"> 55-60.</w:t>
      </w:r>
    </w:p>
    <w:p w:rsidR="00FB7C64" w:rsidRPr="004626C5" w:rsidRDefault="00FB7C64" w:rsidP="00FB7C64">
      <w:pPr>
        <w:pStyle w:val="ListParagraph"/>
        <w:numPr>
          <w:ilvl w:val="0"/>
          <w:numId w:val="5"/>
        </w:numPr>
        <w:spacing w:line="480" w:lineRule="auto"/>
        <w:ind w:left="567" w:hanging="567"/>
        <w:jc w:val="both"/>
      </w:pPr>
      <w:r w:rsidRPr="004626C5">
        <w:rPr>
          <w:rFonts w:ascii="Times New Roman" w:hAnsi="Times New Roman"/>
          <w:noProof/>
        </w:rPr>
        <w:t xml:space="preserve">Kollias, N., Baqer, A., Sadiq, I., Gillies, R. and Ou-Yang, H. (2003) Measurement of solar UVB variations by polysulphone film. </w:t>
      </w:r>
      <w:r w:rsidRPr="004626C5">
        <w:rPr>
          <w:rFonts w:ascii="Times New Roman" w:hAnsi="Times New Roman"/>
          <w:i/>
          <w:noProof/>
        </w:rPr>
        <w:t>Photochemistry and Photobiology</w:t>
      </w:r>
      <w:r w:rsidRPr="004626C5">
        <w:rPr>
          <w:rFonts w:ascii="Times New Roman" w:hAnsi="Times New Roman"/>
          <w:noProof/>
        </w:rPr>
        <w:t xml:space="preserve"> </w:t>
      </w:r>
      <w:r w:rsidRPr="004626C5">
        <w:rPr>
          <w:rFonts w:ascii="Times New Roman" w:hAnsi="Times New Roman"/>
          <w:b/>
          <w:noProof/>
        </w:rPr>
        <w:t>78</w:t>
      </w:r>
      <w:r w:rsidRPr="004626C5">
        <w:rPr>
          <w:rFonts w:ascii="Times New Roman" w:hAnsi="Times New Roman"/>
          <w:noProof/>
        </w:rPr>
        <w:t>(3)</w:t>
      </w:r>
      <w:r w:rsidRPr="004626C5">
        <w:rPr>
          <w:rFonts w:ascii="Times New Roman" w:hAnsi="Times New Roman"/>
          <w:b/>
          <w:noProof/>
        </w:rPr>
        <w:t>,</w:t>
      </w:r>
      <w:r w:rsidRPr="004626C5">
        <w:rPr>
          <w:rFonts w:ascii="Times New Roman" w:hAnsi="Times New Roman"/>
          <w:noProof/>
        </w:rPr>
        <w:t xml:space="preserve"> 220-224.</w:t>
      </w:r>
    </w:p>
    <w:p w:rsidR="00AE1474" w:rsidRPr="004626C5" w:rsidRDefault="00AE1474" w:rsidP="00AE1474">
      <w:pPr>
        <w:pStyle w:val="ListParagraph"/>
        <w:numPr>
          <w:ilvl w:val="0"/>
          <w:numId w:val="5"/>
        </w:numPr>
        <w:spacing w:line="480" w:lineRule="auto"/>
        <w:ind w:left="567" w:hanging="567"/>
        <w:jc w:val="both"/>
      </w:pPr>
      <w:r w:rsidRPr="004626C5">
        <w:rPr>
          <w:rFonts w:ascii="Times New Roman" w:hAnsi="Times New Roman"/>
          <w:noProof/>
        </w:rPr>
        <w:t xml:space="preserve">Krins, A., Bolsée, D., Dörschel, B., Gillotay, D. and Knuschke, P. (2000) Angular dependence of the efficiency of the UV Sensor polysulphone film. </w:t>
      </w:r>
      <w:r w:rsidRPr="004626C5">
        <w:rPr>
          <w:rFonts w:ascii="Times New Roman" w:hAnsi="Times New Roman"/>
          <w:i/>
          <w:noProof/>
        </w:rPr>
        <w:t>Radiation Protection Dosimetry</w:t>
      </w:r>
      <w:r w:rsidRPr="004626C5">
        <w:rPr>
          <w:rFonts w:ascii="Times New Roman" w:hAnsi="Times New Roman"/>
          <w:noProof/>
        </w:rPr>
        <w:t xml:space="preserve"> </w:t>
      </w:r>
      <w:r w:rsidRPr="004626C5">
        <w:rPr>
          <w:rFonts w:ascii="Times New Roman" w:hAnsi="Times New Roman"/>
          <w:b/>
          <w:noProof/>
        </w:rPr>
        <w:t>87</w:t>
      </w:r>
      <w:r w:rsidRPr="004626C5">
        <w:rPr>
          <w:rFonts w:ascii="Times New Roman" w:hAnsi="Times New Roman"/>
          <w:noProof/>
        </w:rPr>
        <w:t>(4)</w:t>
      </w:r>
      <w:r w:rsidRPr="004626C5">
        <w:rPr>
          <w:rFonts w:ascii="Times New Roman" w:hAnsi="Times New Roman"/>
          <w:b/>
          <w:noProof/>
        </w:rPr>
        <w:t>,</w:t>
      </w:r>
      <w:r w:rsidRPr="004626C5">
        <w:rPr>
          <w:rFonts w:ascii="Times New Roman" w:hAnsi="Times New Roman"/>
          <w:noProof/>
        </w:rPr>
        <w:t xml:space="preserve"> 261-266.</w:t>
      </w:r>
    </w:p>
    <w:p w:rsidR="00B820DB" w:rsidRDefault="00B820DB" w:rsidP="00FB7C64">
      <w:pPr>
        <w:spacing w:line="480" w:lineRule="auto"/>
        <w:jc w:val="both"/>
      </w:pPr>
    </w:p>
    <w:p w:rsidR="00193588" w:rsidRDefault="00193588" w:rsidP="00FB7C64">
      <w:pPr>
        <w:spacing w:line="480" w:lineRule="auto"/>
        <w:jc w:val="both"/>
      </w:pPr>
    </w:p>
    <w:p w:rsidR="00193588" w:rsidRDefault="00193588" w:rsidP="00FB7C64">
      <w:pPr>
        <w:spacing w:line="480" w:lineRule="auto"/>
        <w:jc w:val="both"/>
      </w:pPr>
    </w:p>
    <w:p w:rsidR="00193588" w:rsidRDefault="00193588" w:rsidP="00FB7C64">
      <w:pPr>
        <w:spacing w:line="480" w:lineRule="auto"/>
        <w:jc w:val="both"/>
      </w:pPr>
    </w:p>
    <w:p w:rsidR="00193588" w:rsidRDefault="00193588" w:rsidP="00FB7C64">
      <w:pPr>
        <w:spacing w:line="480" w:lineRule="auto"/>
        <w:jc w:val="both"/>
      </w:pPr>
    </w:p>
    <w:p w:rsidR="00193588" w:rsidRDefault="00193588" w:rsidP="00FB7C64">
      <w:pPr>
        <w:spacing w:line="480" w:lineRule="auto"/>
        <w:jc w:val="both"/>
      </w:pPr>
    </w:p>
    <w:p w:rsidR="00193588" w:rsidRDefault="00193588" w:rsidP="00FB7C64">
      <w:pPr>
        <w:spacing w:line="480" w:lineRule="auto"/>
        <w:jc w:val="both"/>
      </w:pPr>
    </w:p>
    <w:p w:rsidR="00193588" w:rsidRDefault="00193588" w:rsidP="00FB7C64">
      <w:pPr>
        <w:spacing w:line="480" w:lineRule="auto"/>
        <w:jc w:val="both"/>
      </w:pPr>
    </w:p>
    <w:p w:rsidR="00193588" w:rsidRDefault="00193588" w:rsidP="00FB7C64">
      <w:pPr>
        <w:spacing w:line="480" w:lineRule="auto"/>
        <w:jc w:val="both"/>
      </w:pPr>
    </w:p>
    <w:p w:rsidR="00193588" w:rsidRDefault="00193588" w:rsidP="00FB7C64">
      <w:pPr>
        <w:spacing w:line="480" w:lineRule="auto"/>
        <w:jc w:val="both"/>
      </w:pPr>
    </w:p>
    <w:p w:rsidR="00193588" w:rsidRDefault="00193588" w:rsidP="00FB7C64">
      <w:pPr>
        <w:spacing w:line="480" w:lineRule="auto"/>
        <w:jc w:val="both"/>
      </w:pPr>
    </w:p>
    <w:p w:rsidR="00193588" w:rsidRDefault="00193588" w:rsidP="00FB7C64">
      <w:pPr>
        <w:spacing w:line="480" w:lineRule="auto"/>
        <w:jc w:val="both"/>
      </w:pPr>
    </w:p>
    <w:p w:rsidR="00193588" w:rsidRDefault="00193588" w:rsidP="00FB7C64">
      <w:pPr>
        <w:spacing w:line="480" w:lineRule="auto"/>
        <w:jc w:val="both"/>
      </w:pPr>
    </w:p>
    <w:p w:rsidR="00193588" w:rsidRDefault="00193588" w:rsidP="00FB7C64">
      <w:pPr>
        <w:spacing w:line="480" w:lineRule="auto"/>
        <w:jc w:val="both"/>
      </w:pPr>
    </w:p>
    <w:p w:rsidR="00193588" w:rsidRDefault="00193588" w:rsidP="00193588">
      <w:pPr>
        <w:jc w:val="center"/>
      </w:pPr>
    </w:p>
    <w:p w:rsidR="00193588" w:rsidRDefault="00193588" w:rsidP="00193588">
      <w:pPr>
        <w:jc w:val="both"/>
      </w:pPr>
    </w:p>
    <w:p w:rsidR="00193588" w:rsidRDefault="00193588" w:rsidP="00193588">
      <w:pPr>
        <w:rPr>
          <w:rFonts w:ascii="Times New Roman" w:hAnsi="Times New Roman"/>
          <w:sz w:val="21"/>
          <w:szCs w:val="21"/>
          <w:lang w:val="en-AU" w:bidi="ar-SA"/>
        </w:rPr>
      </w:pPr>
    </w:p>
    <w:p w:rsidR="00193588" w:rsidRDefault="00193588" w:rsidP="00193588"/>
    <w:p w:rsidR="00193588" w:rsidRDefault="00193588" w:rsidP="00193588">
      <w:pPr>
        <w:jc w:val="center"/>
      </w:pPr>
      <w:r w:rsidRPr="006D758A">
        <w:rPr>
          <w:noProof/>
          <w:lang w:val="en-AU" w:eastAsia="en-AU" w:bidi="ar-SA"/>
        </w:rPr>
        <w:drawing>
          <wp:inline distT="0" distB="0" distL="0" distR="0" wp14:anchorId="4A8E35F3" wp14:editId="4CB89AEC">
            <wp:extent cx="4572000" cy="2745441"/>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93588" w:rsidRDefault="00193588" w:rsidP="00193588"/>
    <w:p w:rsidR="00193588" w:rsidRDefault="00193588" w:rsidP="00193588">
      <w:r>
        <w:t>Figure 1: Change of absolute absorbance at 1064 cm</w:t>
      </w:r>
      <w:r>
        <w:rPr>
          <w:vertAlign w:val="superscript"/>
        </w:rPr>
        <w:t>-1</w:t>
      </w:r>
      <w:r>
        <w:t xml:space="preserve"> of PVC dosimeters as a function of drying time at 50 </w:t>
      </w:r>
      <w:r>
        <w:rPr>
          <w:rFonts w:ascii="Calibri" w:hAnsi="Calibri"/>
        </w:rPr>
        <w:t>°</w:t>
      </w:r>
      <w:r>
        <w:t xml:space="preserve"> C.</w:t>
      </w:r>
    </w:p>
    <w:p w:rsidR="00193588" w:rsidRDefault="00193588" w:rsidP="00193588"/>
    <w:p w:rsidR="00193588" w:rsidRDefault="00193588" w:rsidP="00193588"/>
    <w:p w:rsidR="00193588" w:rsidRDefault="00193588" w:rsidP="00193588"/>
    <w:p w:rsidR="00193588" w:rsidRDefault="00193588" w:rsidP="00193588"/>
    <w:p w:rsidR="00193588" w:rsidRDefault="00193588" w:rsidP="00193588"/>
    <w:p w:rsidR="00193588" w:rsidRDefault="00193588" w:rsidP="00193588"/>
    <w:p w:rsidR="00193588" w:rsidRPr="008C671B" w:rsidRDefault="00193588" w:rsidP="00193588">
      <w:pPr>
        <w:jc w:val="center"/>
      </w:pPr>
      <w:r w:rsidRPr="008C671B">
        <w:rPr>
          <w:noProof/>
          <w:lang w:val="en-AU" w:eastAsia="en-AU" w:bidi="ar-SA"/>
        </w:rPr>
        <w:drawing>
          <wp:inline distT="0" distB="0" distL="0" distR="0" wp14:anchorId="611C1BEF" wp14:editId="0E68959D">
            <wp:extent cx="4572000" cy="274320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93588" w:rsidRDefault="00193588" w:rsidP="00193588"/>
    <w:p w:rsidR="00193588" w:rsidRDefault="00193588" w:rsidP="00193588">
      <w:r>
        <w:t xml:space="preserve">Figure 2: Normalised absorbance change of PVC dosimeters exposed </w:t>
      </w:r>
      <w:proofErr w:type="gramStart"/>
      <w:r>
        <w:t>to 200 kJ/m</w:t>
      </w:r>
      <w:r>
        <w:rPr>
          <w:vertAlign w:val="superscript"/>
        </w:rPr>
        <w:t>2</w:t>
      </w:r>
      <w:r>
        <w:t xml:space="preserve"> at 25 </w:t>
      </w:r>
      <w:r>
        <w:rPr>
          <w:rFonts w:ascii="Calibri" w:hAnsi="Calibri"/>
        </w:rPr>
        <w:t>°</w:t>
      </w:r>
      <w:r>
        <w:t xml:space="preserve">C and 45 </w:t>
      </w:r>
      <w:r>
        <w:rPr>
          <w:rFonts w:ascii="Calibri" w:hAnsi="Calibri"/>
        </w:rPr>
        <w:t>°</w:t>
      </w:r>
      <w:r>
        <w:t>C</w:t>
      </w:r>
      <w:proofErr w:type="gramEnd"/>
      <w:r>
        <w:t xml:space="preserve"> after being dried for different periods at 50 </w:t>
      </w:r>
      <w:r>
        <w:rPr>
          <w:rFonts w:cstheme="minorHAnsi"/>
        </w:rPr>
        <w:t>º</w:t>
      </w:r>
      <w:r>
        <w:t>C.</w:t>
      </w:r>
    </w:p>
    <w:p w:rsidR="00193588" w:rsidRDefault="00193588" w:rsidP="00193588"/>
    <w:p w:rsidR="00193588" w:rsidRDefault="00193588" w:rsidP="00193588">
      <w:pPr>
        <w:jc w:val="center"/>
      </w:pPr>
    </w:p>
    <w:p w:rsidR="00193588" w:rsidRDefault="00193588" w:rsidP="00193588"/>
    <w:p w:rsidR="00193588" w:rsidRDefault="00193588" w:rsidP="00193588"/>
    <w:p w:rsidR="00193588" w:rsidRDefault="00193588" w:rsidP="00193588"/>
    <w:p w:rsidR="00193588" w:rsidRDefault="00193588" w:rsidP="00193588">
      <w:pPr>
        <w:jc w:val="center"/>
      </w:pPr>
      <w:r w:rsidRPr="00D73601">
        <w:rPr>
          <w:noProof/>
          <w:lang w:val="en-AU" w:eastAsia="en-AU" w:bidi="ar-SA"/>
        </w:rPr>
        <w:drawing>
          <wp:inline distT="0" distB="0" distL="0" distR="0" wp14:anchorId="5D407031" wp14:editId="0C1CDE92">
            <wp:extent cx="4572000" cy="2743200"/>
            <wp:effectExtent l="19050" t="0" r="19050" b="0"/>
            <wp:docPr id="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93588" w:rsidRDefault="00193588" w:rsidP="00193588">
      <w:r>
        <w:t>Figure 3: The average deviation from the mean of ten dosimeters’ absorbance change as a function of the radiant exposure.</w:t>
      </w:r>
    </w:p>
    <w:p w:rsidR="00193588" w:rsidRDefault="00193588" w:rsidP="00193588">
      <w:pPr>
        <w:jc w:val="center"/>
      </w:pPr>
    </w:p>
    <w:p w:rsidR="00193588" w:rsidRDefault="00193588" w:rsidP="00193588">
      <w:pPr>
        <w:jc w:val="center"/>
      </w:pPr>
    </w:p>
    <w:p w:rsidR="00193588" w:rsidRDefault="00193588" w:rsidP="00193588">
      <w:pPr>
        <w:jc w:val="center"/>
      </w:pPr>
    </w:p>
    <w:p w:rsidR="00193588" w:rsidRDefault="00193588" w:rsidP="00193588">
      <w:pPr>
        <w:jc w:val="center"/>
      </w:pPr>
    </w:p>
    <w:p w:rsidR="00193588" w:rsidRDefault="00193588" w:rsidP="00193588">
      <w:pPr>
        <w:jc w:val="center"/>
      </w:pPr>
      <w:r w:rsidRPr="008C4CA4">
        <w:rPr>
          <w:noProof/>
          <w:lang w:val="en-AU" w:eastAsia="en-AU" w:bidi="ar-SA"/>
        </w:rPr>
        <w:drawing>
          <wp:inline distT="0" distB="0" distL="0" distR="0" wp14:anchorId="4A93478D" wp14:editId="0F2CD520">
            <wp:extent cx="4885766" cy="2969559"/>
            <wp:effectExtent l="19050" t="0" r="10084" b="2241"/>
            <wp:docPr id="19"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93588" w:rsidRDefault="00193588" w:rsidP="00193588">
      <w:r>
        <w:t>Figure 4: The response of PVC dosimeters as a function of the temperature during exposure.</w:t>
      </w:r>
    </w:p>
    <w:p w:rsidR="00193588" w:rsidRDefault="00193588" w:rsidP="00193588"/>
    <w:p w:rsidR="00193588" w:rsidRDefault="00193588" w:rsidP="00193588"/>
    <w:p w:rsidR="00193588" w:rsidRDefault="00193588" w:rsidP="00193588"/>
    <w:p w:rsidR="00193588" w:rsidRDefault="00193588" w:rsidP="00193588"/>
    <w:p w:rsidR="00193588" w:rsidRDefault="00193588" w:rsidP="00193588"/>
    <w:p w:rsidR="00193588" w:rsidRDefault="00193588" w:rsidP="00193588"/>
    <w:p w:rsidR="00193588" w:rsidRDefault="00193588" w:rsidP="00193588"/>
    <w:p w:rsidR="00193588" w:rsidRDefault="00193588" w:rsidP="00193588"/>
    <w:p w:rsidR="00193588" w:rsidRDefault="00193588" w:rsidP="00193588"/>
    <w:p w:rsidR="00193588" w:rsidRDefault="00193588" w:rsidP="00193588">
      <w:pPr>
        <w:jc w:val="center"/>
      </w:pPr>
      <w:r w:rsidRPr="00E469A8">
        <w:rPr>
          <w:noProof/>
          <w:lang w:val="en-AU" w:eastAsia="en-AU" w:bidi="ar-SA"/>
        </w:rPr>
        <w:drawing>
          <wp:inline distT="0" distB="0" distL="0" distR="0" wp14:anchorId="45F8EB7D" wp14:editId="796F0375">
            <wp:extent cx="4572000" cy="2743200"/>
            <wp:effectExtent l="19050" t="0" r="19050" b="0"/>
            <wp:docPr id="16"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93588" w:rsidRDefault="00193588" w:rsidP="00193588">
      <w:pPr>
        <w:ind w:left="720" w:hanging="720"/>
      </w:pPr>
      <w:r>
        <w:t>Figure 5:  The response of PVC dosimeters exposed to 2 MJ/m</w:t>
      </w:r>
      <w:r>
        <w:rPr>
          <w:vertAlign w:val="superscript"/>
        </w:rPr>
        <w:t>2</w:t>
      </w:r>
      <w:r>
        <w:t xml:space="preserve"> of broadband UV exposure as a function of the supplied irradiance.  </w:t>
      </w:r>
    </w:p>
    <w:p w:rsidR="00193588" w:rsidRDefault="00193588" w:rsidP="00193588"/>
    <w:p w:rsidR="00193588" w:rsidRDefault="00193588" w:rsidP="00193588"/>
    <w:p w:rsidR="00193588" w:rsidRDefault="00193588" w:rsidP="00193588"/>
    <w:p w:rsidR="00193588" w:rsidRDefault="00193588" w:rsidP="00193588"/>
    <w:p w:rsidR="00193588" w:rsidRDefault="00193588" w:rsidP="00193588"/>
    <w:p w:rsidR="00193588" w:rsidRDefault="00193588" w:rsidP="00193588">
      <w:r>
        <w:rPr>
          <w:noProof/>
          <w:lang w:val="en-AU" w:eastAsia="en-AU" w:bidi="ar-SA"/>
        </w:rPr>
        <w:drawing>
          <wp:inline distT="0" distB="0" distL="0" distR="0" wp14:anchorId="32E492AB" wp14:editId="05DB8B02">
            <wp:extent cx="5457825" cy="3429000"/>
            <wp:effectExtent l="19050" t="0" r="9525" b="0"/>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cstate="print"/>
                    <a:srcRect/>
                    <a:stretch>
                      <a:fillRect/>
                    </a:stretch>
                  </pic:blipFill>
                  <pic:spPr bwMode="auto">
                    <a:xfrm>
                      <a:off x="0" y="0"/>
                      <a:ext cx="5457825" cy="3429000"/>
                    </a:xfrm>
                    <a:prstGeom prst="rect">
                      <a:avLst/>
                    </a:prstGeom>
                    <a:noFill/>
                    <a:ln w="9525">
                      <a:noFill/>
                      <a:miter lim="800000"/>
                      <a:headEnd/>
                      <a:tailEnd/>
                    </a:ln>
                  </pic:spPr>
                </pic:pic>
              </a:graphicData>
            </a:graphic>
          </wp:inline>
        </w:drawing>
      </w:r>
    </w:p>
    <w:p w:rsidR="00193588" w:rsidRDefault="00193588" w:rsidP="00193588"/>
    <w:p w:rsidR="00193588" w:rsidRDefault="00193588" w:rsidP="00193588">
      <w:pPr>
        <w:jc w:val="both"/>
      </w:pPr>
      <w:r>
        <w:t xml:space="preserve">Figure 6: The response of PVC dosimeters as a function of the angle of the incident beam (dashed line) compared with the </w:t>
      </w:r>
      <w:r w:rsidRPr="001F68CA">
        <w:t>ideal</w:t>
      </w:r>
      <w:r>
        <w:t xml:space="preserve"> cosine function (thin line). The bar chart shows the deviation of the PVC angular response from the cosine function.  </w:t>
      </w:r>
    </w:p>
    <w:p w:rsidR="00193588" w:rsidRDefault="00193588" w:rsidP="00193588">
      <w:pPr>
        <w:jc w:val="both"/>
      </w:pPr>
    </w:p>
    <w:p w:rsidR="00193588" w:rsidRDefault="00193588" w:rsidP="00193588">
      <w:pPr>
        <w:jc w:val="both"/>
      </w:pPr>
    </w:p>
    <w:p w:rsidR="00193588" w:rsidRDefault="00193588" w:rsidP="00193588">
      <w:pPr>
        <w:jc w:val="both"/>
      </w:pPr>
    </w:p>
    <w:p w:rsidR="00193588" w:rsidRDefault="00193588" w:rsidP="00193588">
      <w:pPr>
        <w:jc w:val="both"/>
      </w:pPr>
    </w:p>
    <w:p w:rsidR="00193588" w:rsidRDefault="00193588" w:rsidP="00193588">
      <w:pPr>
        <w:jc w:val="both"/>
      </w:pPr>
    </w:p>
    <w:p w:rsidR="00193588" w:rsidRDefault="00193588" w:rsidP="00193588">
      <w:pPr>
        <w:jc w:val="center"/>
      </w:pPr>
      <w:r w:rsidRPr="000C3165">
        <w:rPr>
          <w:noProof/>
          <w:lang w:val="en-AU" w:eastAsia="en-AU" w:bidi="ar-SA"/>
        </w:rPr>
        <w:drawing>
          <wp:inline distT="0" distB="0" distL="0" distR="0" wp14:anchorId="527079E2" wp14:editId="4000A8BF">
            <wp:extent cx="4914900" cy="3390900"/>
            <wp:effectExtent l="19050" t="0" r="1905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93588" w:rsidRDefault="00193588" w:rsidP="00193588">
      <w:pPr>
        <w:jc w:val="both"/>
      </w:pPr>
      <w:r>
        <w:t xml:space="preserve">Figure 7: The response of PVC dosimeters irradiated evenly over different backgrounds. </w:t>
      </w:r>
    </w:p>
    <w:p w:rsidR="00193588" w:rsidRDefault="00193588" w:rsidP="00193588">
      <w:pPr>
        <w:jc w:val="both"/>
      </w:pPr>
    </w:p>
    <w:p w:rsidR="00193588" w:rsidRDefault="00193588" w:rsidP="00193588">
      <w:pPr>
        <w:jc w:val="both"/>
      </w:pPr>
    </w:p>
    <w:p w:rsidR="00193588" w:rsidRDefault="00193588" w:rsidP="00193588">
      <w:pPr>
        <w:jc w:val="both"/>
      </w:pPr>
    </w:p>
    <w:p w:rsidR="00193588" w:rsidRDefault="00193588" w:rsidP="00193588">
      <w:pPr>
        <w:jc w:val="center"/>
      </w:pPr>
      <w:r>
        <w:rPr>
          <w:noProof/>
          <w:lang w:val="en-AU" w:eastAsia="en-AU" w:bidi="ar-SA"/>
        </w:rPr>
        <w:drawing>
          <wp:inline distT="0" distB="0" distL="0" distR="0" wp14:anchorId="74567276" wp14:editId="33721938">
            <wp:extent cx="5734050" cy="4029075"/>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srcRect/>
                    <a:stretch>
                      <a:fillRect/>
                    </a:stretch>
                  </pic:blipFill>
                  <pic:spPr bwMode="auto">
                    <a:xfrm>
                      <a:off x="0" y="0"/>
                      <a:ext cx="5734050" cy="4029075"/>
                    </a:xfrm>
                    <a:prstGeom prst="rect">
                      <a:avLst/>
                    </a:prstGeom>
                    <a:noFill/>
                    <a:ln w="9525">
                      <a:noFill/>
                      <a:miter lim="800000"/>
                      <a:headEnd/>
                      <a:tailEnd/>
                    </a:ln>
                  </pic:spPr>
                </pic:pic>
              </a:graphicData>
            </a:graphic>
          </wp:inline>
        </w:drawing>
      </w:r>
    </w:p>
    <w:p w:rsidR="00193588" w:rsidRDefault="00193588" w:rsidP="00193588">
      <w:pPr>
        <w:jc w:val="both"/>
        <w:rPr>
          <w:noProof/>
          <w:lang w:val="en-AU" w:eastAsia="en-AU" w:bidi="ar-SA"/>
        </w:rPr>
      </w:pPr>
      <w:r>
        <w:rPr>
          <w:noProof/>
          <w:lang w:val="en-AU" w:eastAsia="en-AU" w:bidi="ar-SA"/>
        </w:rPr>
        <w:t xml:space="preserve"> Figure 8: Solar erythemal dose response curves of the PVC dosimetr. The summer curve includes the response of the control dosimeters.</w:t>
      </w:r>
    </w:p>
    <w:p w:rsidR="00193588" w:rsidRDefault="00193588" w:rsidP="00193588">
      <w:pPr>
        <w:jc w:val="both"/>
        <w:rPr>
          <w:noProof/>
          <w:lang w:val="en-AU" w:eastAsia="en-AU" w:bidi="ar-SA"/>
        </w:rPr>
      </w:pPr>
    </w:p>
    <w:p w:rsidR="00193588" w:rsidRDefault="00193588" w:rsidP="00193588">
      <w:pPr>
        <w:jc w:val="both"/>
        <w:rPr>
          <w:noProof/>
          <w:lang w:val="en-AU" w:eastAsia="en-AU" w:bidi="ar-SA"/>
        </w:rPr>
      </w:pPr>
    </w:p>
    <w:p w:rsidR="00193588" w:rsidRDefault="00193588" w:rsidP="00193588">
      <w:pPr>
        <w:jc w:val="both"/>
        <w:rPr>
          <w:noProof/>
          <w:lang w:val="en-AU" w:eastAsia="en-AU" w:bidi="ar-SA"/>
        </w:rPr>
      </w:pPr>
    </w:p>
    <w:p w:rsidR="00193588" w:rsidRDefault="00193588" w:rsidP="00193588">
      <w:pPr>
        <w:jc w:val="center"/>
        <w:rPr>
          <w:noProof/>
          <w:lang w:val="en-AU" w:eastAsia="en-AU" w:bidi="ar-SA"/>
        </w:rPr>
      </w:pPr>
      <w:r w:rsidRPr="00D40619">
        <w:rPr>
          <w:noProof/>
          <w:lang w:val="en-AU" w:eastAsia="en-AU" w:bidi="ar-SA"/>
        </w:rPr>
        <w:drawing>
          <wp:inline distT="0" distB="0" distL="0" distR="0" wp14:anchorId="3B3E5907" wp14:editId="61EA39A8">
            <wp:extent cx="4572000" cy="2743200"/>
            <wp:effectExtent l="19050" t="0" r="19050" b="0"/>
            <wp:docPr id="3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193588" w:rsidRDefault="00193588" w:rsidP="00193588">
      <w:pPr>
        <w:jc w:val="both"/>
      </w:pPr>
    </w:p>
    <w:p w:rsidR="00193588" w:rsidRDefault="00193588" w:rsidP="00193588">
      <w:pPr>
        <w:jc w:val="both"/>
      </w:pPr>
      <w:r>
        <w:t>Figure 9: Combined dose response curve for the four seasons.</w:t>
      </w:r>
    </w:p>
    <w:p w:rsidR="00193588" w:rsidRDefault="00193588" w:rsidP="00193588">
      <w:pPr>
        <w:jc w:val="both"/>
      </w:pPr>
    </w:p>
    <w:p w:rsidR="00193588" w:rsidRDefault="00193588" w:rsidP="00193588">
      <w:pPr>
        <w:jc w:val="both"/>
      </w:pPr>
    </w:p>
    <w:p w:rsidR="00193588" w:rsidRDefault="00193588" w:rsidP="00193588">
      <w:pPr>
        <w:jc w:val="both"/>
      </w:pPr>
    </w:p>
    <w:p w:rsidR="00193588" w:rsidRDefault="00193588" w:rsidP="00193588">
      <w:pPr>
        <w:jc w:val="center"/>
      </w:pPr>
      <w:r w:rsidRPr="00684868">
        <w:rPr>
          <w:noProof/>
          <w:lang w:val="en-AU" w:eastAsia="en-AU" w:bidi="ar-SA"/>
        </w:rPr>
        <w:drawing>
          <wp:inline distT="0" distB="0" distL="0" distR="0" wp14:anchorId="71B2D33F" wp14:editId="745F0355">
            <wp:extent cx="4572000" cy="2743200"/>
            <wp:effectExtent l="19050" t="0" r="19050" b="0"/>
            <wp:docPr id="18"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193588" w:rsidRDefault="00193588" w:rsidP="00193588"/>
    <w:p w:rsidR="00193588" w:rsidRDefault="00193588" w:rsidP="00193588">
      <w:r>
        <w:t xml:space="preserve">Figure 10: The response of PVC dosimeter to small doses. </w:t>
      </w:r>
    </w:p>
    <w:p w:rsidR="00193588" w:rsidRDefault="00193588" w:rsidP="00193588"/>
    <w:p w:rsidR="00193588" w:rsidRDefault="00193588" w:rsidP="00193588"/>
    <w:p w:rsidR="00193588" w:rsidRDefault="00193588" w:rsidP="00193588"/>
    <w:p w:rsidR="00193588" w:rsidRDefault="00193588" w:rsidP="00193588"/>
    <w:p w:rsidR="00193588" w:rsidRDefault="00193588" w:rsidP="00193588">
      <w:pPr>
        <w:jc w:val="center"/>
      </w:pPr>
      <w:r w:rsidRPr="00B84973">
        <w:rPr>
          <w:noProof/>
          <w:lang w:val="en-AU" w:eastAsia="en-AU" w:bidi="ar-SA"/>
        </w:rPr>
        <w:lastRenderedPageBreak/>
        <w:drawing>
          <wp:inline distT="0" distB="0" distL="0" distR="0" wp14:anchorId="7C0FBFD9" wp14:editId="033FDE4C">
            <wp:extent cx="4981575" cy="3286125"/>
            <wp:effectExtent l="1905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193588" w:rsidRDefault="00193588" w:rsidP="00193588"/>
    <w:p w:rsidR="00193588" w:rsidRDefault="00193588" w:rsidP="00193588">
      <w:pPr>
        <w:jc w:val="both"/>
      </w:pPr>
      <w:r>
        <w:t>Figure 11: The dark reaction induced change of PVC dosimeters kept at different temperatures as a function of time.</w:t>
      </w:r>
    </w:p>
    <w:p w:rsidR="00193588" w:rsidRDefault="00193588" w:rsidP="00193588"/>
    <w:p w:rsidR="00193588" w:rsidRDefault="00193588" w:rsidP="00193588">
      <w:pPr>
        <w:jc w:val="center"/>
      </w:pPr>
    </w:p>
    <w:p w:rsidR="00193588" w:rsidRDefault="00193588" w:rsidP="00193588">
      <w:pPr>
        <w:jc w:val="center"/>
      </w:pPr>
    </w:p>
    <w:p w:rsidR="00193588" w:rsidRDefault="00193588" w:rsidP="00193588">
      <w:pPr>
        <w:jc w:val="center"/>
      </w:pPr>
      <w:r w:rsidRPr="00615164">
        <w:rPr>
          <w:noProof/>
          <w:lang w:val="en-AU" w:eastAsia="en-AU" w:bidi="ar-SA"/>
        </w:rPr>
        <w:drawing>
          <wp:inline distT="0" distB="0" distL="0" distR="0" wp14:anchorId="443FC3D4" wp14:editId="5D487B07">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193588" w:rsidRDefault="00193588" w:rsidP="00193588">
      <w:pPr>
        <w:jc w:val="center"/>
      </w:pPr>
    </w:p>
    <w:p w:rsidR="00193588" w:rsidRDefault="00193588" w:rsidP="00193588">
      <w:pPr>
        <w:jc w:val="both"/>
      </w:pPr>
      <w:r>
        <w:t>Figure 12: Doses received by five anatomical sites due to exposure to solar radiation for 12 days as measured by PVC and PPO dosimeters.</w:t>
      </w:r>
    </w:p>
    <w:p w:rsidR="00193588" w:rsidRDefault="00193588" w:rsidP="00193588">
      <w:pPr>
        <w:jc w:val="both"/>
      </w:pPr>
    </w:p>
    <w:p w:rsidR="00193588" w:rsidRDefault="00193588" w:rsidP="00193588">
      <w:pPr>
        <w:jc w:val="both"/>
      </w:pPr>
    </w:p>
    <w:p w:rsidR="00193588" w:rsidRDefault="00193588" w:rsidP="00193588">
      <w:pPr>
        <w:jc w:val="both"/>
      </w:pPr>
    </w:p>
    <w:p w:rsidR="00193588" w:rsidRDefault="00193588" w:rsidP="00193588">
      <w:pPr>
        <w:jc w:val="both"/>
      </w:pPr>
    </w:p>
    <w:p w:rsidR="00193588" w:rsidRDefault="00193588" w:rsidP="00193588">
      <w:pPr>
        <w:jc w:val="both"/>
      </w:pPr>
    </w:p>
    <w:p w:rsidR="00193588" w:rsidRDefault="00193588" w:rsidP="00193588">
      <w:pPr>
        <w:jc w:val="both"/>
      </w:pPr>
    </w:p>
    <w:p w:rsidR="00193588" w:rsidRDefault="00193588" w:rsidP="00193588">
      <w:pPr>
        <w:jc w:val="both"/>
      </w:pPr>
    </w:p>
    <w:p w:rsidR="00193588" w:rsidRDefault="00193588" w:rsidP="00193588">
      <w:pPr>
        <w:jc w:val="both"/>
      </w:pPr>
    </w:p>
    <w:p w:rsidR="00193588" w:rsidRDefault="00193588" w:rsidP="00193588">
      <w:pPr>
        <w:jc w:val="both"/>
      </w:pPr>
    </w:p>
    <w:tbl>
      <w:tblPr>
        <w:tblStyle w:val="LightShading"/>
        <w:tblW w:w="0" w:type="auto"/>
        <w:tblLook w:val="04A0" w:firstRow="1" w:lastRow="0" w:firstColumn="1" w:lastColumn="0" w:noHBand="0" w:noVBand="1"/>
      </w:tblPr>
      <w:tblGrid>
        <w:gridCol w:w="1951"/>
        <w:gridCol w:w="2693"/>
        <w:gridCol w:w="2552"/>
        <w:gridCol w:w="2046"/>
      </w:tblGrid>
      <w:tr w:rsidR="00193588" w:rsidRPr="00FF738D" w:rsidTr="00C043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rsidR="00193588" w:rsidRPr="00E063FA" w:rsidRDefault="00193588" w:rsidP="00C0439C">
            <w:pPr>
              <w:jc w:val="center"/>
              <w:rPr>
                <w:rFonts w:ascii="Times New Roman" w:hAnsi="Times New Roman"/>
                <w:sz w:val="24"/>
                <w:szCs w:val="24"/>
              </w:rPr>
            </w:pPr>
          </w:p>
        </w:tc>
        <w:tc>
          <w:tcPr>
            <w:tcW w:w="2693" w:type="dxa"/>
            <w:tcBorders>
              <w:left w:val="single" w:sz="4" w:space="0" w:color="auto"/>
              <w:right w:val="single" w:sz="4" w:space="0" w:color="auto"/>
            </w:tcBorders>
          </w:tcPr>
          <w:p w:rsidR="00193588" w:rsidRPr="00E063FA" w:rsidRDefault="00193588" w:rsidP="00C043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PVC</w:t>
            </w:r>
          </w:p>
        </w:tc>
        <w:tc>
          <w:tcPr>
            <w:tcW w:w="2552" w:type="dxa"/>
            <w:tcBorders>
              <w:left w:val="single" w:sz="4" w:space="0" w:color="auto"/>
              <w:right w:val="single" w:sz="4" w:space="0" w:color="auto"/>
            </w:tcBorders>
          </w:tcPr>
          <w:p w:rsidR="00193588" w:rsidRPr="00FF738D" w:rsidRDefault="00193588" w:rsidP="00C043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fr-FR"/>
              </w:rPr>
            </w:pPr>
            <w:r w:rsidRPr="00FF738D">
              <w:rPr>
                <w:rFonts w:ascii="Times New Roman" w:hAnsi="Times New Roman"/>
                <w:sz w:val="24"/>
                <w:szCs w:val="24"/>
                <w:lang w:val="fr-FR"/>
              </w:rPr>
              <w:t xml:space="preserve">PPO </w:t>
            </w:r>
            <w:r w:rsidRPr="00500D65">
              <w:rPr>
                <w:rFonts w:ascii="Times New Roman" w:hAnsi="Times New Roman"/>
                <w:noProof/>
                <w:sz w:val="24"/>
                <w:szCs w:val="24"/>
                <w:lang w:val="fr-FR"/>
              </w:rPr>
              <w:t>[5]</w:t>
            </w:r>
          </w:p>
        </w:tc>
        <w:tc>
          <w:tcPr>
            <w:tcW w:w="2046" w:type="dxa"/>
            <w:tcBorders>
              <w:left w:val="single" w:sz="4" w:space="0" w:color="auto"/>
            </w:tcBorders>
          </w:tcPr>
          <w:p w:rsidR="00193588" w:rsidRPr="00FF738D" w:rsidRDefault="00193588" w:rsidP="00C043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fr-FR"/>
              </w:rPr>
            </w:pPr>
            <w:r w:rsidRPr="00FF738D">
              <w:rPr>
                <w:rFonts w:ascii="Times New Roman" w:hAnsi="Times New Roman"/>
                <w:sz w:val="24"/>
                <w:szCs w:val="24"/>
                <w:lang w:val="fr-FR"/>
              </w:rPr>
              <w:t xml:space="preserve">PS </w:t>
            </w:r>
            <w:r w:rsidRPr="00500D65">
              <w:rPr>
                <w:rFonts w:ascii="Times New Roman" w:hAnsi="Times New Roman"/>
                <w:noProof/>
                <w:sz w:val="24"/>
                <w:szCs w:val="24"/>
                <w:lang w:val="fr-FR"/>
              </w:rPr>
              <w:t xml:space="preserve">[3, </w:t>
            </w:r>
            <w:r>
              <w:rPr>
                <w:rFonts w:ascii="Times New Roman" w:hAnsi="Times New Roman"/>
                <w:noProof/>
                <w:sz w:val="24"/>
                <w:szCs w:val="24"/>
                <w:lang w:val="fr-FR"/>
              </w:rPr>
              <w:t>44-47</w:t>
            </w:r>
            <w:r w:rsidRPr="00500D65">
              <w:rPr>
                <w:rFonts w:ascii="Times New Roman" w:hAnsi="Times New Roman"/>
                <w:noProof/>
                <w:sz w:val="24"/>
                <w:szCs w:val="24"/>
                <w:lang w:val="fr-FR"/>
              </w:rPr>
              <w:t>]</w:t>
            </w:r>
          </w:p>
        </w:tc>
      </w:tr>
      <w:tr w:rsidR="00193588" w:rsidRPr="007B5907" w:rsidTr="00C04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000000" w:themeColor="text1"/>
              <w:bottom w:val="single" w:sz="4" w:space="0" w:color="auto"/>
              <w:right w:val="single" w:sz="4" w:space="0" w:color="auto"/>
            </w:tcBorders>
            <w:shd w:val="clear" w:color="auto" w:fill="D9D9D9" w:themeFill="background1" w:themeFillShade="D9"/>
          </w:tcPr>
          <w:p w:rsidR="00193588" w:rsidRPr="00E063FA" w:rsidRDefault="00193588" w:rsidP="00C0439C">
            <w:pPr>
              <w:jc w:val="center"/>
              <w:rPr>
                <w:rFonts w:ascii="Times New Roman" w:hAnsi="Times New Roman"/>
                <w:sz w:val="24"/>
                <w:szCs w:val="24"/>
              </w:rPr>
            </w:pPr>
            <w:r>
              <w:rPr>
                <w:rFonts w:ascii="Times New Roman" w:hAnsi="Times New Roman"/>
                <w:sz w:val="24"/>
                <w:szCs w:val="24"/>
              </w:rPr>
              <w:t>Sensitivity</w:t>
            </w:r>
          </w:p>
        </w:tc>
        <w:tc>
          <w:tcPr>
            <w:tcW w:w="2693" w:type="dxa"/>
            <w:tcBorders>
              <w:top w:val="single" w:sz="8" w:space="0" w:color="000000" w:themeColor="text1"/>
              <w:left w:val="single" w:sz="4" w:space="0" w:color="auto"/>
              <w:bottom w:val="single" w:sz="4" w:space="0" w:color="auto"/>
              <w:right w:val="single" w:sz="4" w:space="0" w:color="auto"/>
            </w:tcBorders>
            <w:shd w:val="clear" w:color="auto" w:fill="D9D9D9" w:themeFill="background1" w:themeFillShade="D9"/>
          </w:tcPr>
          <w:p w:rsidR="00193588" w:rsidRPr="00E063FA" w:rsidRDefault="00193588" w:rsidP="00C043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 xml:space="preserve">Primarily to UVB </w:t>
            </w:r>
          </w:p>
        </w:tc>
        <w:tc>
          <w:tcPr>
            <w:tcW w:w="2552" w:type="dxa"/>
            <w:tcBorders>
              <w:top w:val="single" w:sz="8" w:space="0" w:color="000000" w:themeColor="text1"/>
              <w:left w:val="single" w:sz="4" w:space="0" w:color="auto"/>
              <w:bottom w:val="single" w:sz="4" w:space="0" w:color="auto"/>
              <w:right w:val="single" w:sz="4" w:space="0" w:color="auto"/>
            </w:tcBorders>
            <w:shd w:val="clear" w:color="auto" w:fill="D9D9D9" w:themeFill="background1" w:themeFillShade="D9"/>
          </w:tcPr>
          <w:p w:rsidR="00193588" w:rsidRPr="007B5907" w:rsidRDefault="00193588" w:rsidP="00C043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Primarily to UVB</w:t>
            </w:r>
          </w:p>
        </w:tc>
        <w:tc>
          <w:tcPr>
            <w:tcW w:w="2046" w:type="dxa"/>
            <w:tcBorders>
              <w:top w:val="single" w:sz="8" w:space="0" w:color="000000" w:themeColor="text1"/>
              <w:left w:val="single" w:sz="4" w:space="0" w:color="auto"/>
              <w:bottom w:val="single" w:sz="4" w:space="0" w:color="auto"/>
            </w:tcBorders>
            <w:shd w:val="clear" w:color="auto" w:fill="D9D9D9" w:themeFill="background1" w:themeFillShade="D9"/>
          </w:tcPr>
          <w:p w:rsidR="00193588" w:rsidRPr="007B5907" w:rsidRDefault="00193588" w:rsidP="00C043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Primarily to UVB</w:t>
            </w:r>
          </w:p>
        </w:tc>
      </w:tr>
      <w:tr w:rsidR="00193588" w:rsidRPr="00E063FA" w:rsidTr="00C0439C">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auto"/>
              <w:bottom w:val="single" w:sz="4" w:space="0" w:color="auto"/>
              <w:right w:val="single" w:sz="4" w:space="0" w:color="auto"/>
            </w:tcBorders>
          </w:tcPr>
          <w:p w:rsidR="00193588" w:rsidRPr="00E063FA" w:rsidRDefault="00193588" w:rsidP="00C0439C">
            <w:pPr>
              <w:jc w:val="center"/>
              <w:rPr>
                <w:rFonts w:ascii="Times New Roman" w:hAnsi="Times New Roman"/>
                <w:sz w:val="24"/>
                <w:szCs w:val="24"/>
              </w:rPr>
            </w:pPr>
            <w:r>
              <w:rPr>
                <w:rFonts w:ascii="Times New Roman" w:hAnsi="Times New Roman"/>
                <w:sz w:val="24"/>
                <w:szCs w:val="24"/>
              </w:rPr>
              <w:t>Dose Capacity (SED)</w:t>
            </w:r>
          </w:p>
        </w:tc>
        <w:tc>
          <w:tcPr>
            <w:tcW w:w="2693" w:type="dxa"/>
            <w:tcBorders>
              <w:top w:val="single" w:sz="4" w:space="0" w:color="auto"/>
              <w:left w:val="single" w:sz="4" w:space="0" w:color="auto"/>
              <w:bottom w:val="single" w:sz="4" w:space="0" w:color="auto"/>
              <w:right w:val="single" w:sz="4" w:space="0" w:color="auto"/>
            </w:tcBorders>
          </w:tcPr>
          <w:p w:rsidR="00193588" w:rsidRPr="00E063FA" w:rsidRDefault="00193588" w:rsidP="00C043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063FA">
              <w:rPr>
                <w:rFonts w:ascii="Times New Roman" w:hAnsi="Times New Roman"/>
              </w:rPr>
              <w:t xml:space="preserve">&gt; 900 </w:t>
            </w:r>
          </w:p>
        </w:tc>
        <w:tc>
          <w:tcPr>
            <w:tcW w:w="2552" w:type="dxa"/>
            <w:tcBorders>
              <w:top w:val="single" w:sz="4" w:space="0" w:color="auto"/>
              <w:left w:val="single" w:sz="4" w:space="0" w:color="auto"/>
              <w:bottom w:val="single" w:sz="4" w:space="0" w:color="auto"/>
              <w:right w:val="single" w:sz="4" w:space="0" w:color="auto"/>
            </w:tcBorders>
          </w:tcPr>
          <w:p w:rsidR="00193588" w:rsidRPr="00E063FA" w:rsidRDefault="00193588" w:rsidP="00C043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 300 </w:t>
            </w:r>
          </w:p>
        </w:tc>
        <w:tc>
          <w:tcPr>
            <w:tcW w:w="2046" w:type="dxa"/>
            <w:tcBorders>
              <w:top w:val="single" w:sz="4" w:space="0" w:color="auto"/>
              <w:left w:val="single" w:sz="4" w:space="0" w:color="auto"/>
              <w:bottom w:val="single" w:sz="4" w:space="0" w:color="auto"/>
              <w:right w:val="nil"/>
            </w:tcBorders>
          </w:tcPr>
          <w:p w:rsidR="00193588" w:rsidRPr="00E063FA" w:rsidRDefault="00193588" w:rsidP="00C043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30</w:t>
            </w:r>
          </w:p>
        </w:tc>
      </w:tr>
      <w:tr w:rsidR="00193588" w:rsidRPr="00E063FA" w:rsidTr="00C04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auto"/>
              <w:bottom w:val="single" w:sz="4" w:space="0" w:color="auto"/>
              <w:right w:val="single" w:sz="4" w:space="0" w:color="auto"/>
            </w:tcBorders>
            <w:shd w:val="clear" w:color="auto" w:fill="D9D9D9" w:themeFill="background1" w:themeFillShade="D9"/>
          </w:tcPr>
          <w:p w:rsidR="00193588" w:rsidRDefault="00193588" w:rsidP="00C0439C">
            <w:pPr>
              <w:jc w:val="center"/>
              <w:rPr>
                <w:rFonts w:ascii="Times New Roman" w:hAnsi="Times New Roman"/>
                <w:sz w:val="24"/>
                <w:szCs w:val="24"/>
              </w:rPr>
            </w:pPr>
            <w:r>
              <w:rPr>
                <w:rFonts w:ascii="Times New Roman" w:hAnsi="Times New Roman"/>
                <w:sz w:val="24"/>
                <w:szCs w:val="24"/>
              </w:rPr>
              <w:t>Reproducibility</w:t>
            </w:r>
          </w:p>
          <w:p w:rsidR="00193588" w:rsidRPr="00E063FA" w:rsidRDefault="00193588" w:rsidP="00C0439C">
            <w:pPr>
              <w:jc w:val="center"/>
              <w:rPr>
                <w:rFonts w:ascii="Times New Roman" w:hAnsi="Times New Roman"/>
                <w:sz w:val="24"/>
                <w:szCs w:val="24"/>
              </w:rPr>
            </w:pPr>
            <w:r>
              <w:rPr>
                <w:rFonts w:ascii="Times New Roman" w:hAnsi="Times New Roman"/>
                <w:sz w:val="24"/>
                <w:szCs w:val="24"/>
              </w:rPr>
              <w:t xml:space="preserve">(response variation) </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3588" w:rsidRPr="00E063FA" w:rsidRDefault="00193588" w:rsidP="00C043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5 %</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3588" w:rsidRPr="00E063FA" w:rsidRDefault="00193588" w:rsidP="00C043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6.5 %</w:t>
            </w:r>
          </w:p>
        </w:tc>
        <w:tc>
          <w:tcPr>
            <w:tcW w:w="2046" w:type="dxa"/>
            <w:tcBorders>
              <w:top w:val="single" w:sz="4" w:space="0" w:color="auto"/>
              <w:left w:val="single" w:sz="4" w:space="0" w:color="auto"/>
              <w:bottom w:val="single" w:sz="4" w:space="0" w:color="auto"/>
            </w:tcBorders>
            <w:shd w:val="clear" w:color="auto" w:fill="D9D9D9" w:themeFill="background1" w:themeFillShade="D9"/>
          </w:tcPr>
          <w:p w:rsidR="00193588" w:rsidRPr="00E063FA" w:rsidRDefault="00193588" w:rsidP="00C043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5 %</w:t>
            </w:r>
          </w:p>
        </w:tc>
      </w:tr>
      <w:tr w:rsidR="00193588" w:rsidRPr="00E063FA" w:rsidTr="00C0439C">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auto"/>
              <w:bottom w:val="single" w:sz="4" w:space="0" w:color="auto"/>
              <w:right w:val="single" w:sz="4" w:space="0" w:color="auto"/>
            </w:tcBorders>
          </w:tcPr>
          <w:p w:rsidR="00193588" w:rsidRPr="00E063FA" w:rsidRDefault="00193588" w:rsidP="00C0439C">
            <w:pPr>
              <w:jc w:val="center"/>
              <w:rPr>
                <w:rFonts w:ascii="Times New Roman" w:hAnsi="Times New Roman"/>
                <w:sz w:val="24"/>
                <w:szCs w:val="24"/>
              </w:rPr>
            </w:pPr>
            <w:r>
              <w:rPr>
                <w:rFonts w:ascii="Times New Roman" w:hAnsi="Times New Roman"/>
                <w:sz w:val="24"/>
                <w:szCs w:val="24"/>
              </w:rPr>
              <w:t>Temperature dependency</w:t>
            </w:r>
          </w:p>
        </w:tc>
        <w:tc>
          <w:tcPr>
            <w:tcW w:w="2693" w:type="dxa"/>
            <w:tcBorders>
              <w:top w:val="single" w:sz="4" w:space="0" w:color="auto"/>
              <w:left w:val="single" w:sz="4" w:space="0" w:color="auto"/>
              <w:bottom w:val="single" w:sz="4" w:space="0" w:color="auto"/>
              <w:right w:val="single" w:sz="4" w:space="0" w:color="auto"/>
            </w:tcBorders>
          </w:tcPr>
          <w:p w:rsidR="00193588" w:rsidRDefault="00193588" w:rsidP="00C043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rPr>
              <w:t>Independent</w:t>
            </w:r>
          </w:p>
          <w:p w:rsidR="00193588" w:rsidRDefault="00193588" w:rsidP="00C043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4.6 % variation in the response within the range </w:t>
            </w:r>
          </w:p>
          <w:p w:rsidR="00193588" w:rsidRPr="00E063FA" w:rsidRDefault="00193588" w:rsidP="00C043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5-45 ºC</w:t>
            </w:r>
          </w:p>
        </w:tc>
        <w:tc>
          <w:tcPr>
            <w:tcW w:w="2552" w:type="dxa"/>
            <w:tcBorders>
              <w:top w:val="single" w:sz="4" w:space="0" w:color="auto"/>
              <w:left w:val="single" w:sz="4" w:space="0" w:color="auto"/>
              <w:bottom w:val="single" w:sz="4" w:space="0" w:color="auto"/>
              <w:right w:val="single" w:sz="4" w:space="0" w:color="auto"/>
            </w:tcBorders>
          </w:tcPr>
          <w:p w:rsidR="00193588" w:rsidRDefault="00193588" w:rsidP="00C043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rPr>
              <w:t>Independent</w:t>
            </w:r>
          </w:p>
          <w:p w:rsidR="00193588" w:rsidRDefault="00193588" w:rsidP="00C043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&lt; 2% variation in the response within the range</w:t>
            </w:r>
          </w:p>
          <w:p w:rsidR="00193588" w:rsidRPr="00E063FA" w:rsidRDefault="00193588" w:rsidP="00C043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1.5-50 ºC</w:t>
            </w:r>
          </w:p>
        </w:tc>
        <w:tc>
          <w:tcPr>
            <w:tcW w:w="2046" w:type="dxa"/>
            <w:tcBorders>
              <w:top w:val="single" w:sz="4" w:space="0" w:color="auto"/>
              <w:left w:val="single" w:sz="4" w:space="0" w:color="auto"/>
              <w:bottom w:val="single" w:sz="4" w:space="0" w:color="auto"/>
              <w:right w:val="nil"/>
            </w:tcBorders>
          </w:tcPr>
          <w:p w:rsidR="00193588" w:rsidRDefault="00193588" w:rsidP="00C043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Independent</w:t>
            </w:r>
          </w:p>
          <w:p w:rsidR="00193588" w:rsidRPr="00E063FA" w:rsidRDefault="00193588" w:rsidP="00C043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193588" w:rsidRPr="00E063FA" w:rsidTr="00C04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auto"/>
              <w:bottom w:val="single" w:sz="4" w:space="0" w:color="auto"/>
              <w:right w:val="single" w:sz="4" w:space="0" w:color="auto"/>
            </w:tcBorders>
            <w:shd w:val="clear" w:color="auto" w:fill="D9D9D9" w:themeFill="background1" w:themeFillShade="D9"/>
          </w:tcPr>
          <w:p w:rsidR="00193588" w:rsidRDefault="00193588" w:rsidP="00C0439C">
            <w:pPr>
              <w:jc w:val="center"/>
              <w:rPr>
                <w:rFonts w:ascii="Times New Roman" w:hAnsi="Times New Roman"/>
              </w:rPr>
            </w:pPr>
            <w:r>
              <w:rPr>
                <w:rFonts w:ascii="Times New Roman" w:hAnsi="Times New Roman"/>
              </w:rPr>
              <w:t>Dose rate dependency</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3588" w:rsidRDefault="00193588" w:rsidP="00C043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Independent</w:t>
            </w:r>
          </w:p>
          <w:p w:rsidR="00193588" w:rsidRDefault="00193588" w:rsidP="00C043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6.4 % variation</w:t>
            </w:r>
          </w:p>
          <w:p w:rsidR="00193588" w:rsidRDefault="00193588" w:rsidP="00C043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within the range  </w:t>
            </w:r>
          </w:p>
          <w:p w:rsidR="00193588" w:rsidRDefault="00193588" w:rsidP="00C043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vertAlign w:val="superscript"/>
              </w:rPr>
            </w:pPr>
            <w:r>
              <w:rPr>
                <w:rFonts w:ascii="Times New Roman" w:hAnsi="Times New Roman"/>
              </w:rPr>
              <w:t>3-13W/m</w:t>
            </w:r>
            <w:r>
              <w:rPr>
                <w:rFonts w:ascii="Times New Roman" w:hAnsi="Times New Roman"/>
                <w:vertAlign w:val="superscript"/>
              </w:rPr>
              <w:t>2</w:t>
            </w:r>
          </w:p>
          <w:p w:rsidR="00193588" w:rsidRPr="00C12CFA" w:rsidRDefault="00193588" w:rsidP="00C043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vertAlign w:val="superscript"/>
              </w:rPr>
            </w:pP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3588" w:rsidRDefault="00193588" w:rsidP="00C043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 xml:space="preserve">Independent </w:t>
            </w:r>
          </w:p>
          <w:p w:rsidR="00193588" w:rsidRDefault="00193588" w:rsidP="00C043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rPr>
              <w:t xml:space="preserve">4 % variation in the response </w:t>
            </w:r>
            <w:r>
              <w:rPr>
                <w:rFonts w:ascii="Times New Roman" w:hAnsi="Times New Roman"/>
                <w:sz w:val="24"/>
                <w:szCs w:val="24"/>
              </w:rPr>
              <w:t xml:space="preserve">within the range  </w:t>
            </w:r>
          </w:p>
          <w:p w:rsidR="00193588" w:rsidRDefault="00193588" w:rsidP="00C043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 xml:space="preserve"> 2.1-11.7 W/m</w:t>
            </w:r>
            <w:r>
              <w:rPr>
                <w:rFonts w:ascii="Times New Roman" w:hAnsi="Times New Roman"/>
                <w:vertAlign w:val="superscript"/>
              </w:rPr>
              <w:t>2</w:t>
            </w:r>
          </w:p>
          <w:p w:rsidR="00193588" w:rsidRDefault="00193588" w:rsidP="00C043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 xml:space="preserve">+ Slight dependency </w:t>
            </w:r>
          </w:p>
          <w:p w:rsidR="00193588" w:rsidRPr="00451B5B" w:rsidRDefault="00193588" w:rsidP="00C043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 xml:space="preserve">13 % variation in the response </w:t>
            </w:r>
            <w:r>
              <w:rPr>
                <w:rFonts w:ascii="Times New Roman" w:hAnsi="Times New Roman"/>
                <w:sz w:val="24"/>
                <w:szCs w:val="24"/>
              </w:rPr>
              <w:t xml:space="preserve">within </w:t>
            </w:r>
            <w:r>
              <w:rPr>
                <w:rFonts w:ascii="Times New Roman" w:hAnsi="Times New Roman"/>
              </w:rPr>
              <w:t>the range 1-3.7 W/m</w:t>
            </w:r>
            <w:r>
              <w:rPr>
                <w:rFonts w:ascii="Times New Roman" w:hAnsi="Times New Roman"/>
                <w:vertAlign w:val="superscript"/>
              </w:rPr>
              <w:t>2</w:t>
            </w:r>
          </w:p>
        </w:tc>
        <w:tc>
          <w:tcPr>
            <w:tcW w:w="2046" w:type="dxa"/>
            <w:tcBorders>
              <w:top w:val="single" w:sz="4" w:space="0" w:color="auto"/>
              <w:left w:val="single" w:sz="4" w:space="0" w:color="auto"/>
              <w:bottom w:val="single" w:sz="4" w:space="0" w:color="auto"/>
            </w:tcBorders>
            <w:shd w:val="clear" w:color="auto" w:fill="D9D9D9" w:themeFill="background1" w:themeFillShade="D9"/>
          </w:tcPr>
          <w:p w:rsidR="00193588" w:rsidRDefault="00193588" w:rsidP="00C043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Independent</w:t>
            </w:r>
          </w:p>
          <w:p w:rsidR="00193588" w:rsidRDefault="00193588" w:rsidP="00C043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5 % variation in the response within the range 0.56-3.4 W/m</w:t>
            </w:r>
            <w:r>
              <w:rPr>
                <w:rFonts w:ascii="Times New Roman" w:hAnsi="Times New Roman"/>
                <w:vertAlign w:val="superscript"/>
              </w:rPr>
              <w:t>2</w:t>
            </w:r>
          </w:p>
          <w:p w:rsidR="00193588" w:rsidRPr="00E063FA" w:rsidRDefault="00193588" w:rsidP="00C043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193588" w:rsidRPr="00E063FA" w:rsidTr="00C0439C">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auto"/>
              <w:bottom w:val="single" w:sz="4" w:space="0" w:color="auto"/>
              <w:right w:val="single" w:sz="4" w:space="0" w:color="auto"/>
            </w:tcBorders>
          </w:tcPr>
          <w:p w:rsidR="00193588" w:rsidRDefault="00193588" w:rsidP="00C0439C">
            <w:pPr>
              <w:jc w:val="center"/>
              <w:rPr>
                <w:rFonts w:ascii="Times New Roman" w:hAnsi="Times New Roman"/>
              </w:rPr>
            </w:pPr>
            <w:r>
              <w:rPr>
                <w:rFonts w:ascii="Times New Roman" w:hAnsi="Times New Roman"/>
              </w:rPr>
              <w:t xml:space="preserve">Angular response </w:t>
            </w:r>
          </w:p>
          <w:p w:rsidR="00193588" w:rsidRDefault="00193588" w:rsidP="00C0439C">
            <w:pPr>
              <w:jc w:val="center"/>
              <w:rPr>
                <w:rFonts w:ascii="Times New Roman" w:hAnsi="Times New Roman"/>
              </w:rPr>
            </w:pPr>
            <w:r>
              <w:rPr>
                <w:rFonts w:ascii="Times New Roman" w:hAnsi="Times New Roman"/>
              </w:rPr>
              <w:t>(% deviation from the cosine function)</w:t>
            </w:r>
          </w:p>
        </w:tc>
        <w:tc>
          <w:tcPr>
            <w:tcW w:w="2693" w:type="dxa"/>
            <w:tcBorders>
              <w:top w:val="single" w:sz="4" w:space="0" w:color="auto"/>
              <w:left w:val="single" w:sz="4" w:space="0" w:color="auto"/>
              <w:bottom w:val="single" w:sz="4" w:space="0" w:color="auto"/>
              <w:right w:val="single" w:sz="4" w:space="0" w:color="auto"/>
            </w:tcBorders>
          </w:tcPr>
          <w:p w:rsidR="00193588" w:rsidRDefault="00193588" w:rsidP="00C043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&lt; 6.5 % for angles up to 40º</w:t>
            </w:r>
          </w:p>
          <w:p w:rsidR="00193588" w:rsidRDefault="00193588" w:rsidP="00C043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increasing to up to 40% for angles ≥ 60º</w:t>
            </w:r>
          </w:p>
        </w:tc>
        <w:tc>
          <w:tcPr>
            <w:tcW w:w="2552" w:type="dxa"/>
            <w:tcBorders>
              <w:top w:val="single" w:sz="4" w:space="0" w:color="auto"/>
              <w:left w:val="single" w:sz="4" w:space="0" w:color="auto"/>
              <w:bottom w:val="single" w:sz="4" w:space="0" w:color="auto"/>
              <w:right w:val="single" w:sz="4" w:space="0" w:color="auto"/>
            </w:tcBorders>
          </w:tcPr>
          <w:p w:rsidR="00193588" w:rsidRDefault="00193588" w:rsidP="00C043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&lt; 6.2 % for angles up to 40º</w:t>
            </w:r>
          </w:p>
          <w:p w:rsidR="00193588" w:rsidRDefault="00193588" w:rsidP="00C043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 increasing to up to 13.2 % for angles ≥ 60º</w:t>
            </w:r>
          </w:p>
        </w:tc>
        <w:tc>
          <w:tcPr>
            <w:tcW w:w="2046" w:type="dxa"/>
            <w:tcBorders>
              <w:top w:val="single" w:sz="4" w:space="0" w:color="auto"/>
              <w:left w:val="single" w:sz="4" w:space="0" w:color="auto"/>
              <w:bottom w:val="single" w:sz="4" w:space="0" w:color="auto"/>
              <w:right w:val="nil"/>
            </w:tcBorders>
          </w:tcPr>
          <w:p w:rsidR="00193588" w:rsidRPr="00E063FA" w:rsidRDefault="00193588" w:rsidP="00C043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Independent for angles up to 70º</w:t>
            </w:r>
          </w:p>
        </w:tc>
      </w:tr>
      <w:tr w:rsidR="00193588" w:rsidRPr="00E063FA" w:rsidTr="00C04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auto"/>
              <w:bottom w:val="single" w:sz="4" w:space="0" w:color="auto"/>
              <w:right w:val="single" w:sz="4" w:space="0" w:color="auto"/>
            </w:tcBorders>
            <w:shd w:val="clear" w:color="auto" w:fill="D9D9D9" w:themeFill="background1" w:themeFillShade="D9"/>
          </w:tcPr>
          <w:p w:rsidR="00193588" w:rsidRPr="00E063FA" w:rsidRDefault="00193588" w:rsidP="00C0439C">
            <w:pPr>
              <w:jc w:val="center"/>
              <w:rPr>
                <w:rFonts w:ascii="Times New Roman" w:hAnsi="Times New Roman"/>
                <w:sz w:val="24"/>
                <w:szCs w:val="24"/>
              </w:rPr>
            </w:pPr>
            <w:r>
              <w:rPr>
                <w:rFonts w:ascii="Times New Roman" w:hAnsi="Times New Roman"/>
                <w:sz w:val="24"/>
                <w:szCs w:val="24"/>
              </w:rPr>
              <w:t xml:space="preserve">Dark reaction induced change after exposure </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3588" w:rsidRDefault="00193588" w:rsidP="00C043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Negligible </w:t>
            </w:r>
          </w:p>
          <w:p w:rsidR="00193588" w:rsidRPr="00E063FA" w:rsidRDefault="00193588" w:rsidP="00C043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No clear trend</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3588" w:rsidRDefault="00193588" w:rsidP="00C043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3.4 % per night</w:t>
            </w:r>
          </w:p>
          <w:p w:rsidR="00193588" w:rsidRPr="00E063FA" w:rsidRDefault="00193588" w:rsidP="00C043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Dependent on temperature</w:t>
            </w:r>
          </w:p>
        </w:tc>
        <w:tc>
          <w:tcPr>
            <w:tcW w:w="2046" w:type="dxa"/>
            <w:tcBorders>
              <w:top w:val="single" w:sz="4" w:space="0" w:color="auto"/>
              <w:left w:val="single" w:sz="4" w:space="0" w:color="auto"/>
              <w:bottom w:val="single" w:sz="4" w:space="0" w:color="auto"/>
            </w:tcBorders>
            <w:shd w:val="clear" w:color="auto" w:fill="D9D9D9" w:themeFill="background1" w:themeFillShade="D9"/>
          </w:tcPr>
          <w:p w:rsidR="00193588" w:rsidRDefault="00193588" w:rsidP="00C043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4 % after 24 hours</w:t>
            </w:r>
          </w:p>
          <w:p w:rsidR="00193588" w:rsidRPr="00E063FA" w:rsidRDefault="00193588" w:rsidP="00C043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5 % after a week</w:t>
            </w:r>
          </w:p>
        </w:tc>
      </w:tr>
    </w:tbl>
    <w:p w:rsidR="00193588" w:rsidRDefault="00193588" w:rsidP="00193588"/>
    <w:p w:rsidR="00193588" w:rsidRDefault="00193588" w:rsidP="00193588">
      <w:proofErr w:type="gramStart"/>
      <w:r>
        <w:t xml:space="preserve">Table 1: A comparison of the </w:t>
      </w:r>
      <w:proofErr w:type="spellStart"/>
      <w:r>
        <w:t>dosimetric</w:t>
      </w:r>
      <w:proofErr w:type="spellEnd"/>
      <w:r>
        <w:t xml:space="preserve"> properties of the PVC, PPO and PS dosimeters.</w:t>
      </w:r>
      <w:proofErr w:type="gramEnd"/>
    </w:p>
    <w:p w:rsidR="00193588" w:rsidRDefault="00193588" w:rsidP="00193588">
      <w:r>
        <w:fldChar w:fldCharType="begin"/>
      </w:r>
      <w:r>
        <w:instrText xml:space="preserve"> ADDIN EN.REFLIST </w:instrText>
      </w:r>
      <w:r>
        <w:fldChar w:fldCharType="separate"/>
      </w:r>
      <w:r>
        <w:fldChar w:fldCharType="end"/>
      </w:r>
    </w:p>
    <w:p w:rsidR="00193588" w:rsidRDefault="00193588" w:rsidP="00193588"/>
    <w:p w:rsidR="00193588" w:rsidRPr="004626C5" w:rsidRDefault="00193588" w:rsidP="00FB7C64">
      <w:pPr>
        <w:spacing w:line="480" w:lineRule="auto"/>
        <w:jc w:val="both"/>
      </w:pPr>
      <w:bookmarkStart w:id="0" w:name="_GoBack"/>
      <w:bookmarkEnd w:id="0"/>
    </w:p>
    <w:sectPr w:rsidR="00193588" w:rsidRPr="004626C5" w:rsidSect="00BB59AC">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474" w:rsidRDefault="00AE1474" w:rsidP="00827986">
      <w:r>
        <w:separator/>
      </w:r>
    </w:p>
  </w:endnote>
  <w:endnote w:type="continuationSeparator" w:id="0">
    <w:p w:rsidR="00AE1474" w:rsidRDefault="00AE1474" w:rsidP="0082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vTimes">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459001"/>
      <w:docPartObj>
        <w:docPartGallery w:val="Page Numbers (Bottom of Page)"/>
        <w:docPartUnique/>
      </w:docPartObj>
    </w:sdtPr>
    <w:sdtEndPr/>
    <w:sdtContent>
      <w:p w:rsidR="00AE1474" w:rsidRDefault="00193588">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rsidR="00AE1474" w:rsidRDefault="00AE1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474" w:rsidRDefault="00AE1474" w:rsidP="00827986">
      <w:r>
        <w:separator/>
      </w:r>
    </w:p>
  </w:footnote>
  <w:footnote w:type="continuationSeparator" w:id="0">
    <w:p w:rsidR="00AE1474" w:rsidRDefault="00AE1474" w:rsidP="008279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2E48"/>
    <w:multiLevelType w:val="multilevel"/>
    <w:tmpl w:val="0CBCD9B2"/>
    <w:lvl w:ilvl="0">
      <w:start w:val="1"/>
      <w:numFmt w:val="decimal"/>
      <w:lvlText w:val="[%1]"/>
      <w:lvlJc w:val="left"/>
      <w:pPr>
        <w:ind w:left="644"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DDE0B80"/>
    <w:multiLevelType w:val="multilevel"/>
    <w:tmpl w:val="F1084FF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DC477A1"/>
    <w:multiLevelType w:val="multilevel"/>
    <w:tmpl w:val="F1084FF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3E05A44"/>
    <w:multiLevelType w:val="multilevel"/>
    <w:tmpl w:val="F1084FF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2A8701B"/>
    <w:multiLevelType w:val="multilevel"/>
    <w:tmpl w:val="F1084FF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CCD7BB0"/>
    <w:multiLevelType w:val="multilevel"/>
    <w:tmpl w:val="F1084FF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0&lt;/Enabled&gt;&lt;ScanUnformatted&gt;1&lt;/ScanUnformatted&gt;&lt;ScanChanges&gt;1&lt;/ScanChanges&gt;&lt;/ENInstantFormat&gt;"/>
  </w:docVars>
  <w:rsids>
    <w:rsidRoot w:val="00B820DB"/>
    <w:rsid w:val="00164FC9"/>
    <w:rsid w:val="00193588"/>
    <w:rsid w:val="001E16B0"/>
    <w:rsid w:val="001E5417"/>
    <w:rsid w:val="001F2E10"/>
    <w:rsid w:val="00280070"/>
    <w:rsid w:val="00371CF7"/>
    <w:rsid w:val="0040365B"/>
    <w:rsid w:val="004626C5"/>
    <w:rsid w:val="00510F4C"/>
    <w:rsid w:val="00544591"/>
    <w:rsid w:val="005F0117"/>
    <w:rsid w:val="006841B1"/>
    <w:rsid w:val="00716C0C"/>
    <w:rsid w:val="00827986"/>
    <w:rsid w:val="00922C2A"/>
    <w:rsid w:val="00943483"/>
    <w:rsid w:val="00A906B8"/>
    <w:rsid w:val="00AE1474"/>
    <w:rsid w:val="00B820DB"/>
    <w:rsid w:val="00BB59AC"/>
    <w:rsid w:val="00BE0950"/>
    <w:rsid w:val="00BF6316"/>
    <w:rsid w:val="00C21BA5"/>
    <w:rsid w:val="00C66189"/>
    <w:rsid w:val="00CB1217"/>
    <w:rsid w:val="00D26F20"/>
    <w:rsid w:val="00DD2843"/>
    <w:rsid w:val="00FB7C64"/>
    <w:rsid w:val="00FD507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0DB"/>
    <w:pPr>
      <w:spacing w:after="0" w:line="240" w:lineRule="auto"/>
    </w:pPr>
    <w:rPr>
      <w:sz w:val="24"/>
      <w:szCs w:val="24"/>
      <w:lang w:val="en-GB"/>
    </w:rPr>
  </w:style>
  <w:style w:type="paragraph" w:styleId="Heading1">
    <w:name w:val="heading 1"/>
    <w:basedOn w:val="Normal"/>
    <w:next w:val="Normal"/>
    <w:link w:val="Heading1Char"/>
    <w:uiPriority w:val="9"/>
    <w:qFormat/>
    <w:rsid w:val="00B820D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B820D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B820D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B820D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B820D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B820DB"/>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B820DB"/>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820DB"/>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820DB"/>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0DB"/>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rsid w:val="00B820DB"/>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rsid w:val="00B820DB"/>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rsid w:val="00B820DB"/>
    <w:rPr>
      <w:rFonts w:cstheme="majorBidi"/>
      <w:b/>
      <w:bCs/>
      <w:sz w:val="28"/>
      <w:szCs w:val="28"/>
      <w:lang w:val="en-GB"/>
    </w:rPr>
  </w:style>
  <w:style w:type="character" w:customStyle="1" w:styleId="Heading5Char">
    <w:name w:val="Heading 5 Char"/>
    <w:basedOn w:val="DefaultParagraphFont"/>
    <w:link w:val="Heading5"/>
    <w:uiPriority w:val="9"/>
    <w:rsid w:val="00B820DB"/>
    <w:rPr>
      <w:rFonts w:cstheme="majorBidi"/>
      <w:b/>
      <w:bCs/>
      <w:i/>
      <w:iCs/>
      <w:sz w:val="26"/>
      <w:szCs w:val="26"/>
      <w:lang w:val="en-GB"/>
    </w:rPr>
  </w:style>
  <w:style w:type="character" w:customStyle="1" w:styleId="Heading6Char">
    <w:name w:val="Heading 6 Char"/>
    <w:basedOn w:val="DefaultParagraphFont"/>
    <w:link w:val="Heading6"/>
    <w:uiPriority w:val="9"/>
    <w:rsid w:val="00B820DB"/>
    <w:rPr>
      <w:rFonts w:cstheme="majorBidi"/>
      <w:b/>
      <w:bCs/>
      <w:lang w:val="en-GB"/>
    </w:rPr>
  </w:style>
  <w:style w:type="paragraph" w:styleId="NoSpacing">
    <w:name w:val="No Spacing"/>
    <w:basedOn w:val="Normal"/>
    <w:uiPriority w:val="1"/>
    <w:qFormat/>
    <w:rsid w:val="00B820DB"/>
    <w:rPr>
      <w:szCs w:val="32"/>
    </w:rPr>
  </w:style>
  <w:style w:type="character" w:customStyle="1" w:styleId="Heading7Char">
    <w:name w:val="Heading 7 Char"/>
    <w:basedOn w:val="DefaultParagraphFont"/>
    <w:link w:val="Heading7"/>
    <w:uiPriority w:val="9"/>
    <w:rsid w:val="00B820DB"/>
    <w:rPr>
      <w:rFonts w:cstheme="majorBidi"/>
      <w:sz w:val="24"/>
      <w:szCs w:val="24"/>
      <w:lang w:val="en-GB"/>
    </w:rPr>
  </w:style>
  <w:style w:type="character" w:customStyle="1" w:styleId="Heading8Char">
    <w:name w:val="Heading 8 Char"/>
    <w:basedOn w:val="DefaultParagraphFont"/>
    <w:link w:val="Heading8"/>
    <w:uiPriority w:val="9"/>
    <w:semiHidden/>
    <w:rsid w:val="00B820DB"/>
    <w:rPr>
      <w:rFonts w:cstheme="majorBidi"/>
      <w:i/>
      <w:iCs/>
      <w:sz w:val="24"/>
      <w:szCs w:val="24"/>
      <w:lang w:val="en-GB"/>
    </w:rPr>
  </w:style>
  <w:style w:type="character" w:customStyle="1" w:styleId="Heading9Char">
    <w:name w:val="Heading 9 Char"/>
    <w:basedOn w:val="DefaultParagraphFont"/>
    <w:link w:val="Heading9"/>
    <w:uiPriority w:val="9"/>
    <w:semiHidden/>
    <w:rsid w:val="00B820DB"/>
    <w:rPr>
      <w:rFonts w:asciiTheme="majorHAnsi" w:eastAsiaTheme="majorEastAsia" w:hAnsiTheme="majorHAnsi" w:cstheme="majorBidi"/>
      <w:lang w:val="en-GB"/>
    </w:rPr>
  </w:style>
  <w:style w:type="paragraph" w:styleId="Title">
    <w:name w:val="Title"/>
    <w:basedOn w:val="Normal"/>
    <w:next w:val="Normal"/>
    <w:link w:val="TitleChar"/>
    <w:uiPriority w:val="10"/>
    <w:qFormat/>
    <w:rsid w:val="00B820D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820DB"/>
    <w:rPr>
      <w:rFonts w:asciiTheme="majorHAnsi" w:eastAsiaTheme="majorEastAsia" w:hAnsiTheme="majorHAnsi" w:cstheme="majorBidi"/>
      <w:b/>
      <w:bCs/>
      <w:kern w:val="28"/>
      <w:sz w:val="32"/>
      <w:szCs w:val="32"/>
      <w:lang w:val="en-GB"/>
    </w:rPr>
  </w:style>
  <w:style w:type="paragraph" w:styleId="Subtitle">
    <w:name w:val="Subtitle"/>
    <w:basedOn w:val="Normal"/>
    <w:next w:val="Normal"/>
    <w:link w:val="SubtitleChar"/>
    <w:uiPriority w:val="11"/>
    <w:qFormat/>
    <w:rsid w:val="00B820D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820DB"/>
    <w:rPr>
      <w:rFonts w:asciiTheme="majorHAnsi" w:eastAsiaTheme="majorEastAsia" w:hAnsiTheme="majorHAnsi" w:cstheme="majorBidi"/>
      <w:sz w:val="24"/>
      <w:szCs w:val="24"/>
      <w:lang w:val="en-GB"/>
    </w:rPr>
  </w:style>
  <w:style w:type="character" w:styleId="Strong">
    <w:name w:val="Strong"/>
    <w:basedOn w:val="DefaultParagraphFont"/>
    <w:uiPriority w:val="22"/>
    <w:qFormat/>
    <w:rsid w:val="00B820DB"/>
    <w:rPr>
      <w:b/>
      <w:bCs/>
    </w:rPr>
  </w:style>
  <w:style w:type="character" w:styleId="Emphasis">
    <w:name w:val="Emphasis"/>
    <w:basedOn w:val="DefaultParagraphFont"/>
    <w:uiPriority w:val="20"/>
    <w:qFormat/>
    <w:rsid w:val="00B820DB"/>
    <w:rPr>
      <w:rFonts w:asciiTheme="minorHAnsi" w:hAnsiTheme="minorHAnsi"/>
      <w:b/>
      <w:i/>
      <w:iCs/>
    </w:rPr>
  </w:style>
  <w:style w:type="paragraph" w:styleId="ListParagraph">
    <w:name w:val="List Paragraph"/>
    <w:basedOn w:val="Normal"/>
    <w:uiPriority w:val="34"/>
    <w:qFormat/>
    <w:rsid w:val="00B820DB"/>
    <w:pPr>
      <w:ind w:left="720"/>
      <w:contextualSpacing/>
    </w:pPr>
  </w:style>
  <w:style w:type="paragraph" w:styleId="Quote">
    <w:name w:val="Quote"/>
    <w:basedOn w:val="Normal"/>
    <w:next w:val="Normal"/>
    <w:link w:val="QuoteChar"/>
    <w:uiPriority w:val="29"/>
    <w:qFormat/>
    <w:rsid w:val="00B820DB"/>
    <w:rPr>
      <w:i/>
    </w:rPr>
  </w:style>
  <w:style w:type="character" w:customStyle="1" w:styleId="QuoteChar">
    <w:name w:val="Quote Char"/>
    <w:basedOn w:val="DefaultParagraphFont"/>
    <w:link w:val="Quote"/>
    <w:uiPriority w:val="29"/>
    <w:rsid w:val="00B820DB"/>
    <w:rPr>
      <w:i/>
      <w:sz w:val="24"/>
      <w:szCs w:val="24"/>
      <w:lang w:val="en-GB"/>
    </w:rPr>
  </w:style>
  <w:style w:type="paragraph" w:styleId="IntenseQuote">
    <w:name w:val="Intense Quote"/>
    <w:basedOn w:val="Normal"/>
    <w:next w:val="Normal"/>
    <w:link w:val="IntenseQuoteChar"/>
    <w:uiPriority w:val="30"/>
    <w:qFormat/>
    <w:rsid w:val="00B820DB"/>
    <w:pPr>
      <w:ind w:left="720" w:right="720"/>
    </w:pPr>
    <w:rPr>
      <w:b/>
      <w:i/>
      <w:szCs w:val="22"/>
    </w:rPr>
  </w:style>
  <w:style w:type="character" w:customStyle="1" w:styleId="IntenseQuoteChar">
    <w:name w:val="Intense Quote Char"/>
    <w:basedOn w:val="DefaultParagraphFont"/>
    <w:link w:val="IntenseQuote"/>
    <w:uiPriority w:val="30"/>
    <w:rsid w:val="00B820DB"/>
    <w:rPr>
      <w:b/>
      <w:i/>
      <w:sz w:val="24"/>
      <w:lang w:val="en-GB"/>
    </w:rPr>
  </w:style>
  <w:style w:type="character" w:styleId="SubtleEmphasis">
    <w:name w:val="Subtle Emphasis"/>
    <w:uiPriority w:val="19"/>
    <w:qFormat/>
    <w:rsid w:val="00B820DB"/>
    <w:rPr>
      <w:i/>
      <w:color w:val="5A5A5A" w:themeColor="text1" w:themeTint="A5"/>
    </w:rPr>
  </w:style>
  <w:style w:type="character" w:styleId="IntenseEmphasis">
    <w:name w:val="Intense Emphasis"/>
    <w:basedOn w:val="DefaultParagraphFont"/>
    <w:uiPriority w:val="21"/>
    <w:qFormat/>
    <w:rsid w:val="00B820DB"/>
    <w:rPr>
      <w:b/>
      <w:i/>
      <w:sz w:val="24"/>
      <w:szCs w:val="24"/>
      <w:u w:val="single"/>
    </w:rPr>
  </w:style>
  <w:style w:type="character" w:styleId="SubtleReference">
    <w:name w:val="Subtle Reference"/>
    <w:basedOn w:val="DefaultParagraphFont"/>
    <w:uiPriority w:val="31"/>
    <w:qFormat/>
    <w:rsid w:val="00B820DB"/>
    <w:rPr>
      <w:sz w:val="24"/>
      <w:szCs w:val="24"/>
      <w:u w:val="single"/>
    </w:rPr>
  </w:style>
  <w:style w:type="character" w:styleId="IntenseReference">
    <w:name w:val="Intense Reference"/>
    <w:basedOn w:val="DefaultParagraphFont"/>
    <w:uiPriority w:val="32"/>
    <w:qFormat/>
    <w:rsid w:val="00B820DB"/>
    <w:rPr>
      <w:b/>
      <w:sz w:val="24"/>
      <w:u w:val="single"/>
    </w:rPr>
  </w:style>
  <w:style w:type="character" w:styleId="BookTitle">
    <w:name w:val="Book Title"/>
    <w:basedOn w:val="DefaultParagraphFont"/>
    <w:uiPriority w:val="33"/>
    <w:qFormat/>
    <w:rsid w:val="00B820D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20DB"/>
    <w:pPr>
      <w:outlineLvl w:val="9"/>
    </w:pPr>
  </w:style>
  <w:style w:type="paragraph" w:styleId="Header">
    <w:name w:val="header"/>
    <w:basedOn w:val="Normal"/>
    <w:link w:val="HeaderChar"/>
    <w:uiPriority w:val="99"/>
    <w:semiHidden/>
    <w:unhideWhenUsed/>
    <w:rsid w:val="00B820DB"/>
    <w:pPr>
      <w:tabs>
        <w:tab w:val="center" w:pos="4513"/>
        <w:tab w:val="right" w:pos="9026"/>
      </w:tabs>
    </w:pPr>
  </w:style>
  <w:style w:type="character" w:customStyle="1" w:styleId="HeaderChar">
    <w:name w:val="Header Char"/>
    <w:basedOn w:val="DefaultParagraphFont"/>
    <w:link w:val="Header"/>
    <w:uiPriority w:val="99"/>
    <w:semiHidden/>
    <w:rsid w:val="00B820DB"/>
    <w:rPr>
      <w:sz w:val="24"/>
      <w:szCs w:val="24"/>
      <w:lang w:val="en-GB"/>
    </w:rPr>
  </w:style>
  <w:style w:type="paragraph" w:styleId="Footer">
    <w:name w:val="footer"/>
    <w:basedOn w:val="Normal"/>
    <w:link w:val="FooterChar"/>
    <w:uiPriority w:val="99"/>
    <w:unhideWhenUsed/>
    <w:rsid w:val="00B820DB"/>
    <w:pPr>
      <w:tabs>
        <w:tab w:val="center" w:pos="4513"/>
        <w:tab w:val="right" w:pos="9026"/>
      </w:tabs>
    </w:pPr>
  </w:style>
  <w:style w:type="character" w:customStyle="1" w:styleId="FooterChar">
    <w:name w:val="Footer Char"/>
    <w:basedOn w:val="DefaultParagraphFont"/>
    <w:link w:val="Footer"/>
    <w:uiPriority w:val="99"/>
    <w:rsid w:val="00B820DB"/>
    <w:rPr>
      <w:sz w:val="24"/>
      <w:szCs w:val="24"/>
      <w:lang w:val="en-GB"/>
    </w:rPr>
  </w:style>
  <w:style w:type="paragraph" w:customStyle="1" w:styleId="Default">
    <w:name w:val="Default"/>
    <w:rsid w:val="00B820DB"/>
    <w:pPr>
      <w:autoSpaceDE w:val="0"/>
      <w:autoSpaceDN w:val="0"/>
      <w:adjustRightInd w:val="0"/>
      <w:spacing w:after="0" w:line="240" w:lineRule="auto"/>
    </w:pPr>
    <w:rPr>
      <w:rFonts w:ascii="Times New Roman" w:hAnsi="Times New Roman"/>
      <w:color w:val="000000"/>
      <w:sz w:val="24"/>
      <w:szCs w:val="24"/>
      <w:lang w:val="en-AU" w:bidi="ar-SA"/>
    </w:rPr>
  </w:style>
  <w:style w:type="paragraph" w:styleId="BalloonText">
    <w:name w:val="Balloon Text"/>
    <w:basedOn w:val="Normal"/>
    <w:link w:val="BalloonTextChar"/>
    <w:uiPriority w:val="99"/>
    <w:semiHidden/>
    <w:unhideWhenUsed/>
    <w:rsid w:val="00B820DB"/>
    <w:rPr>
      <w:rFonts w:ascii="Tahoma" w:hAnsi="Tahoma" w:cs="Tahoma"/>
      <w:sz w:val="16"/>
      <w:szCs w:val="16"/>
    </w:rPr>
  </w:style>
  <w:style w:type="character" w:customStyle="1" w:styleId="BalloonTextChar">
    <w:name w:val="Balloon Text Char"/>
    <w:basedOn w:val="DefaultParagraphFont"/>
    <w:link w:val="BalloonText"/>
    <w:uiPriority w:val="99"/>
    <w:semiHidden/>
    <w:rsid w:val="00B820DB"/>
    <w:rPr>
      <w:rFonts w:ascii="Tahoma" w:hAnsi="Tahoma" w:cs="Tahoma"/>
      <w:sz w:val="16"/>
      <w:szCs w:val="16"/>
      <w:lang w:val="en-GB"/>
    </w:rPr>
  </w:style>
  <w:style w:type="table" w:styleId="TableGrid">
    <w:name w:val="Table Grid"/>
    <w:basedOn w:val="TableNormal"/>
    <w:uiPriority w:val="59"/>
    <w:rsid w:val="00B82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B820D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B820DB"/>
    <w:rPr>
      <w:color w:val="0000FF" w:themeColor="hyperlink"/>
      <w:u w:val="single"/>
    </w:rPr>
  </w:style>
  <w:style w:type="table" w:styleId="LightShading">
    <w:name w:val="Light Shading"/>
    <w:basedOn w:val="TableNormal"/>
    <w:uiPriority w:val="60"/>
    <w:rsid w:val="001935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4.png"/><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chart" Target="charts/chart3.xml"/><Relationship Id="rId42"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chart" Target="charts/chart2.xml"/><Relationship Id="rId38" Type="http://schemas.openxmlformats.org/officeDocument/2006/relationships/chart" Target="charts/chart6.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chart" Target="charts/chart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chart" Target="charts/chart1.xml"/><Relationship Id="rId37" Type="http://schemas.openxmlformats.org/officeDocument/2006/relationships/image" Target="media/image13.png"/><Relationship Id="rId40" Type="http://schemas.openxmlformats.org/officeDocument/2006/relationships/chart" Target="charts/chart7.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chart" Target="charts/chart5.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chart" Target="charts/chart4.xml"/><Relationship Id="rId43"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vpc\My%20Documents\Amar\Amar%20PVC\Refined%20exp.%20dryning%20tima%20$%20T%20dependencey\Drying%20time%20vs%20absorbanc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usq\staff\home\W0105437\Third%20paper\field%20tri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q\staff\home\W0105437\dessirtation%20expirements\Temperature%20dpendency\Refined%20experemint\Final%20results\Exposure%20vs%20temp..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q\staff\home\W0105437\dessirtation%20expirements\Reproducibility\reproducibility.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usq\staff\home\W0105437\dessirtation%20expirements\Temperature%20dpendency\Refined%20experemint\Final%20results\temperature%20dependency%2010-45%20C.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usq\staff\home\W0105437\dessirtation%20expirements\Dose%20rate\Dose%20rat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usq\staff\home\W0105437\dessirtation%20expirements\Backscatering\Backscater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usq\staff\home\W0105437\Third%20paper\Erythemal%20dose%20respons%20curv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usq\staff\home\W0105437\dessirtation%20expirements\Sensitivity%20to%20small%20doses\irradianc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usq\staff\home\W0105437\dessirtation%20expirements\Dark%20reaction\Dark%20reac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Sheet2!$N$3</c:f>
              <c:strCache>
                <c:ptCount val="1"/>
                <c:pt idx="0">
                  <c:v>Av.</c:v>
                </c:pt>
              </c:strCache>
            </c:strRef>
          </c:tx>
          <c:spPr>
            <a:ln w="28575">
              <a:noFill/>
            </a:ln>
          </c:spPr>
          <c:marker>
            <c:symbol val="circle"/>
            <c:size val="5"/>
            <c:spPr>
              <a:solidFill>
                <a:schemeClr val="tx1"/>
              </a:solidFill>
              <a:ln>
                <a:noFill/>
              </a:ln>
            </c:spPr>
          </c:marker>
          <c:trendline>
            <c:trendlineType val="poly"/>
            <c:order val="2"/>
            <c:dispRSqr val="1"/>
            <c:dispEq val="1"/>
            <c:trendlineLbl>
              <c:layout>
                <c:manualLayout>
                  <c:x val="-0.10824256342957163"/>
                  <c:y val="-0.34503564272552179"/>
                </c:manualLayout>
              </c:layout>
              <c:tx>
                <c:rich>
                  <a:bodyPr/>
                  <a:lstStyle/>
                  <a:p>
                    <a:pPr>
                      <a:defRPr/>
                    </a:pPr>
                    <a:r>
                      <a:rPr lang="en-AU" baseline="0"/>
                      <a:t>y = 0.0002x</a:t>
                    </a:r>
                    <a:r>
                      <a:rPr lang="en-AU" baseline="30000"/>
                      <a:t>2</a:t>
                    </a:r>
                    <a:r>
                      <a:rPr lang="en-AU" baseline="0"/>
                      <a:t> - 0.0087x + 0.2324
R² = 0.98</a:t>
                    </a:r>
                    <a:endParaRPr lang="en-AU"/>
                  </a:p>
                </c:rich>
              </c:tx>
              <c:numFmt formatCode="General" sourceLinked="0"/>
            </c:trendlineLbl>
          </c:trendline>
          <c:errBars>
            <c:errDir val="y"/>
            <c:errBarType val="both"/>
            <c:errValType val="cust"/>
            <c:noEndCap val="0"/>
            <c:plus>
              <c:numRef>
                <c:f>Sheet2!$O$4:$O$22</c:f>
                <c:numCache>
                  <c:formatCode>General</c:formatCode>
                  <c:ptCount val="19"/>
                  <c:pt idx="0">
                    <c:v>1.2101257969502342E-2</c:v>
                  </c:pt>
                  <c:pt idx="1">
                    <c:v>1.225405193757928E-2</c:v>
                  </c:pt>
                  <c:pt idx="2">
                    <c:v>1.1691157152119613E-2</c:v>
                  </c:pt>
                  <c:pt idx="3">
                    <c:v>1.1077707344031148E-2</c:v>
                  </c:pt>
                  <c:pt idx="4">
                    <c:v>1.0794803791125079E-2</c:v>
                  </c:pt>
                  <c:pt idx="5">
                    <c:v>1.0732093613705201E-2</c:v>
                  </c:pt>
                  <c:pt idx="6">
                    <c:v>1.050889358802554E-2</c:v>
                  </c:pt>
                  <c:pt idx="7">
                    <c:v>1.054012650145464E-2</c:v>
                  </c:pt>
                  <c:pt idx="8">
                    <c:v>1.0435482206821499E-2</c:v>
                  </c:pt>
                  <c:pt idx="9">
                    <c:v>1.0118162437474038E-2</c:v>
                  </c:pt>
                  <c:pt idx="10">
                    <c:v>1.0089992842195498E-2</c:v>
                  </c:pt>
                  <c:pt idx="11">
                    <c:v>9.9856947680169641E-3</c:v>
                  </c:pt>
                  <c:pt idx="12">
                    <c:v>9.8664054019463876E-3</c:v>
                  </c:pt>
                  <c:pt idx="13">
                    <c:v>9.653050755532664E-3</c:v>
                  </c:pt>
                  <c:pt idx="14">
                    <c:v>9.3934516197899959E-3</c:v>
                  </c:pt>
                  <c:pt idx="15">
                    <c:v>9.1194596574822335E-3</c:v>
                  </c:pt>
                  <c:pt idx="16">
                    <c:v>8.936878028086178E-3</c:v>
                  </c:pt>
                  <c:pt idx="17">
                    <c:v>8.783368753881771E-3</c:v>
                  </c:pt>
                  <c:pt idx="18">
                    <c:v>8.4766450386406962E-3</c:v>
                  </c:pt>
                </c:numCache>
              </c:numRef>
            </c:plus>
            <c:minus>
              <c:numRef>
                <c:f>Sheet2!$O$4:$O$22</c:f>
                <c:numCache>
                  <c:formatCode>General</c:formatCode>
                  <c:ptCount val="19"/>
                  <c:pt idx="0">
                    <c:v>1.2101257969502342E-2</c:v>
                  </c:pt>
                  <c:pt idx="1">
                    <c:v>1.225405193757928E-2</c:v>
                  </c:pt>
                  <c:pt idx="2">
                    <c:v>1.1691157152119613E-2</c:v>
                  </c:pt>
                  <c:pt idx="3">
                    <c:v>1.1077707344031148E-2</c:v>
                  </c:pt>
                  <c:pt idx="4">
                    <c:v>1.0794803791125079E-2</c:v>
                  </c:pt>
                  <c:pt idx="5">
                    <c:v>1.0732093613705201E-2</c:v>
                  </c:pt>
                  <c:pt idx="6">
                    <c:v>1.050889358802554E-2</c:v>
                  </c:pt>
                  <c:pt idx="7">
                    <c:v>1.054012650145464E-2</c:v>
                  </c:pt>
                  <c:pt idx="8">
                    <c:v>1.0435482206821499E-2</c:v>
                  </c:pt>
                  <c:pt idx="9">
                    <c:v>1.0118162437474038E-2</c:v>
                  </c:pt>
                  <c:pt idx="10">
                    <c:v>1.0089992842195498E-2</c:v>
                  </c:pt>
                  <c:pt idx="11">
                    <c:v>9.9856947680169641E-3</c:v>
                  </c:pt>
                  <c:pt idx="12">
                    <c:v>9.8664054019463876E-3</c:v>
                  </c:pt>
                  <c:pt idx="13">
                    <c:v>9.653050755532664E-3</c:v>
                  </c:pt>
                  <c:pt idx="14">
                    <c:v>9.3934516197899959E-3</c:v>
                  </c:pt>
                  <c:pt idx="15">
                    <c:v>9.1194596574822335E-3</c:v>
                  </c:pt>
                  <c:pt idx="16">
                    <c:v>8.936878028086178E-3</c:v>
                  </c:pt>
                  <c:pt idx="17">
                    <c:v>8.783368753881771E-3</c:v>
                  </c:pt>
                  <c:pt idx="18">
                    <c:v>8.4766450386406962E-3</c:v>
                  </c:pt>
                </c:numCache>
              </c:numRef>
            </c:minus>
          </c:errBars>
          <c:xVal>
            <c:numRef>
              <c:f>Sheet2!$M$4:$M$22</c:f>
              <c:numCache>
                <c:formatCode>General</c:formatCode>
                <c:ptCount val="19"/>
                <c:pt idx="0">
                  <c:v>0</c:v>
                </c:pt>
                <c:pt idx="1">
                  <c:v>1.0833333333333333</c:v>
                </c:pt>
                <c:pt idx="2">
                  <c:v>2.3333333333333335</c:v>
                </c:pt>
                <c:pt idx="3">
                  <c:v>3.25</c:v>
                </c:pt>
                <c:pt idx="4">
                  <c:v>4.2083333333333508</c:v>
                </c:pt>
                <c:pt idx="5">
                  <c:v>5.25</c:v>
                </c:pt>
                <c:pt idx="6">
                  <c:v>6.0833333333333508</c:v>
                </c:pt>
                <c:pt idx="7">
                  <c:v>6.9166666666666714</c:v>
                </c:pt>
                <c:pt idx="8">
                  <c:v>7.9166666666666714</c:v>
                </c:pt>
                <c:pt idx="9">
                  <c:v>10.041666666666666</c:v>
                </c:pt>
                <c:pt idx="10">
                  <c:v>12</c:v>
                </c:pt>
                <c:pt idx="11">
                  <c:v>13.666666666666702</c:v>
                </c:pt>
                <c:pt idx="12">
                  <c:v>14.875000000000034</c:v>
                </c:pt>
                <c:pt idx="13">
                  <c:v>16.895833333333222</c:v>
                </c:pt>
                <c:pt idx="14">
                  <c:v>19.895833333333222</c:v>
                </c:pt>
                <c:pt idx="15">
                  <c:v>23.395833333333222</c:v>
                </c:pt>
                <c:pt idx="16">
                  <c:v>25.520833333333222</c:v>
                </c:pt>
                <c:pt idx="17">
                  <c:v>26.8125</c:v>
                </c:pt>
                <c:pt idx="18">
                  <c:v>28.354166666666735</c:v>
                </c:pt>
              </c:numCache>
            </c:numRef>
          </c:xVal>
          <c:yVal>
            <c:numRef>
              <c:f>Sheet2!$N$4:$N$22</c:f>
              <c:numCache>
                <c:formatCode>General</c:formatCode>
                <c:ptCount val="19"/>
                <c:pt idx="0">
                  <c:v>0.24900000000000044</c:v>
                </c:pt>
                <c:pt idx="1">
                  <c:v>0.22737000000000002</c:v>
                </c:pt>
                <c:pt idx="2">
                  <c:v>0.20844000000000057</c:v>
                </c:pt>
                <c:pt idx="3">
                  <c:v>0.20025999999999999</c:v>
                </c:pt>
                <c:pt idx="4">
                  <c:v>0.19286999999999999</c:v>
                </c:pt>
                <c:pt idx="5">
                  <c:v>0.18625000000000044</c:v>
                </c:pt>
                <c:pt idx="6">
                  <c:v>0.17912</c:v>
                </c:pt>
                <c:pt idx="7">
                  <c:v>0.1765400000000005</c:v>
                </c:pt>
                <c:pt idx="8">
                  <c:v>0.17011999999999999</c:v>
                </c:pt>
                <c:pt idx="9">
                  <c:v>0.16191000000000044</c:v>
                </c:pt>
                <c:pt idx="10">
                  <c:v>0.15508000000000041</c:v>
                </c:pt>
                <c:pt idx="11">
                  <c:v>0.14939000000000024</c:v>
                </c:pt>
                <c:pt idx="12">
                  <c:v>0.14552000000000001</c:v>
                </c:pt>
                <c:pt idx="13">
                  <c:v>0.14005000000000001</c:v>
                </c:pt>
                <c:pt idx="14">
                  <c:v>0.13266</c:v>
                </c:pt>
                <c:pt idx="15">
                  <c:v>0.12889</c:v>
                </c:pt>
                <c:pt idx="16">
                  <c:v>0.12496999999999998</c:v>
                </c:pt>
                <c:pt idx="17">
                  <c:v>0.12283000000000002</c:v>
                </c:pt>
                <c:pt idx="18">
                  <c:v>0.12062000000000027</c:v>
                </c:pt>
              </c:numCache>
            </c:numRef>
          </c:yVal>
          <c:smooth val="0"/>
        </c:ser>
        <c:dLbls>
          <c:showLegendKey val="0"/>
          <c:showVal val="0"/>
          <c:showCatName val="0"/>
          <c:showSerName val="0"/>
          <c:showPercent val="0"/>
          <c:showBubbleSize val="0"/>
        </c:dLbls>
        <c:axId val="352681344"/>
        <c:axId val="352749056"/>
      </c:scatterChart>
      <c:valAx>
        <c:axId val="352681344"/>
        <c:scaling>
          <c:orientation val="minMax"/>
        </c:scaling>
        <c:delete val="0"/>
        <c:axPos val="b"/>
        <c:title>
          <c:tx>
            <c:rich>
              <a:bodyPr/>
              <a:lstStyle/>
              <a:p>
                <a:pPr>
                  <a:defRPr/>
                </a:pPr>
                <a:r>
                  <a:rPr lang="en-AU"/>
                  <a:t>Time of </a:t>
                </a:r>
                <a:r>
                  <a:rPr lang="en-AU" sz="1200" b="0" i="0" u="none" strike="noStrike" baseline="0"/>
                  <a:t>drying</a:t>
                </a:r>
                <a:r>
                  <a:rPr lang="en-AU"/>
                  <a:t> (d)</a:t>
                </a:r>
              </a:p>
            </c:rich>
          </c:tx>
          <c:layout/>
          <c:overlay val="0"/>
        </c:title>
        <c:numFmt formatCode="General" sourceLinked="1"/>
        <c:majorTickMark val="out"/>
        <c:minorTickMark val="none"/>
        <c:tickLblPos val="nextTo"/>
        <c:crossAx val="352749056"/>
        <c:crosses val="autoZero"/>
        <c:crossBetween val="midCat"/>
      </c:valAx>
      <c:valAx>
        <c:axId val="352749056"/>
        <c:scaling>
          <c:orientation val="minMax"/>
        </c:scaling>
        <c:delete val="0"/>
        <c:axPos val="l"/>
        <c:majorGridlines>
          <c:spPr>
            <a:ln>
              <a:solidFill>
                <a:schemeClr val="bg1">
                  <a:lumMod val="50000"/>
                </a:schemeClr>
              </a:solidFill>
              <a:prstDash val="sysDot"/>
            </a:ln>
          </c:spPr>
        </c:majorGridlines>
        <c:title>
          <c:tx>
            <c:rich>
              <a:bodyPr rot="-5400000" vert="horz"/>
              <a:lstStyle/>
              <a:p>
                <a:pPr>
                  <a:defRPr/>
                </a:pPr>
                <a:r>
                  <a:rPr lang="en-AU"/>
                  <a:t>Absolute absorbance</a:t>
                </a:r>
              </a:p>
            </c:rich>
          </c:tx>
          <c:layout/>
          <c:overlay val="0"/>
        </c:title>
        <c:numFmt formatCode="General" sourceLinked="1"/>
        <c:majorTickMark val="out"/>
        <c:minorTickMark val="none"/>
        <c:tickLblPos val="nextTo"/>
        <c:crossAx val="352681344"/>
        <c:crosses val="autoZero"/>
        <c:crossBetween val="midCat"/>
      </c:valAx>
    </c:plotArea>
    <c:plotVisOnly val="1"/>
    <c:dispBlanksAs val="gap"/>
    <c:showDLblsOverMax val="0"/>
  </c:chart>
  <c:txPr>
    <a:bodyPr/>
    <a:lstStyle/>
    <a:p>
      <a:pPr>
        <a:defRPr sz="1200" b="0">
          <a:latin typeface="Times New Roman" pitchFamily="18" charset="0"/>
          <a:cs typeface="Times New Roman"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Comparison!$F$7</c:f>
              <c:strCache>
                <c:ptCount val="1"/>
                <c:pt idx="0">
                  <c:v>PVC</c:v>
                </c:pt>
              </c:strCache>
            </c:strRef>
          </c:tx>
          <c:spPr>
            <a:solidFill>
              <a:schemeClr val="bg1">
                <a:lumMod val="50000"/>
              </a:schemeClr>
            </a:solidFill>
            <a:ln>
              <a:solidFill>
                <a:schemeClr val="tx1">
                  <a:lumMod val="95000"/>
                  <a:lumOff val="5000"/>
                </a:schemeClr>
              </a:solidFill>
            </a:ln>
          </c:spPr>
          <c:invertIfNegative val="0"/>
          <c:errBars>
            <c:errBarType val="both"/>
            <c:errValType val="cust"/>
            <c:noEndCap val="0"/>
            <c:plus>
              <c:numRef>
                <c:f>Comparison!$G$8:$G$12</c:f>
                <c:numCache>
                  <c:formatCode>General</c:formatCode>
                  <c:ptCount val="5"/>
                  <c:pt idx="0">
                    <c:v>10.03711631580893</c:v>
                  </c:pt>
                  <c:pt idx="1">
                    <c:v>22.990652481860309</c:v>
                  </c:pt>
                  <c:pt idx="2">
                    <c:v>34.687060056898005</c:v>
                  </c:pt>
                  <c:pt idx="3">
                    <c:v>56.637641384837544</c:v>
                  </c:pt>
                  <c:pt idx="4">
                    <c:v>47.321692651736264</c:v>
                  </c:pt>
                </c:numCache>
              </c:numRef>
            </c:plus>
            <c:minus>
              <c:numRef>
                <c:f>Comparison!$G$8:$G$12</c:f>
                <c:numCache>
                  <c:formatCode>General</c:formatCode>
                  <c:ptCount val="5"/>
                  <c:pt idx="0">
                    <c:v>10.03711631580893</c:v>
                  </c:pt>
                  <c:pt idx="1">
                    <c:v>22.990652481860309</c:v>
                  </c:pt>
                  <c:pt idx="2">
                    <c:v>34.687060056898005</c:v>
                  </c:pt>
                  <c:pt idx="3">
                    <c:v>56.637641384837544</c:v>
                  </c:pt>
                  <c:pt idx="4">
                    <c:v>47.321692651736264</c:v>
                  </c:pt>
                </c:numCache>
              </c:numRef>
            </c:minus>
          </c:errBars>
          <c:cat>
            <c:strRef>
              <c:f>Comparison!$E$8:$E$12</c:f>
              <c:strCache>
                <c:ptCount val="5"/>
                <c:pt idx="0">
                  <c:v>vertex</c:v>
                </c:pt>
                <c:pt idx="1">
                  <c:v>nose</c:v>
                </c:pt>
                <c:pt idx="2">
                  <c:v>shoulder</c:v>
                </c:pt>
                <c:pt idx="3">
                  <c:v>chin</c:v>
                </c:pt>
                <c:pt idx="4">
                  <c:v> back of the neck</c:v>
                </c:pt>
              </c:strCache>
            </c:strRef>
          </c:cat>
          <c:val>
            <c:numRef>
              <c:f>Comparison!$F$8:$F$12</c:f>
              <c:numCache>
                <c:formatCode>General</c:formatCode>
                <c:ptCount val="5"/>
                <c:pt idx="0">
                  <c:v>526.30772274462743</c:v>
                </c:pt>
                <c:pt idx="1">
                  <c:v>425.49491263325473</c:v>
                </c:pt>
                <c:pt idx="2">
                  <c:v>354.58354190378867</c:v>
                </c:pt>
                <c:pt idx="3">
                  <c:v>319.01618052436947</c:v>
                </c:pt>
                <c:pt idx="4">
                  <c:v>274.8925911115067</c:v>
                </c:pt>
              </c:numCache>
            </c:numRef>
          </c:val>
        </c:ser>
        <c:ser>
          <c:idx val="1"/>
          <c:order val="1"/>
          <c:tx>
            <c:strRef>
              <c:f>Comparison!$J$7</c:f>
              <c:strCache>
                <c:ptCount val="1"/>
                <c:pt idx="0">
                  <c:v>PPO</c:v>
                </c:pt>
              </c:strCache>
            </c:strRef>
          </c:tx>
          <c:spPr>
            <a:solidFill>
              <a:schemeClr val="bg1">
                <a:lumMod val="85000"/>
              </a:schemeClr>
            </a:solidFill>
            <a:ln>
              <a:solidFill>
                <a:schemeClr val="bg1">
                  <a:lumMod val="50000"/>
                </a:schemeClr>
              </a:solidFill>
            </a:ln>
          </c:spPr>
          <c:invertIfNegative val="0"/>
          <c:errBars>
            <c:errBarType val="both"/>
            <c:errValType val="cust"/>
            <c:noEndCap val="0"/>
            <c:plus>
              <c:numRef>
                <c:f>Comparison!$K$8:$K$12</c:f>
                <c:numCache>
                  <c:formatCode>General</c:formatCode>
                  <c:ptCount val="5"/>
                  <c:pt idx="0">
                    <c:v>43.003212600617374</c:v>
                  </c:pt>
                  <c:pt idx="1">
                    <c:v>19.029127737868446</c:v>
                  </c:pt>
                  <c:pt idx="2">
                    <c:v>17.855114567491132</c:v>
                  </c:pt>
                  <c:pt idx="3">
                    <c:v>5.9121426533289565</c:v>
                  </c:pt>
                  <c:pt idx="4">
                    <c:v>11.096844625399276</c:v>
                  </c:pt>
                </c:numCache>
              </c:numRef>
            </c:plus>
            <c:minus>
              <c:numRef>
                <c:f>Comparison!$K$8:$K$12</c:f>
                <c:numCache>
                  <c:formatCode>General</c:formatCode>
                  <c:ptCount val="5"/>
                  <c:pt idx="0">
                    <c:v>43.003212600617374</c:v>
                  </c:pt>
                  <c:pt idx="1">
                    <c:v>19.029127737868446</c:v>
                  </c:pt>
                  <c:pt idx="2">
                    <c:v>17.855114567491132</c:v>
                  </c:pt>
                  <c:pt idx="3">
                    <c:v>5.9121426533289565</c:v>
                  </c:pt>
                  <c:pt idx="4">
                    <c:v>11.096844625399276</c:v>
                  </c:pt>
                </c:numCache>
              </c:numRef>
            </c:minus>
          </c:errBars>
          <c:cat>
            <c:strRef>
              <c:f>Comparison!$E$8:$E$12</c:f>
              <c:strCache>
                <c:ptCount val="5"/>
                <c:pt idx="0">
                  <c:v>vertex</c:v>
                </c:pt>
                <c:pt idx="1">
                  <c:v>nose</c:v>
                </c:pt>
                <c:pt idx="2">
                  <c:v>shoulder</c:v>
                </c:pt>
                <c:pt idx="3">
                  <c:v>chin</c:v>
                </c:pt>
                <c:pt idx="4">
                  <c:v> back of the neck</c:v>
                </c:pt>
              </c:strCache>
            </c:strRef>
          </c:cat>
          <c:val>
            <c:numRef>
              <c:f>Comparison!$J$8:$J$12</c:f>
              <c:numCache>
                <c:formatCode>General</c:formatCode>
                <c:ptCount val="5"/>
                <c:pt idx="0">
                  <c:v>550.47579484734695</c:v>
                </c:pt>
                <c:pt idx="1">
                  <c:v>442.94127684027075</c:v>
                </c:pt>
                <c:pt idx="2">
                  <c:v>383.70047251779926</c:v>
                </c:pt>
                <c:pt idx="3">
                  <c:v>253.71910382789582</c:v>
                </c:pt>
                <c:pt idx="4">
                  <c:v>180.96279133090647</c:v>
                </c:pt>
              </c:numCache>
            </c:numRef>
          </c:val>
        </c:ser>
        <c:dLbls>
          <c:showLegendKey val="0"/>
          <c:showVal val="0"/>
          <c:showCatName val="0"/>
          <c:showSerName val="0"/>
          <c:showPercent val="0"/>
          <c:showBubbleSize val="0"/>
        </c:dLbls>
        <c:gapWidth val="150"/>
        <c:axId val="356064640"/>
        <c:axId val="352794112"/>
      </c:barChart>
      <c:catAx>
        <c:axId val="356064640"/>
        <c:scaling>
          <c:orientation val="minMax"/>
        </c:scaling>
        <c:delete val="0"/>
        <c:axPos val="b"/>
        <c:title>
          <c:tx>
            <c:rich>
              <a:bodyPr/>
              <a:lstStyle/>
              <a:p>
                <a:pPr>
                  <a:defRPr/>
                </a:pPr>
                <a:r>
                  <a:rPr lang="en-AU"/>
                  <a:t>Exposed site</a:t>
                </a:r>
              </a:p>
            </c:rich>
          </c:tx>
          <c:layout>
            <c:manualLayout>
              <c:xMode val="edge"/>
              <c:yMode val="edge"/>
              <c:x val="0.39100000000000074"/>
              <c:y val="0.90370370370370368"/>
            </c:manualLayout>
          </c:layout>
          <c:overlay val="0"/>
        </c:title>
        <c:majorTickMark val="out"/>
        <c:minorTickMark val="none"/>
        <c:tickLblPos val="nextTo"/>
        <c:crossAx val="352794112"/>
        <c:crosses val="autoZero"/>
        <c:auto val="1"/>
        <c:lblAlgn val="ctr"/>
        <c:lblOffset val="100"/>
        <c:noMultiLvlLbl val="0"/>
      </c:catAx>
      <c:valAx>
        <c:axId val="352794112"/>
        <c:scaling>
          <c:orientation val="minMax"/>
        </c:scaling>
        <c:delete val="0"/>
        <c:axPos val="l"/>
        <c:majorGridlines>
          <c:spPr>
            <a:ln>
              <a:solidFill>
                <a:schemeClr val="bg1">
                  <a:lumMod val="50000"/>
                </a:schemeClr>
              </a:solidFill>
              <a:prstDash val="sysDot"/>
            </a:ln>
          </c:spPr>
        </c:majorGridlines>
        <c:title>
          <c:tx>
            <c:rich>
              <a:bodyPr rot="-5400000" vert="horz"/>
              <a:lstStyle/>
              <a:p>
                <a:pPr>
                  <a:defRPr/>
                </a:pPr>
                <a:r>
                  <a:rPr lang="en-AU"/>
                  <a:t>Erythemal Exposure (ESD)</a:t>
                </a:r>
              </a:p>
            </c:rich>
          </c:tx>
          <c:layout/>
          <c:overlay val="0"/>
        </c:title>
        <c:numFmt formatCode="General" sourceLinked="1"/>
        <c:majorTickMark val="out"/>
        <c:minorTickMark val="none"/>
        <c:tickLblPos val="nextTo"/>
        <c:crossAx val="356064640"/>
        <c:crosses val="autoZero"/>
        <c:crossBetween val="between"/>
      </c:valAx>
    </c:plotArea>
    <c:legend>
      <c:legendPos val="r"/>
      <c:layout>
        <c:manualLayout>
          <c:xMode val="edge"/>
          <c:yMode val="edge"/>
          <c:x val="0.81962642169728783"/>
          <c:y val="8.2949475065616798E-2"/>
          <c:w val="0.11473906386701663"/>
          <c:h val="0.17738043161271524"/>
        </c:manualLayout>
      </c:layout>
      <c:overlay val="1"/>
    </c:legend>
    <c:plotVisOnly val="1"/>
    <c:dispBlanksAs val="gap"/>
    <c:showDLblsOverMax val="0"/>
  </c:chart>
  <c:txPr>
    <a:bodyPr/>
    <a:lstStyle/>
    <a:p>
      <a:pPr>
        <a:defRPr sz="1200" b="0">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752777777777778"/>
          <c:y val="5.5092592592592707E-2"/>
          <c:w val="0.83191666666666653"/>
          <c:h val="0.77254666083406243"/>
        </c:manualLayout>
      </c:layout>
      <c:barChart>
        <c:barDir val="col"/>
        <c:grouping val="clustered"/>
        <c:varyColors val="0"/>
        <c:ser>
          <c:idx val="0"/>
          <c:order val="0"/>
          <c:tx>
            <c:strRef>
              <c:f>Comparison!$B$15</c:f>
              <c:strCache>
                <c:ptCount val="1"/>
                <c:pt idx="0">
                  <c:v>at 45 ºC</c:v>
                </c:pt>
              </c:strCache>
            </c:strRef>
          </c:tx>
          <c:spPr>
            <a:solidFill>
              <a:schemeClr val="bg1">
                <a:lumMod val="50000"/>
              </a:schemeClr>
            </a:solidFill>
            <a:ln>
              <a:solidFill>
                <a:schemeClr val="bg1">
                  <a:lumMod val="50000"/>
                </a:schemeClr>
              </a:solidFill>
            </a:ln>
          </c:spPr>
          <c:invertIfNegative val="0"/>
          <c:errBars>
            <c:errBarType val="both"/>
            <c:errValType val="cust"/>
            <c:noEndCap val="0"/>
            <c:plus>
              <c:numRef>
                <c:f>Comparison!$C$19:$H$19</c:f>
                <c:numCache>
                  <c:formatCode>General</c:formatCode>
                  <c:ptCount val="6"/>
                  <c:pt idx="0">
                    <c:v>8.1338794471141479E-2</c:v>
                  </c:pt>
                  <c:pt idx="1">
                    <c:v>8.963784862778057E-2</c:v>
                  </c:pt>
                  <c:pt idx="2">
                    <c:v>4.952146683023062E-2</c:v>
                  </c:pt>
                  <c:pt idx="3">
                    <c:v>6.1191581668656764E-2</c:v>
                  </c:pt>
                  <c:pt idx="4">
                    <c:v>9.2494313874141657E-3</c:v>
                  </c:pt>
                  <c:pt idx="5">
                    <c:v>0.118465799708623</c:v>
                  </c:pt>
                </c:numCache>
              </c:numRef>
            </c:plus>
            <c:minus>
              <c:numRef>
                <c:f>Comparison!$C$19:$H$19</c:f>
                <c:numCache>
                  <c:formatCode>General</c:formatCode>
                  <c:ptCount val="6"/>
                  <c:pt idx="0">
                    <c:v>8.1338794471141479E-2</c:v>
                  </c:pt>
                  <c:pt idx="1">
                    <c:v>8.963784862778057E-2</c:v>
                  </c:pt>
                  <c:pt idx="2">
                    <c:v>4.952146683023062E-2</c:v>
                  </c:pt>
                  <c:pt idx="3">
                    <c:v>6.1191581668656764E-2</c:v>
                  </c:pt>
                  <c:pt idx="4">
                    <c:v>9.2494313874141657E-3</c:v>
                  </c:pt>
                  <c:pt idx="5">
                    <c:v>0.118465799708623</c:v>
                  </c:pt>
                </c:numCache>
              </c:numRef>
            </c:minus>
          </c:errBars>
          <c:cat>
            <c:numRef>
              <c:f>Comparison!$C$14:$H$14</c:f>
              <c:numCache>
                <c:formatCode>General</c:formatCode>
                <c:ptCount val="6"/>
                <c:pt idx="0">
                  <c:v>0</c:v>
                </c:pt>
                <c:pt idx="1">
                  <c:v>5</c:v>
                </c:pt>
                <c:pt idx="2">
                  <c:v>10</c:v>
                </c:pt>
                <c:pt idx="3">
                  <c:v>15</c:v>
                </c:pt>
                <c:pt idx="4">
                  <c:v>20</c:v>
                </c:pt>
                <c:pt idx="5">
                  <c:v>25</c:v>
                </c:pt>
              </c:numCache>
            </c:numRef>
          </c:cat>
          <c:val>
            <c:numRef>
              <c:f>Comparison!$C$15:$H$15</c:f>
              <c:numCache>
                <c:formatCode>General</c:formatCode>
                <c:ptCount val="6"/>
                <c:pt idx="0">
                  <c:v>1</c:v>
                </c:pt>
                <c:pt idx="1">
                  <c:v>1</c:v>
                </c:pt>
                <c:pt idx="2">
                  <c:v>1</c:v>
                </c:pt>
                <c:pt idx="3">
                  <c:v>1</c:v>
                </c:pt>
                <c:pt idx="4">
                  <c:v>1</c:v>
                </c:pt>
                <c:pt idx="5">
                  <c:v>1</c:v>
                </c:pt>
              </c:numCache>
            </c:numRef>
          </c:val>
        </c:ser>
        <c:ser>
          <c:idx val="1"/>
          <c:order val="1"/>
          <c:tx>
            <c:strRef>
              <c:f>Comparison!$B$16</c:f>
              <c:strCache>
                <c:ptCount val="1"/>
                <c:pt idx="0">
                  <c:v>at 25 ºC</c:v>
                </c:pt>
              </c:strCache>
            </c:strRef>
          </c:tx>
          <c:spPr>
            <a:solidFill>
              <a:schemeClr val="bg1">
                <a:lumMod val="85000"/>
              </a:schemeClr>
            </a:solidFill>
            <a:ln>
              <a:solidFill>
                <a:prstClr val="white">
                  <a:lumMod val="50000"/>
                </a:prstClr>
              </a:solidFill>
            </a:ln>
          </c:spPr>
          <c:invertIfNegative val="0"/>
          <c:errBars>
            <c:errBarType val="both"/>
            <c:errValType val="cust"/>
            <c:noEndCap val="0"/>
            <c:plus>
              <c:numRef>
                <c:f>Comparison!$C$20:$H$20</c:f>
                <c:numCache>
                  <c:formatCode>General</c:formatCode>
                  <c:ptCount val="6"/>
                  <c:pt idx="0">
                    <c:v>4.587571510050785E-2</c:v>
                  </c:pt>
                  <c:pt idx="1">
                    <c:v>5.4952097996098161E-2</c:v>
                  </c:pt>
                  <c:pt idx="2">
                    <c:v>5.4116462491821685E-2</c:v>
                  </c:pt>
                  <c:pt idx="3">
                    <c:v>7.9366997390207944E-2</c:v>
                  </c:pt>
                  <c:pt idx="4">
                    <c:v>1.6453438660187066E-2</c:v>
                  </c:pt>
                  <c:pt idx="5">
                    <c:v>0.16802489120605588</c:v>
                  </c:pt>
                </c:numCache>
              </c:numRef>
            </c:plus>
            <c:minus>
              <c:numRef>
                <c:f>Comparison!$C$20:$H$20</c:f>
                <c:numCache>
                  <c:formatCode>General</c:formatCode>
                  <c:ptCount val="6"/>
                  <c:pt idx="0">
                    <c:v>4.587571510050785E-2</c:v>
                  </c:pt>
                  <c:pt idx="1">
                    <c:v>5.4952097996098161E-2</c:v>
                  </c:pt>
                  <c:pt idx="2">
                    <c:v>5.4116462491821685E-2</c:v>
                  </c:pt>
                  <c:pt idx="3">
                    <c:v>7.9366997390207944E-2</c:v>
                  </c:pt>
                  <c:pt idx="4">
                    <c:v>1.6453438660187066E-2</c:v>
                  </c:pt>
                  <c:pt idx="5">
                    <c:v>0.16802489120605588</c:v>
                  </c:pt>
                </c:numCache>
              </c:numRef>
            </c:minus>
          </c:errBars>
          <c:cat>
            <c:numRef>
              <c:f>Comparison!$C$14:$H$14</c:f>
              <c:numCache>
                <c:formatCode>General</c:formatCode>
                <c:ptCount val="6"/>
                <c:pt idx="0">
                  <c:v>0</c:v>
                </c:pt>
                <c:pt idx="1">
                  <c:v>5</c:v>
                </c:pt>
                <c:pt idx="2">
                  <c:v>10</c:v>
                </c:pt>
                <c:pt idx="3">
                  <c:v>15</c:v>
                </c:pt>
                <c:pt idx="4">
                  <c:v>20</c:v>
                </c:pt>
                <c:pt idx="5">
                  <c:v>25</c:v>
                </c:pt>
              </c:numCache>
            </c:numRef>
          </c:cat>
          <c:val>
            <c:numRef>
              <c:f>Comparison!$C$16:$H$16</c:f>
              <c:numCache>
                <c:formatCode>General</c:formatCode>
                <c:ptCount val="6"/>
                <c:pt idx="0">
                  <c:v>0.71035901491182885</c:v>
                </c:pt>
                <c:pt idx="1">
                  <c:v>0.8549432815074729</c:v>
                </c:pt>
                <c:pt idx="2">
                  <c:v>0.85416955879876266</c:v>
                </c:pt>
                <c:pt idx="3">
                  <c:v>0.89896011044266755</c:v>
                </c:pt>
                <c:pt idx="4">
                  <c:v>0.90633444675152652</c:v>
                </c:pt>
                <c:pt idx="5">
                  <c:v>0.95992447486429089</c:v>
                </c:pt>
              </c:numCache>
            </c:numRef>
          </c:val>
        </c:ser>
        <c:dLbls>
          <c:showLegendKey val="0"/>
          <c:showVal val="0"/>
          <c:showCatName val="0"/>
          <c:showSerName val="0"/>
          <c:showPercent val="0"/>
          <c:showBubbleSize val="0"/>
        </c:dLbls>
        <c:gapWidth val="150"/>
        <c:axId val="352495872"/>
        <c:axId val="352506240"/>
      </c:barChart>
      <c:catAx>
        <c:axId val="352495872"/>
        <c:scaling>
          <c:orientation val="minMax"/>
        </c:scaling>
        <c:delete val="0"/>
        <c:axPos val="b"/>
        <c:title>
          <c:tx>
            <c:rich>
              <a:bodyPr/>
              <a:lstStyle/>
              <a:p>
                <a:pPr>
                  <a:defRPr/>
                </a:pPr>
                <a:r>
                  <a:rPr lang="en-AU"/>
                  <a:t>Time of drying (d)</a:t>
                </a:r>
              </a:p>
            </c:rich>
          </c:tx>
          <c:layout>
            <c:manualLayout>
              <c:xMode val="edge"/>
              <c:yMode val="edge"/>
              <c:x val="0.42540266841644897"/>
              <c:y val="0.90833333333333333"/>
            </c:manualLayout>
          </c:layout>
          <c:overlay val="0"/>
        </c:title>
        <c:numFmt formatCode="General" sourceLinked="1"/>
        <c:majorTickMark val="out"/>
        <c:minorTickMark val="none"/>
        <c:tickLblPos val="nextTo"/>
        <c:crossAx val="352506240"/>
        <c:crosses val="autoZero"/>
        <c:auto val="1"/>
        <c:lblAlgn val="ctr"/>
        <c:lblOffset val="100"/>
        <c:noMultiLvlLbl val="0"/>
      </c:catAx>
      <c:valAx>
        <c:axId val="352506240"/>
        <c:scaling>
          <c:orientation val="minMax"/>
        </c:scaling>
        <c:delete val="0"/>
        <c:axPos val="l"/>
        <c:majorGridlines>
          <c:spPr>
            <a:ln>
              <a:solidFill>
                <a:schemeClr val="bg1">
                  <a:lumMod val="50000"/>
                </a:schemeClr>
              </a:solidFill>
              <a:prstDash val="sysDot"/>
            </a:ln>
          </c:spPr>
        </c:majorGridlines>
        <c:title>
          <c:tx>
            <c:rich>
              <a:bodyPr rot="-5400000" vert="horz"/>
              <a:lstStyle/>
              <a:p>
                <a:pPr>
                  <a:defRPr/>
                </a:pPr>
                <a:r>
                  <a:rPr lang="en-AU"/>
                  <a:t>Normalised response</a:t>
                </a:r>
              </a:p>
            </c:rich>
          </c:tx>
          <c:layout>
            <c:manualLayout>
              <c:xMode val="edge"/>
              <c:yMode val="edge"/>
              <c:x val="1.1111111111111125E-2"/>
              <c:y val="0.2076388888888889"/>
            </c:manualLayout>
          </c:layout>
          <c:overlay val="0"/>
        </c:title>
        <c:numFmt formatCode="General" sourceLinked="1"/>
        <c:majorTickMark val="out"/>
        <c:minorTickMark val="none"/>
        <c:tickLblPos val="nextTo"/>
        <c:crossAx val="352495872"/>
        <c:crosses val="autoZero"/>
        <c:crossBetween val="between"/>
      </c:valAx>
    </c:plotArea>
    <c:legend>
      <c:legendPos val="r"/>
      <c:layout>
        <c:manualLayout>
          <c:xMode val="edge"/>
          <c:yMode val="edge"/>
          <c:x val="0.28438604549431357"/>
          <c:y val="0"/>
          <c:w val="0.47394728783902051"/>
          <c:h val="0.16812117235345569"/>
        </c:manualLayout>
      </c:layout>
      <c:overlay val="1"/>
    </c:legend>
    <c:plotVisOnly val="1"/>
    <c:dispBlanksAs val="gap"/>
    <c:showDLblsOverMax val="0"/>
  </c:chart>
  <c:txPr>
    <a:bodyPr/>
    <a:lstStyle/>
    <a:p>
      <a:pPr>
        <a:defRPr sz="1200" b="0">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1"/>
          <c:tx>
            <c:strRef>
              <c:f>Curves!$Q$16</c:f>
              <c:strCache>
                <c:ptCount val="1"/>
                <c:pt idx="0">
                  <c:v>Absorbance change</c:v>
                </c:pt>
              </c:strCache>
            </c:strRef>
          </c:tx>
          <c:spPr>
            <a:ln w="15875">
              <a:solidFill>
                <a:prstClr val="black"/>
              </a:solidFill>
            </a:ln>
          </c:spPr>
          <c:marker>
            <c:symbol val="circle"/>
            <c:size val="5"/>
            <c:spPr>
              <a:solidFill>
                <a:schemeClr val="tx1"/>
              </a:solidFill>
              <a:ln>
                <a:noFill/>
              </a:ln>
            </c:spPr>
          </c:marker>
          <c:errBars>
            <c:errDir val="y"/>
            <c:errBarType val="both"/>
            <c:errValType val="cust"/>
            <c:noEndCap val="0"/>
            <c:plus>
              <c:numRef>
                <c:f>Curves!$S$18:$S$24</c:f>
                <c:numCache>
                  <c:formatCode>General</c:formatCode>
                  <c:ptCount val="7"/>
                  <c:pt idx="0">
                    <c:v>0.1522635170834124</c:v>
                  </c:pt>
                  <c:pt idx="1">
                    <c:v>0.22219015017993451</c:v>
                  </c:pt>
                  <c:pt idx="2">
                    <c:v>0.22325688314497424</c:v>
                  </c:pt>
                  <c:pt idx="3">
                    <c:v>0.29766731745943087</c:v>
                  </c:pt>
                  <c:pt idx="4">
                    <c:v>0.3459634738914979</c:v>
                  </c:pt>
                  <c:pt idx="5">
                    <c:v>0.3472070193826195</c:v>
                  </c:pt>
                  <c:pt idx="6">
                    <c:v>0.38588884644223204</c:v>
                  </c:pt>
                </c:numCache>
              </c:numRef>
            </c:plus>
            <c:minus>
              <c:numRef>
                <c:f>Curves!$S$18:$S$24</c:f>
                <c:numCache>
                  <c:formatCode>General</c:formatCode>
                  <c:ptCount val="7"/>
                  <c:pt idx="0">
                    <c:v>0.1522635170834124</c:v>
                  </c:pt>
                  <c:pt idx="1">
                    <c:v>0.22219015017993451</c:v>
                  </c:pt>
                  <c:pt idx="2">
                    <c:v>0.22325688314497424</c:v>
                  </c:pt>
                  <c:pt idx="3">
                    <c:v>0.29766731745943087</c:v>
                  </c:pt>
                  <c:pt idx="4">
                    <c:v>0.3459634738914979</c:v>
                  </c:pt>
                  <c:pt idx="5">
                    <c:v>0.3472070193826195</c:v>
                  </c:pt>
                  <c:pt idx="6">
                    <c:v>0.38588884644223204</c:v>
                  </c:pt>
                </c:numCache>
              </c:numRef>
            </c:minus>
          </c:errBars>
          <c:errBars>
            <c:errDir val="x"/>
            <c:errBarType val="both"/>
            <c:errValType val="percentage"/>
            <c:noEndCap val="0"/>
            <c:val val="3"/>
          </c:errBars>
          <c:xVal>
            <c:numRef>
              <c:f>Curves!$J$17:$J$24</c:f>
              <c:numCache>
                <c:formatCode>General</c:formatCode>
                <c:ptCount val="8"/>
                <c:pt idx="1">
                  <c:v>0.87000012000000004</c:v>
                </c:pt>
                <c:pt idx="2">
                  <c:v>2.5710001199999977</c:v>
                </c:pt>
                <c:pt idx="3">
                  <c:v>5.9640001200000006</c:v>
                </c:pt>
                <c:pt idx="4">
                  <c:v>7.7670001079999853</c:v>
                </c:pt>
                <c:pt idx="5">
                  <c:v>11.799000108</c:v>
                </c:pt>
                <c:pt idx="6">
                  <c:v>16.904998908000035</c:v>
                </c:pt>
                <c:pt idx="7">
                  <c:v>27.576358920000068</c:v>
                </c:pt>
              </c:numCache>
            </c:numRef>
          </c:xVal>
          <c:yVal>
            <c:numRef>
              <c:f>Curves!$Q$17:$Q$24</c:f>
              <c:numCache>
                <c:formatCode>General</c:formatCode>
                <c:ptCount val="8"/>
                <c:pt idx="1">
                  <c:v>7.7017584410119024</c:v>
                </c:pt>
                <c:pt idx="2">
                  <c:v>17.760613194842129</c:v>
                </c:pt>
                <c:pt idx="3">
                  <c:v>32.107670149552391</c:v>
                </c:pt>
                <c:pt idx="4">
                  <c:v>38.614249522566439</c:v>
                </c:pt>
                <c:pt idx="5">
                  <c:v>51.420915681606985</c:v>
                </c:pt>
                <c:pt idx="6">
                  <c:v>63.436314491478278</c:v>
                </c:pt>
                <c:pt idx="7">
                  <c:v>77.893799294297196</c:v>
                </c:pt>
              </c:numCache>
            </c:numRef>
          </c:yVal>
          <c:smooth val="0"/>
        </c:ser>
        <c:ser>
          <c:idx val="0"/>
          <c:order val="0"/>
          <c:tx>
            <c:strRef>
              <c:f>Curves!$M$16</c:f>
              <c:strCache>
                <c:ptCount val="1"/>
                <c:pt idx="0">
                  <c:v>Average deviation from the mean</c:v>
                </c:pt>
              </c:strCache>
            </c:strRef>
          </c:tx>
          <c:spPr>
            <a:ln w="15875">
              <a:solidFill>
                <a:prstClr val="black"/>
              </a:solidFill>
              <a:prstDash val="lgDash"/>
            </a:ln>
          </c:spPr>
          <c:marker>
            <c:symbol val="triangle"/>
            <c:size val="5"/>
            <c:spPr>
              <a:solidFill>
                <a:schemeClr val="tx1"/>
              </a:solidFill>
              <a:ln>
                <a:noFill/>
              </a:ln>
            </c:spPr>
          </c:marker>
          <c:xVal>
            <c:numRef>
              <c:f>Curves!$J$17:$J$24</c:f>
              <c:numCache>
                <c:formatCode>General</c:formatCode>
                <c:ptCount val="8"/>
                <c:pt idx="1">
                  <c:v>0.87000012000000004</c:v>
                </c:pt>
                <c:pt idx="2">
                  <c:v>2.5710001199999977</c:v>
                </c:pt>
                <c:pt idx="3">
                  <c:v>5.9640001200000006</c:v>
                </c:pt>
                <c:pt idx="4">
                  <c:v>7.7670001079999853</c:v>
                </c:pt>
                <c:pt idx="5">
                  <c:v>11.799000108</c:v>
                </c:pt>
                <c:pt idx="6">
                  <c:v>16.904998908000035</c:v>
                </c:pt>
                <c:pt idx="7">
                  <c:v>27.576358920000068</c:v>
                </c:pt>
              </c:numCache>
            </c:numRef>
          </c:xVal>
          <c:yVal>
            <c:numRef>
              <c:f>Curves!$M$17:$M$24</c:f>
              <c:numCache>
                <c:formatCode>General</c:formatCode>
                <c:ptCount val="8"/>
                <c:pt idx="1">
                  <c:v>5.4208306431871964</c:v>
                </c:pt>
                <c:pt idx="2">
                  <c:v>3.0265177584347422</c:v>
                </c:pt>
                <c:pt idx="3">
                  <c:v>1.8107464695915347</c:v>
                </c:pt>
                <c:pt idx="4">
                  <c:v>2.1009314552063807</c:v>
                </c:pt>
                <c:pt idx="5">
                  <c:v>1.7900482590433437</c:v>
                </c:pt>
                <c:pt idx="6">
                  <c:v>1.5353589809375421</c:v>
                </c:pt>
                <c:pt idx="7">
                  <c:v>1.308999493144819</c:v>
                </c:pt>
              </c:numCache>
            </c:numRef>
          </c:yVal>
          <c:smooth val="0"/>
        </c:ser>
        <c:dLbls>
          <c:showLegendKey val="0"/>
          <c:showVal val="0"/>
          <c:showCatName val="0"/>
          <c:showSerName val="0"/>
          <c:showPercent val="0"/>
          <c:showBubbleSize val="0"/>
        </c:dLbls>
        <c:axId val="352474624"/>
        <c:axId val="352735232"/>
      </c:scatterChart>
      <c:valAx>
        <c:axId val="352474624"/>
        <c:scaling>
          <c:orientation val="minMax"/>
        </c:scaling>
        <c:delete val="0"/>
        <c:axPos val="b"/>
        <c:title>
          <c:tx>
            <c:rich>
              <a:bodyPr/>
              <a:lstStyle/>
              <a:p>
                <a:pPr>
                  <a:defRPr/>
                </a:pPr>
                <a:r>
                  <a:rPr lang="en-AU"/>
                  <a:t>Radiant exposure (MJ/m</a:t>
                </a:r>
                <a:r>
                  <a:rPr lang="en-AU" baseline="30000"/>
                  <a:t>2</a:t>
                </a:r>
                <a:r>
                  <a:rPr lang="en-AU"/>
                  <a:t>)</a:t>
                </a:r>
              </a:p>
            </c:rich>
          </c:tx>
          <c:layout/>
          <c:overlay val="0"/>
        </c:title>
        <c:numFmt formatCode="General" sourceLinked="1"/>
        <c:majorTickMark val="out"/>
        <c:minorTickMark val="none"/>
        <c:tickLblPos val="nextTo"/>
        <c:crossAx val="352735232"/>
        <c:crosses val="autoZero"/>
        <c:crossBetween val="midCat"/>
      </c:valAx>
      <c:valAx>
        <c:axId val="352735232"/>
        <c:scaling>
          <c:orientation val="minMax"/>
        </c:scaling>
        <c:delete val="0"/>
        <c:axPos val="l"/>
        <c:majorGridlines>
          <c:spPr>
            <a:ln>
              <a:solidFill>
                <a:schemeClr val="bg1">
                  <a:lumMod val="50000"/>
                </a:schemeClr>
              </a:solidFill>
              <a:prstDash val="sysDot"/>
            </a:ln>
          </c:spPr>
        </c:majorGridlines>
        <c:title>
          <c:tx>
            <c:rich>
              <a:bodyPr rot="-5400000" vert="horz"/>
              <a:lstStyle/>
              <a:p>
                <a:pPr>
                  <a:defRPr/>
                </a:pPr>
                <a:r>
                  <a:rPr lang="en-AU"/>
                  <a:t>%</a:t>
                </a:r>
              </a:p>
            </c:rich>
          </c:tx>
          <c:layout/>
          <c:overlay val="0"/>
        </c:title>
        <c:numFmt formatCode="General" sourceLinked="1"/>
        <c:majorTickMark val="out"/>
        <c:minorTickMark val="none"/>
        <c:tickLblPos val="nextTo"/>
        <c:crossAx val="352474624"/>
        <c:crosses val="autoZero"/>
        <c:crossBetween val="midCat"/>
        <c:majorUnit val="20"/>
      </c:valAx>
    </c:plotArea>
    <c:legend>
      <c:legendPos val="r"/>
      <c:layout>
        <c:manualLayout>
          <c:xMode val="edge"/>
          <c:yMode val="edge"/>
          <c:x val="0.64588888888889229"/>
          <c:y val="0.27096638961796654"/>
          <c:w val="0.33744444444444655"/>
          <c:h val="0.42103018372703432"/>
        </c:manualLayout>
      </c:layout>
      <c:overlay val="1"/>
    </c:legend>
    <c:plotVisOnly val="1"/>
    <c:dispBlanksAs val="gap"/>
    <c:showDLblsOverMax val="0"/>
  </c:chart>
  <c:txPr>
    <a:bodyPr/>
    <a:lstStyle/>
    <a:p>
      <a:pPr>
        <a:defRPr sz="1200" b="0">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Sheet2!$H$88</c:f>
              <c:strCache>
                <c:ptCount val="1"/>
                <c:pt idx="0">
                  <c:v>E</c:v>
                </c:pt>
              </c:strCache>
            </c:strRef>
          </c:tx>
          <c:spPr>
            <a:solidFill>
              <a:schemeClr val="bg1">
                <a:lumMod val="50000"/>
              </a:schemeClr>
            </a:solidFill>
            <a:ln>
              <a:solidFill>
                <a:schemeClr val="bg1">
                  <a:lumMod val="50000"/>
                </a:schemeClr>
              </a:solidFill>
            </a:ln>
          </c:spPr>
          <c:invertIfNegative val="0"/>
          <c:errBars>
            <c:errBarType val="both"/>
            <c:errValType val="cust"/>
            <c:noEndCap val="0"/>
            <c:plus>
              <c:numRef>
                <c:f>Sheet2!$L$89:$L$94</c:f>
                <c:numCache>
                  <c:formatCode>General</c:formatCode>
                  <c:ptCount val="6"/>
                  <c:pt idx="0">
                    <c:v>3.0432499274704601E-2</c:v>
                  </c:pt>
                  <c:pt idx="1">
                    <c:v>5.8869841930686811E-2</c:v>
                  </c:pt>
                  <c:pt idx="2">
                    <c:v>4.7960976396673974E-2</c:v>
                  </c:pt>
                  <c:pt idx="3">
                    <c:v>6.0993062618628184E-2</c:v>
                  </c:pt>
                  <c:pt idx="4">
                    <c:v>5.6031994236700924E-2</c:v>
                  </c:pt>
                  <c:pt idx="5">
                    <c:v>6.81879047590839E-2</c:v>
                  </c:pt>
                </c:numCache>
              </c:numRef>
            </c:plus>
            <c:minus>
              <c:numRef>
                <c:f>Sheet2!$L$89:$L$94</c:f>
                <c:numCache>
                  <c:formatCode>General</c:formatCode>
                  <c:ptCount val="6"/>
                  <c:pt idx="0">
                    <c:v>3.0432499274704601E-2</c:v>
                  </c:pt>
                  <c:pt idx="1">
                    <c:v>5.8869841930686811E-2</c:v>
                  </c:pt>
                  <c:pt idx="2">
                    <c:v>4.7960976396673974E-2</c:v>
                  </c:pt>
                  <c:pt idx="3">
                    <c:v>6.0993062618628184E-2</c:v>
                  </c:pt>
                  <c:pt idx="4">
                    <c:v>5.6031994236700924E-2</c:v>
                  </c:pt>
                  <c:pt idx="5">
                    <c:v>6.81879047590839E-2</c:v>
                  </c:pt>
                </c:numCache>
              </c:numRef>
            </c:minus>
          </c:errBars>
          <c:cat>
            <c:numRef>
              <c:f>Sheet2!$E$89:$E$94</c:f>
              <c:numCache>
                <c:formatCode>General</c:formatCode>
                <c:ptCount val="6"/>
                <c:pt idx="0">
                  <c:v>5</c:v>
                </c:pt>
                <c:pt idx="1">
                  <c:v>12</c:v>
                </c:pt>
                <c:pt idx="2">
                  <c:v>20</c:v>
                </c:pt>
                <c:pt idx="3">
                  <c:v>30</c:v>
                </c:pt>
                <c:pt idx="4">
                  <c:v>40</c:v>
                </c:pt>
                <c:pt idx="5">
                  <c:v>45</c:v>
                </c:pt>
              </c:numCache>
            </c:numRef>
          </c:cat>
          <c:val>
            <c:numRef>
              <c:f>Sheet2!$H$89:$H$94</c:f>
              <c:numCache>
                <c:formatCode>General</c:formatCode>
                <c:ptCount val="6"/>
                <c:pt idx="0">
                  <c:v>0.86498898612199515</c:v>
                </c:pt>
                <c:pt idx="1">
                  <c:v>0.85124514831971865</c:v>
                </c:pt>
                <c:pt idx="2">
                  <c:v>1</c:v>
                </c:pt>
                <c:pt idx="3">
                  <c:v>0.90474251912655879</c:v>
                </c:pt>
                <c:pt idx="4">
                  <c:v>0.94380000189017366</c:v>
                </c:pt>
                <c:pt idx="5">
                  <c:v>0.93082622720443475</c:v>
                </c:pt>
              </c:numCache>
            </c:numRef>
          </c:val>
        </c:ser>
        <c:dLbls>
          <c:showLegendKey val="0"/>
          <c:showVal val="0"/>
          <c:showCatName val="0"/>
          <c:showSerName val="0"/>
          <c:showPercent val="0"/>
          <c:showBubbleSize val="0"/>
        </c:dLbls>
        <c:gapWidth val="150"/>
        <c:axId val="352699136"/>
        <c:axId val="352701056"/>
      </c:barChart>
      <c:catAx>
        <c:axId val="352699136"/>
        <c:scaling>
          <c:orientation val="minMax"/>
        </c:scaling>
        <c:delete val="0"/>
        <c:axPos val="b"/>
        <c:title>
          <c:tx>
            <c:rich>
              <a:bodyPr/>
              <a:lstStyle/>
              <a:p>
                <a:pPr>
                  <a:defRPr/>
                </a:pPr>
                <a:r>
                  <a:rPr lang="en-AU"/>
                  <a:t>Temperature (ºC)</a:t>
                </a:r>
              </a:p>
            </c:rich>
          </c:tx>
          <c:layout/>
          <c:overlay val="0"/>
        </c:title>
        <c:numFmt formatCode="General" sourceLinked="1"/>
        <c:majorTickMark val="out"/>
        <c:minorTickMark val="none"/>
        <c:tickLblPos val="nextTo"/>
        <c:crossAx val="352701056"/>
        <c:crosses val="autoZero"/>
        <c:auto val="1"/>
        <c:lblAlgn val="ctr"/>
        <c:lblOffset val="100"/>
        <c:noMultiLvlLbl val="0"/>
      </c:catAx>
      <c:valAx>
        <c:axId val="352701056"/>
        <c:scaling>
          <c:orientation val="minMax"/>
          <c:min val="0"/>
        </c:scaling>
        <c:delete val="0"/>
        <c:axPos val="l"/>
        <c:majorGridlines>
          <c:spPr>
            <a:ln>
              <a:solidFill>
                <a:schemeClr val="bg1">
                  <a:lumMod val="50000"/>
                </a:schemeClr>
              </a:solidFill>
              <a:prstDash val="sysDot"/>
            </a:ln>
          </c:spPr>
        </c:majorGridlines>
        <c:title>
          <c:tx>
            <c:rich>
              <a:bodyPr rot="-5400000" vert="horz"/>
              <a:lstStyle/>
              <a:p>
                <a:pPr>
                  <a:defRPr/>
                </a:pPr>
                <a:r>
                  <a:rPr lang="en-AU"/>
                  <a:t>Normalised response</a:t>
                </a:r>
              </a:p>
            </c:rich>
          </c:tx>
          <c:layout>
            <c:manualLayout>
              <c:xMode val="edge"/>
              <c:yMode val="edge"/>
              <c:x val="1.0397550762766801E-2"/>
              <c:y val="0.18929578432353122"/>
            </c:manualLayout>
          </c:layout>
          <c:overlay val="0"/>
        </c:title>
        <c:numFmt formatCode="General" sourceLinked="1"/>
        <c:majorTickMark val="out"/>
        <c:minorTickMark val="none"/>
        <c:tickLblPos val="nextTo"/>
        <c:crossAx val="352699136"/>
        <c:crosses val="autoZero"/>
        <c:crossBetween val="between"/>
        <c:majorUnit val="0.2"/>
      </c:valAx>
    </c:plotArea>
    <c:plotVisOnly val="1"/>
    <c:dispBlanksAs val="gap"/>
    <c:showDLblsOverMax val="0"/>
  </c:chart>
  <c:txPr>
    <a:bodyPr/>
    <a:lstStyle/>
    <a:p>
      <a:pPr>
        <a:defRPr sz="1200" b="0">
          <a:latin typeface="Times New Roman" pitchFamily="18" charset="0"/>
          <a:cs typeface="Times New Roman" pitchFamily="18" charset="0"/>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bg1">
                <a:lumMod val="50000"/>
              </a:schemeClr>
            </a:solidFill>
            <a:ln>
              <a:solidFill>
                <a:prstClr val="white">
                  <a:lumMod val="50000"/>
                </a:prstClr>
              </a:solidFill>
            </a:ln>
          </c:spPr>
          <c:invertIfNegative val="0"/>
          <c:dPt>
            <c:idx val="1"/>
            <c:invertIfNegative val="0"/>
            <c:bubble3D val="0"/>
            <c:spPr>
              <a:solidFill>
                <a:schemeClr val="bg1">
                  <a:lumMod val="50000"/>
                </a:schemeClr>
              </a:solidFill>
              <a:ln>
                <a:solidFill>
                  <a:prstClr val="white">
                    <a:lumMod val="50000"/>
                  </a:prstClr>
                </a:solidFill>
              </a:ln>
            </c:spPr>
          </c:dPt>
          <c:errBars>
            <c:errBarType val="both"/>
            <c:errValType val="cust"/>
            <c:noEndCap val="0"/>
            <c:plus>
              <c:numRef>
                <c:f>Curves!$I$36:$I$42</c:f>
                <c:numCache>
                  <c:formatCode>General</c:formatCode>
                  <c:ptCount val="7"/>
                  <c:pt idx="0">
                    <c:v>0.10114722072859322</c:v>
                  </c:pt>
                  <c:pt idx="1">
                    <c:v>8.9220644046987527E-2</c:v>
                  </c:pt>
                  <c:pt idx="2">
                    <c:v>0.17174500242607763</c:v>
                  </c:pt>
                  <c:pt idx="3">
                    <c:v>0.14159978952019106</c:v>
                  </c:pt>
                  <c:pt idx="4">
                    <c:v>0.14432913815276649</c:v>
                  </c:pt>
                  <c:pt idx="5">
                    <c:v>7.3665457495270495E-2</c:v>
                  </c:pt>
                  <c:pt idx="6">
                    <c:v>0.12573410357229658</c:v>
                  </c:pt>
                </c:numCache>
              </c:numRef>
            </c:plus>
            <c:minus>
              <c:numRef>
                <c:f>Curves!$I$36:$I$42</c:f>
                <c:numCache>
                  <c:formatCode>General</c:formatCode>
                  <c:ptCount val="7"/>
                  <c:pt idx="0">
                    <c:v>0.10114722072859322</c:v>
                  </c:pt>
                  <c:pt idx="1">
                    <c:v>8.9220644046987527E-2</c:v>
                  </c:pt>
                  <c:pt idx="2">
                    <c:v>0.17174500242607763</c:v>
                  </c:pt>
                  <c:pt idx="3">
                    <c:v>0.14159978952019106</c:v>
                  </c:pt>
                  <c:pt idx="4">
                    <c:v>0.14432913815276649</c:v>
                  </c:pt>
                  <c:pt idx="5">
                    <c:v>7.3665457495270495E-2</c:v>
                  </c:pt>
                  <c:pt idx="6">
                    <c:v>0.12573410357229658</c:v>
                  </c:pt>
                </c:numCache>
              </c:numRef>
            </c:minus>
          </c:errBars>
          <c:cat>
            <c:numRef>
              <c:f>Curves!$D$36:$D$42</c:f>
              <c:numCache>
                <c:formatCode>0.00</c:formatCode>
                <c:ptCount val="7"/>
                <c:pt idx="0">
                  <c:v>12.92721489</c:v>
                </c:pt>
                <c:pt idx="1">
                  <c:v>10.2390998528571</c:v>
                </c:pt>
                <c:pt idx="2">
                  <c:v>7.455363695000023</c:v>
                </c:pt>
                <c:pt idx="3">
                  <c:v>6.0365119409090875</c:v>
                </c:pt>
                <c:pt idx="4">
                  <c:v>4.6330082209999945</c:v>
                </c:pt>
                <c:pt idx="5">
                  <c:v>4.2278319531999786</c:v>
                </c:pt>
                <c:pt idx="6">
                  <c:v>2.8881054251666667</c:v>
                </c:pt>
              </c:numCache>
            </c:numRef>
          </c:cat>
          <c:val>
            <c:numRef>
              <c:f>Curves!$G$36:$G$42</c:f>
              <c:numCache>
                <c:formatCode>General</c:formatCode>
                <c:ptCount val="7"/>
                <c:pt idx="0">
                  <c:v>1</c:v>
                </c:pt>
                <c:pt idx="1">
                  <c:v>0.83204029141025904</c:v>
                </c:pt>
                <c:pt idx="2">
                  <c:v>0.88476188343984175</c:v>
                </c:pt>
                <c:pt idx="3">
                  <c:v>0.9587602519839008</c:v>
                </c:pt>
                <c:pt idx="4">
                  <c:v>0.909735875602947</c:v>
                </c:pt>
                <c:pt idx="5">
                  <c:v>0.78774718055018356</c:v>
                </c:pt>
                <c:pt idx="6">
                  <c:v>0.86390119906464813</c:v>
                </c:pt>
              </c:numCache>
            </c:numRef>
          </c:val>
        </c:ser>
        <c:dLbls>
          <c:showLegendKey val="0"/>
          <c:showVal val="0"/>
          <c:showCatName val="0"/>
          <c:showSerName val="0"/>
          <c:showPercent val="0"/>
          <c:showBubbleSize val="0"/>
        </c:dLbls>
        <c:gapWidth val="150"/>
        <c:axId val="354438528"/>
        <c:axId val="354457088"/>
      </c:barChart>
      <c:catAx>
        <c:axId val="354438528"/>
        <c:scaling>
          <c:orientation val="minMax"/>
        </c:scaling>
        <c:delete val="0"/>
        <c:axPos val="b"/>
        <c:title>
          <c:tx>
            <c:rich>
              <a:bodyPr/>
              <a:lstStyle/>
              <a:p>
                <a:pPr>
                  <a:defRPr/>
                </a:pPr>
                <a:r>
                  <a:rPr lang="en-AU"/>
                  <a:t>Irradiance (W/m</a:t>
                </a:r>
                <a:r>
                  <a:rPr lang="en-AU" baseline="30000"/>
                  <a:t>2</a:t>
                </a:r>
                <a:r>
                  <a:rPr lang="en-AU"/>
                  <a:t>)</a:t>
                </a:r>
              </a:p>
            </c:rich>
          </c:tx>
          <c:layout/>
          <c:overlay val="0"/>
        </c:title>
        <c:numFmt formatCode="0.00" sourceLinked="1"/>
        <c:majorTickMark val="out"/>
        <c:minorTickMark val="none"/>
        <c:tickLblPos val="nextTo"/>
        <c:crossAx val="354457088"/>
        <c:crosses val="autoZero"/>
        <c:auto val="1"/>
        <c:lblAlgn val="ctr"/>
        <c:lblOffset val="100"/>
        <c:noMultiLvlLbl val="0"/>
      </c:catAx>
      <c:valAx>
        <c:axId val="354457088"/>
        <c:scaling>
          <c:orientation val="minMax"/>
          <c:max val="1.2"/>
        </c:scaling>
        <c:delete val="0"/>
        <c:axPos val="l"/>
        <c:majorGridlines>
          <c:spPr>
            <a:ln>
              <a:solidFill>
                <a:schemeClr val="bg1">
                  <a:lumMod val="50000"/>
                </a:schemeClr>
              </a:solidFill>
              <a:prstDash val="sysDot"/>
            </a:ln>
          </c:spPr>
        </c:majorGridlines>
        <c:title>
          <c:tx>
            <c:rich>
              <a:bodyPr rot="-5400000" vert="horz"/>
              <a:lstStyle/>
              <a:p>
                <a:pPr>
                  <a:defRPr/>
                </a:pPr>
                <a:r>
                  <a:rPr lang="en-AU"/>
                  <a:t>Normalised response</a:t>
                </a:r>
              </a:p>
            </c:rich>
          </c:tx>
          <c:layout>
            <c:manualLayout>
              <c:xMode val="edge"/>
              <c:yMode val="edge"/>
              <c:x val="1.1111111111111125E-2"/>
              <c:y val="0.16365740740740795"/>
            </c:manualLayout>
          </c:layout>
          <c:overlay val="0"/>
        </c:title>
        <c:numFmt formatCode="General" sourceLinked="1"/>
        <c:majorTickMark val="out"/>
        <c:minorTickMark val="none"/>
        <c:tickLblPos val="nextTo"/>
        <c:crossAx val="354438528"/>
        <c:crosses val="autoZero"/>
        <c:crossBetween val="between"/>
        <c:majorUnit val="0.2"/>
      </c:valAx>
    </c:plotArea>
    <c:plotVisOnly val="1"/>
    <c:dispBlanksAs val="gap"/>
    <c:showDLblsOverMax val="0"/>
  </c:chart>
  <c:txPr>
    <a:bodyPr/>
    <a:lstStyle/>
    <a:p>
      <a:pPr>
        <a:defRPr sz="1200" b="0">
          <a:latin typeface="Times New Roman" pitchFamily="18" charset="0"/>
          <a:cs typeface="Times New Roman" pitchFamily="18" charset="0"/>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Curves!$I$16</c:f>
              <c:strCache>
                <c:ptCount val="1"/>
                <c:pt idx="0">
                  <c:v>normalised response</c:v>
                </c:pt>
              </c:strCache>
            </c:strRef>
          </c:tx>
          <c:spPr>
            <a:solidFill>
              <a:schemeClr val="bg1">
                <a:lumMod val="50000"/>
              </a:schemeClr>
            </a:solidFill>
            <a:ln>
              <a:solidFill>
                <a:schemeClr val="bg1">
                  <a:lumMod val="50000"/>
                </a:schemeClr>
              </a:solidFill>
            </a:ln>
          </c:spPr>
          <c:invertIfNegative val="0"/>
          <c:errBars>
            <c:errBarType val="both"/>
            <c:errValType val="cust"/>
            <c:noEndCap val="0"/>
            <c:plus>
              <c:numRef>
                <c:f>Curves!$L$17:$L$21</c:f>
                <c:numCache>
                  <c:formatCode>General</c:formatCode>
                  <c:ptCount val="5"/>
                  <c:pt idx="0">
                    <c:v>9.2429009406409749E-3</c:v>
                  </c:pt>
                  <c:pt idx="1">
                    <c:v>1.4464006466296135E-2</c:v>
                  </c:pt>
                  <c:pt idx="2">
                    <c:v>1.7049074308426233E-2</c:v>
                  </c:pt>
                  <c:pt idx="3">
                    <c:v>1.5663280329177801E-2</c:v>
                  </c:pt>
                  <c:pt idx="4">
                    <c:v>2.2988823436599352E-2</c:v>
                  </c:pt>
                </c:numCache>
              </c:numRef>
            </c:plus>
            <c:minus>
              <c:numRef>
                <c:f>Curves!$L$17:$L$21</c:f>
                <c:numCache>
                  <c:formatCode>General</c:formatCode>
                  <c:ptCount val="5"/>
                  <c:pt idx="0">
                    <c:v>9.2429009406409749E-3</c:v>
                  </c:pt>
                  <c:pt idx="1">
                    <c:v>1.4464006466296135E-2</c:v>
                  </c:pt>
                  <c:pt idx="2">
                    <c:v>1.7049074308426233E-2</c:v>
                  </c:pt>
                  <c:pt idx="3">
                    <c:v>1.5663280329177801E-2</c:v>
                  </c:pt>
                  <c:pt idx="4">
                    <c:v>2.2988823436599352E-2</c:v>
                  </c:pt>
                </c:numCache>
              </c:numRef>
            </c:minus>
          </c:errBars>
          <c:cat>
            <c:strRef>
              <c:f>Curves!$E$17:$E$21</c:f>
              <c:strCache>
                <c:ptCount val="5"/>
                <c:pt idx="0">
                  <c:v>White paper</c:v>
                </c:pt>
                <c:pt idx="1">
                  <c:v>Black Paper</c:v>
                </c:pt>
                <c:pt idx="2">
                  <c:v>Wood</c:v>
                </c:pt>
                <c:pt idx="3">
                  <c:v>Black Polyethylene</c:v>
                </c:pt>
                <c:pt idx="4">
                  <c:v>Purble paper</c:v>
                </c:pt>
              </c:strCache>
            </c:strRef>
          </c:cat>
          <c:val>
            <c:numRef>
              <c:f>Curves!$I$17:$I$21</c:f>
              <c:numCache>
                <c:formatCode>General</c:formatCode>
                <c:ptCount val="5"/>
                <c:pt idx="0">
                  <c:v>1</c:v>
                </c:pt>
                <c:pt idx="1">
                  <c:v>0.83655415748764228</c:v>
                </c:pt>
                <c:pt idx="2">
                  <c:v>0.83446970523714747</c:v>
                </c:pt>
                <c:pt idx="3">
                  <c:v>0.80269605617216022</c:v>
                </c:pt>
                <c:pt idx="4">
                  <c:v>0.71058963663763564</c:v>
                </c:pt>
              </c:numCache>
            </c:numRef>
          </c:val>
        </c:ser>
        <c:dLbls>
          <c:showLegendKey val="0"/>
          <c:showVal val="0"/>
          <c:showCatName val="0"/>
          <c:showSerName val="0"/>
          <c:showPercent val="0"/>
          <c:showBubbleSize val="0"/>
        </c:dLbls>
        <c:gapWidth val="150"/>
        <c:axId val="352729344"/>
        <c:axId val="354468224"/>
      </c:barChart>
      <c:catAx>
        <c:axId val="352729344"/>
        <c:scaling>
          <c:orientation val="minMax"/>
        </c:scaling>
        <c:delete val="0"/>
        <c:axPos val="b"/>
        <c:title>
          <c:tx>
            <c:rich>
              <a:bodyPr/>
              <a:lstStyle/>
              <a:p>
                <a:pPr>
                  <a:defRPr/>
                </a:pPr>
                <a:r>
                  <a:rPr lang="en-AU"/>
                  <a:t>Dosimeter Background</a:t>
                </a:r>
              </a:p>
            </c:rich>
          </c:tx>
          <c:layout/>
          <c:overlay val="0"/>
        </c:title>
        <c:majorTickMark val="out"/>
        <c:minorTickMark val="none"/>
        <c:tickLblPos val="nextTo"/>
        <c:crossAx val="354468224"/>
        <c:crosses val="autoZero"/>
        <c:auto val="1"/>
        <c:lblAlgn val="ctr"/>
        <c:lblOffset val="100"/>
        <c:noMultiLvlLbl val="0"/>
      </c:catAx>
      <c:valAx>
        <c:axId val="354468224"/>
        <c:scaling>
          <c:orientation val="minMax"/>
        </c:scaling>
        <c:delete val="0"/>
        <c:axPos val="l"/>
        <c:majorGridlines>
          <c:spPr>
            <a:ln>
              <a:solidFill>
                <a:schemeClr val="bg1">
                  <a:lumMod val="50000"/>
                </a:schemeClr>
              </a:solidFill>
              <a:prstDash val="sysDot"/>
            </a:ln>
          </c:spPr>
        </c:majorGridlines>
        <c:title>
          <c:tx>
            <c:rich>
              <a:bodyPr rot="-5400000" vert="horz"/>
              <a:lstStyle/>
              <a:p>
                <a:pPr>
                  <a:defRPr/>
                </a:pPr>
                <a:r>
                  <a:rPr lang="en-AU"/>
                  <a:t>Normalised response</a:t>
                </a:r>
              </a:p>
            </c:rich>
          </c:tx>
          <c:layout/>
          <c:overlay val="0"/>
        </c:title>
        <c:numFmt formatCode="General" sourceLinked="1"/>
        <c:majorTickMark val="out"/>
        <c:minorTickMark val="none"/>
        <c:tickLblPos val="nextTo"/>
        <c:crossAx val="352729344"/>
        <c:crosses val="autoZero"/>
        <c:crossBetween val="between"/>
      </c:valAx>
    </c:plotArea>
    <c:plotVisOnly val="1"/>
    <c:dispBlanksAs val="gap"/>
    <c:showDLblsOverMax val="0"/>
  </c:chart>
  <c:spPr>
    <a:ln>
      <a:solidFill>
        <a:schemeClr val="tx1"/>
      </a:solidFill>
    </a:ln>
  </c:spPr>
  <c:txPr>
    <a:bodyPr/>
    <a:lstStyle/>
    <a:p>
      <a:pPr>
        <a:defRPr sz="1200" b="0">
          <a:latin typeface="Times New Roman" pitchFamily="18" charset="0"/>
          <a:cs typeface="Times New Roman"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030555555555552"/>
          <c:y val="5.5092592592592714E-2"/>
          <c:w val="0.81247222222222226"/>
          <c:h val="0.76791703120443477"/>
        </c:manualLayout>
      </c:layout>
      <c:scatterChart>
        <c:scatterStyle val="lineMarker"/>
        <c:varyColors val="0"/>
        <c:ser>
          <c:idx val="0"/>
          <c:order val="0"/>
          <c:spPr>
            <a:ln w="28575">
              <a:noFill/>
            </a:ln>
          </c:spPr>
          <c:marker>
            <c:symbol val="diamond"/>
            <c:size val="5"/>
            <c:spPr>
              <a:solidFill>
                <a:schemeClr val="tx1"/>
              </a:solidFill>
              <a:ln>
                <a:solidFill>
                  <a:schemeClr val="bg1">
                    <a:lumMod val="65000"/>
                  </a:schemeClr>
                </a:solidFill>
              </a:ln>
            </c:spPr>
          </c:marker>
          <c:trendline>
            <c:trendlineType val="poly"/>
            <c:order val="2"/>
            <c:intercept val="0"/>
            <c:dispRSqr val="1"/>
            <c:dispEq val="1"/>
            <c:trendlineLbl>
              <c:layout>
                <c:manualLayout>
                  <c:x val="-0.29813954505686791"/>
                  <c:y val="-2.8252405949256338E-2"/>
                </c:manualLayout>
              </c:layout>
              <c:tx>
                <c:rich>
                  <a:bodyPr/>
                  <a:lstStyle/>
                  <a:p>
                    <a:pPr>
                      <a:defRPr/>
                    </a:pPr>
                    <a:r>
                      <a:rPr lang="en-US"/>
                      <a:t>y = 0.32x</a:t>
                    </a:r>
                    <a:r>
                      <a:rPr lang="en-US" baseline="30000"/>
                      <a:t>2</a:t>
                    </a:r>
                    <a:r>
                      <a:rPr lang="en-US"/>
                      <a:t> + 43.5x
R² = 0.99</a:t>
                    </a:r>
                  </a:p>
                </c:rich>
              </c:tx>
              <c:numFmt formatCode="General" sourceLinked="0"/>
            </c:trendlineLbl>
          </c:trendline>
          <c:xVal>
            <c:numRef>
              <c:f>'All in on average curve'!$D$11:$D$67</c:f>
              <c:numCache>
                <c:formatCode>General</c:formatCode>
                <c:ptCount val="57"/>
                <c:pt idx="0">
                  <c:v>0</c:v>
                </c:pt>
                <c:pt idx="1">
                  <c:v>0.81760867740701171</c:v>
                </c:pt>
                <c:pt idx="2">
                  <c:v>1.4889739572842706</c:v>
                </c:pt>
                <c:pt idx="3">
                  <c:v>2.6958868640796783</c:v>
                </c:pt>
                <c:pt idx="4">
                  <c:v>3.9624468552120669</c:v>
                </c:pt>
                <c:pt idx="5">
                  <c:v>4.7600203304179045</c:v>
                </c:pt>
                <c:pt idx="6">
                  <c:v>6.3847287145265774</c:v>
                </c:pt>
                <c:pt idx="7">
                  <c:v>6.8309442017523407</c:v>
                </c:pt>
                <c:pt idx="8">
                  <c:v>6.9395707151460124</c:v>
                </c:pt>
                <c:pt idx="9">
                  <c:v>7.7160496783216104</c:v>
                </c:pt>
                <c:pt idx="10">
                  <c:v>7.9615169794076026</c:v>
                </c:pt>
                <c:pt idx="11">
                  <c:v>8.6987309491779072</c:v>
                </c:pt>
                <c:pt idx="12">
                  <c:v>9.2770093485578009</c:v>
                </c:pt>
                <c:pt idx="13">
                  <c:v>9.7289854505312956</c:v>
                </c:pt>
                <c:pt idx="14">
                  <c:v>10.176371881122213</c:v>
                </c:pt>
                <c:pt idx="15">
                  <c:v>11.412246546231406</c:v>
                </c:pt>
                <c:pt idx="16">
                  <c:v>11.760438592846675</c:v>
                </c:pt>
                <c:pt idx="17">
                  <c:v>12.724179034247355</c:v>
                </c:pt>
                <c:pt idx="18">
                  <c:v>13.766207551749064</c:v>
                </c:pt>
                <c:pt idx="19">
                  <c:v>0.60070978965628663</c:v>
                </c:pt>
                <c:pt idx="20">
                  <c:v>1.0724053223872902</c:v>
                </c:pt>
                <c:pt idx="21">
                  <c:v>1.6766041074568241</c:v>
                </c:pt>
                <c:pt idx="22">
                  <c:v>1.930952088307428</c:v>
                </c:pt>
                <c:pt idx="23">
                  <c:v>2.6700830768159891</c:v>
                </c:pt>
                <c:pt idx="24">
                  <c:v>3.266711596157752</c:v>
                </c:pt>
                <c:pt idx="25">
                  <c:v>2.8249634565202077</c:v>
                </c:pt>
                <c:pt idx="26">
                  <c:v>3.0191038282135336</c:v>
                </c:pt>
                <c:pt idx="27">
                  <c:v>5.1268301796165963</c:v>
                </c:pt>
                <c:pt idx="28">
                  <c:v>5.2754500527409327</c:v>
                </c:pt>
                <c:pt idx="29">
                  <c:v>5.8237810800567695</c:v>
                </c:pt>
                <c:pt idx="30">
                  <c:v>6.5037812760900806</c:v>
                </c:pt>
                <c:pt idx="31">
                  <c:v>8.4324968160780571</c:v>
                </c:pt>
                <c:pt idx="32">
                  <c:v>10.584335204574977</c:v>
                </c:pt>
                <c:pt idx="33">
                  <c:v>11.184078988796115</c:v>
                </c:pt>
                <c:pt idx="34">
                  <c:v>13.050351139084714</c:v>
                </c:pt>
                <c:pt idx="35">
                  <c:v>15.201393646994111</c:v>
                </c:pt>
                <c:pt idx="36">
                  <c:v>2.2559419321031133</c:v>
                </c:pt>
                <c:pt idx="37">
                  <c:v>2.9527039005985367</c:v>
                </c:pt>
                <c:pt idx="38">
                  <c:v>4.5944996306190555</c:v>
                </c:pt>
                <c:pt idx="39">
                  <c:v>9.2020444191730046</c:v>
                </c:pt>
                <c:pt idx="40">
                  <c:v>10.726226831646116</c:v>
                </c:pt>
                <c:pt idx="41">
                  <c:v>12.141910057970129</c:v>
                </c:pt>
                <c:pt idx="42">
                  <c:v>14.183957059777654</c:v>
                </c:pt>
                <c:pt idx="43">
                  <c:v>17.323844886401528</c:v>
                </c:pt>
                <c:pt idx="44">
                  <c:v>18.514863881963613</c:v>
                </c:pt>
                <c:pt idx="45">
                  <c:v>2.5041074086452952</c:v>
                </c:pt>
                <c:pt idx="46">
                  <c:v>2.660083200589404</c:v>
                </c:pt>
                <c:pt idx="47">
                  <c:v>3.1843924176621692</c:v>
                </c:pt>
                <c:pt idx="48">
                  <c:v>3.1800502524630851</c:v>
                </c:pt>
                <c:pt idx="49">
                  <c:v>4.0436665616781884</c:v>
                </c:pt>
                <c:pt idx="50">
                  <c:v>5.1676015008033369</c:v>
                </c:pt>
                <c:pt idx="51">
                  <c:v>7.6594416074654355</c:v>
                </c:pt>
                <c:pt idx="52">
                  <c:v>7.8739949548638704</c:v>
                </c:pt>
                <c:pt idx="53">
                  <c:v>10.38366855869045</c:v>
                </c:pt>
                <c:pt idx="54">
                  <c:v>13.779648867913119</c:v>
                </c:pt>
                <c:pt idx="55">
                  <c:v>14.28448034152767</c:v>
                </c:pt>
                <c:pt idx="56">
                  <c:v>16.248097834331752</c:v>
                </c:pt>
              </c:numCache>
            </c:numRef>
          </c:xVal>
          <c:yVal>
            <c:numRef>
              <c:f>'All in on average curve'!$E$11:$E$67</c:f>
              <c:numCache>
                <c:formatCode>General</c:formatCode>
                <c:ptCount val="57"/>
                <c:pt idx="0">
                  <c:v>0</c:v>
                </c:pt>
                <c:pt idx="1">
                  <c:v>14.172125499999996</c:v>
                </c:pt>
                <c:pt idx="2">
                  <c:v>70.838624199999998</c:v>
                </c:pt>
                <c:pt idx="3">
                  <c:v>125.5848349</c:v>
                </c:pt>
                <c:pt idx="4">
                  <c:v>149.14836890000001</c:v>
                </c:pt>
                <c:pt idx="5">
                  <c:v>194.11711319999998</c:v>
                </c:pt>
                <c:pt idx="6">
                  <c:v>290.25953239999996</c:v>
                </c:pt>
                <c:pt idx="7">
                  <c:v>310.28453569999999</c:v>
                </c:pt>
                <c:pt idx="8">
                  <c:v>330.02349609999999</c:v>
                </c:pt>
                <c:pt idx="9">
                  <c:v>349.01834489999999</c:v>
                </c:pt>
                <c:pt idx="10">
                  <c:v>409.37539709999999</c:v>
                </c:pt>
                <c:pt idx="11">
                  <c:v>428.73430049999911</c:v>
                </c:pt>
                <c:pt idx="12">
                  <c:v>447.14906230000128</c:v>
                </c:pt>
                <c:pt idx="13">
                  <c:v>465.26177879999898</c:v>
                </c:pt>
                <c:pt idx="14">
                  <c:v>480.35004170000002</c:v>
                </c:pt>
                <c:pt idx="15">
                  <c:v>531.97178379999991</c:v>
                </c:pt>
                <c:pt idx="16">
                  <c:v>549.49641209999947</c:v>
                </c:pt>
                <c:pt idx="17">
                  <c:v>633.56902109999771</c:v>
                </c:pt>
                <c:pt idx="18">
                  <c:v>650.20351589999939</c:v>
                </c:pt>
                <c:pt idx="19">
                  <c:v>10.331549500000023</c:v>
                </c:pt>
                <c:pt idx="20">
                  <c:v>27.422112699999897</c:v>
                </c:pt>
                <c:pt idx="21">
                  <c:v>44.074610200000002</c:v>
                </c:pt>
                <c:pt idx="22">
                  <c:v>68.332248299999989</c:v>
                </c:pt>
                <c:pt idx="23">
                  <c:v>120.02600120000001</c:v>
                </c:pt>
                <c:pt idx="24">
                  <c:v>136.91653440000002</c:v>
                </c:pt>
                <c:pt idx="25">
                  <c:v>153.20497730000002</c:v>
                </c:pt>
                <c:pt idx="26">
                  <c:v>191.89077930000045</c:v>
                </c:pt>
                <c:pt idx="27">
                  <c:v>250.79961429999938</c:v>
                </c:pt>
                <c:pt idx="28">
                  <c:v>270.29853869999891</c:v>
                </c:pt>
                <c:pt idx="29">
                  <c:v>291.37369950000004</c:v>
                </c:pt>
                <c:pt idx="30">
                  <c:v>311.91277989999969</c:v>
                </c:pt>
                <c:pt idx="31">
                  <c:v>432.11480750000032</c:v>
                </c:pt>
                <c:pt idx="32">
                  <c:v>535.32028599999819</c:v>
                </c:pt>
                <c:pt idx="33">
                  <c:v>550.99863740000001</c:v>
                </c:pt>
                <c:pt idx="34">
                  <c:v>590.10650269999996</c:v>
                </c:pt>
                <c:pt idx="35">
                  <c:v>695.79035290000206</c:v>
                </c:pt>
                <c:pt idx="36">
                  <c:v>62.487371699999976</c:v>
                </c:pt>
                <c:pt idx="37">
                  <c:v>116.02540119999962</c:v>
                </c:pt>
                <c:pt idx="38">
                  <c:v>210.75760890000001</c:v>
                </c:pt>
                <c:pt idx="39">
                  <c:v>418.72079869999999</c:v>
                </c:pt>
                <c:pt idx="40">
                  <c:v>495.38229620000004</c:v>
                </c:pt>
                <c:pt idx="41">
                  <c:v>616.14440780000007</c:v>
                </c:pt>
                <c:pt idx="42">
                  <c:v>722.07629520000012</c:v>
                </c:pt>
                <c:pt idx="43">
                  <c:v>852.4258447000002</c:v>
                </c:pt>
                <c:pt idx="44">
                  <c:v>928.93131879999817</c:v>
                </c:pt>
                <c:pt idx="45">
                  <c:v>52.237834500000005</c:v>
                </c:pt>
                <c:pt idx="46">
                  <c:v>83.850575699999979</c:v>
                </c:pt>
                <c:pt idx="47">
                  <c:v>98.954841000000016</c:v>
                </c:pt>
                <c:pt idx="48">
                  <c:v>129.00126890000001</c:v>
                </c:pt>
                <c:pt idx="49">
                  <c:v>144.56760350000002</c:v>
                </c:pt>
                <c:pt idx="50">
                  <c:v>177.15249050000045</c:v>
                </c:pt>
                <c:pt idx="51">
                  <c:v>334.78427269999997</c:v>
                </c:pt>
                <c:pt idx="52">
                  <c:v>367.70758370000004</c:v>
                </c:pt>
                <c:pt idx="53">
                  <c:v>446.47355569999911</c:v>
                </c:pt>
                <c:pt idx="54">
                  <c:v>609.8983257000001</c:v>
                </c:pt>
                <c:pt idx="55">
                  <c:v>679.01384370000005</c:v>
                </c:pt>
                <c:pt idx="56">
                  <c:v>777.67160870000009</c:v>
                </c:pt>
              </c:numCache>
            </c:numRef>
          </c:yVal>
          <c:smooth val="0"/>
        </c:ser>
        <c:dLbls>
          <c:showLegendKey val="0"/>
          <c:showVal val="0"/>
          <c:showCatName val="0"/>
          <c:showSerName val="0"/>
          <c:showPercent val="0"/>
          <c:showBubbleSize val="0"/>
        </c:dLbls>
        <c:axId val="355832576"/>
        <c:axId val="355834496"/>
      </c:scatterChart>
      <c:valAx>
        <c:axId val="355832576"/>
        <c:scaling>
          <c:orientation val="minMax"/>
        </c:scaling>
        <c:delete val="0"/>
        <c:axPos val="b"/>
        <c:title>
          <c:tx>
            <c:rich>
              <a:bodyPr/>
              <a:lstStyle/>
              <a:p>
                <a:pPr>
                  <a:defRPr/>
                </a:pPr>
                <a:r>
                  <a:rPr lang="en-AU"/>
                  <a:t>∆A%</a:t>
                </a:r>
              </a:p>
            </c:rich>
          </c:tx>
          <c:layout>
            <c:manualLayout>
              <c:xMode val="edge"/>
              <c:yMode val="edge"/>
              <c:x val="0.47015266841644798"/>
              <c:y val="0.90833333333333333"/>
            </c:manualLayout>
          </c:layout>
          <c:overlay val="0"/>
        </c:title>
        <c:numFmt formatCode="General" sourceLinked="1"/>
        <c:majorTickMark val="out"/>
        <c:minorTickMark val="none"/>
        <c:tickLblPos val="nextTo"/>
        <c:crossAx val="355834496"/>
        <c:crosses val="autoZero"/>
        <c:crossBetween val="midCat"/>
      </c:valAx>
      <c:valAx>
        <c:axId val="355834496"/>
        <c:scaling>
          <c:orientation val="minMax"/>
        </c:scaling>
        <c:delete val="0"/>
        <c:axPos val="l"/>
        <c:majorGridlines>
          <c:spPr>
            <a:ln>
              <a:solidFill>
                <a:schemeClr val="bg1">
                  <a:lumMod val="50000"/>
                </a:schemeClr>
              </a:solidFill>
              <a:prstDash val="sysDot"/>
            </a:ln>
          </c:spPr>
        </c:majorGridlines>
        <c:title>
          <c:tx>
            <c:rich>
              <a:bodyPr rot="-5400000" vert="horz"/>
              <a:lstStyle/>
              <a:p>
                <a:pPr>
                  <a:defRPr/>
                </a:pPr>
                <a:r>
                  <a:rPr lang="en-AU"/>
                  <a:t>Erythemal Exposure (SED)</a:t>
                </a:r>
              </a:p>
            </c:rich>
          </c:tx>
          <c:layout>
            <c:manualLayout>
              <c:xMode val="edge"/>
              <c:yMode val="edge"/>
              <c:x val="2.777777777777803E-3"/>
              <c:y val="9.192147856517989E-2"/>
            </c:manualLayout>
          </c:layout>
          <c:overlay val="0"/>
        </c:title>
        <c:numFmt formatCode="General" sourceLinked="1"/>
        <c:majorTickMark val="out"/>
        <c:minorTickMark val="none"/>
        <c:tickLblPos val="nextTo"/>
        <c:crossAx val="355832576"/>
        <c:crosses val="autoZero"/>
        <c:crossBetween val="midCat"/>
        <c:majorUnit val="100"/>
      </c:valAx>
    </c:plotArea>
    <c:plotVisOnly val="1"/>
    <c:dispBlanksAs val="gap"/>
    <c:showDLblsOverMax val="0"/>
  </c:chart>
  <c:txPr>
    <a:bodyPr/>
    <a:lstStyle/>
    <a:p>
      <a:pPr>
        <a:defRPr sz="1200" b="0">
          <a:latin typeface="Times New Roman" pitchFamily="18" charset="0"/>
          <a:cs typeface="Times New Roman"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diamond"/>
            <c:size val="5"/>
            <c:spPr>
              <a:solidFill>
                <a:schemeClr val="tx1"/>
              </a:solidFill>
              <a:ln>
                <a:noFill/>
              </a:ln>
            </c:spPr>
          </c:marker>
          <c:trendline>
            <c:trendlineType val="poly"/>
            <c:order val="2"/>
            <c:intercept val="0"/>
            <c:dispRSqr val="1"/>
            <c:dispEq val="1"/>
            <c:trendlineLbl>
              <c:layout>
                <c:manualLayout>
                  <c:x val="-0.28887817147856687"/>
                  <c:y val="-1.2366943715368913E-2"/>
                </c:manualLayout>
              </c:layout>
              <c:tx>
                <c:rich>
                  <a:bodyPr/>
                  <a:lstStyle/>
                  <a:p>
                    <a:pPr>
                      <a:defRPr/>
                    </a:pPr>
                    <a:r>
                      <a:rPr lang="en-US"/>
                      <a:t>y = 1.40x</a:t>
                    </a:r>
                    <a:r>
                      <a:rPr lang="en-US" baseline="30000"/>
                      <a:t>2</a:t>
                    </a:r>
                    <a:r>
                      <a:rPr lang="en-US"/>
                      <a:t> + 0.28x
R² = 0.94</a:t>
                    </a:r>
                  </a:p>
                </c:rich>
              </c:tx>
              <c:numFmt formatCode="General" sourceLinked="0"/>
            </c:trendlineLbl>
          </c:trendline>
          <c:errBars>
            <c:errDir val="x"/>
            <c:errBarType val="both"/>
            <c:errValType val="cust"/>
            <c:noEndCap val="0"/>
            <c:plus>
              <c:numRef>
                <c:f>Curves!$J$7:$J$14</c:f>
                <c:numCache>
                  <c:formatCode>General</c:formatCode>
                  <c:ptCount val="8"/>
                  <c:pt idx="0">
                    <c:v>0</c:v>
                  </c:pt>
                  <c:pt idx="1">
                    <c:v>0.32775672798577454</c:v>
                  </c:pt>
                  <c:pt idx="2">
                    <c:v>0.15274169375428701</c:v>
                  </c:pt>
                  <c:pt idx="3">
                    <c:v>9.6809479465029866E-2</c:v>
                  </c:pt>
                  <c:pt idx="4">
                    <c:v>4.2217537881627007E-2</c:v>
                  </c:pt>
                  <c:pt idx="5">
                    <c:v>6.0842014461952372E-2</c:v>
                  </c:pt>
                  <c:pt idx="6">
                    <c:v>0.30688912095168752</c:v>
                  </c:pt>
                  <c:pt idx="7">
                    <c:v>0.12894236476328641</c:v>
                  </c:pt>
                </c:numCache>
              </c:numRef>
            </c:plus>
            <c:minus>
              <c:numRef>
                <c:f>Curves!$J$7:$J$14</c:f>
                <c:numCache>
                  <c:formatCode>General</c:formatCode>
                  <c:ptCount val="8"/>
                  <c:pt idx="0">
                    <c:v>0</c:v>
                  </c:pt>
                  <c:pt idx="1">
                    <c:v>0.32775672798577454</c:v>
                  </c:pt>
                  <c:pt idx="2">
                    <c:v>0.15274169375428701</c:v>
                  </c:pt>
                  <c:pt idx="3">
                    <c:v>9.6809479465029866E-2</c:v>
                  </c:pt>
                  <c:pt idx="4">
                    <c:v>4.2217537881627007E-2</c:v>
                  </c:pt>
                  <c:pt idx="5">
                    <c:v>6.0842014461952372E-2</c:v>
                  </c:pt>
                  <c:pt idx="6">
                    <c:v>0.30688912095168752</c:v>
                  </c:pt>
                  <c:pt idx="7">
                    <c:v>0.12894236476328641</c:v>
                  </c:pt>
                </c:numCache>
              </c:numRef>
            </c:minus>
          </c:errBars>
          <c:xVal>
            <c:numRef>
              <c:f>Curves!$H$32:$H$39</c:f>
              <c:numCache>
                <c:formatCode>General</c:formatCode>
                <c:ptCount val="8"/>
                <c:pt idx="0">
                  <c:v>0</c:v>
                </c:pt>
                <c:pt idx="1">
                  <c:v>0.90620675680200558</c:v>
                </c:pt>
                <c:pt idx="2">
                  <c:v>0.7313306251244347</c:v>
                </c:pt>
                <c:pt idx="3">
                  <c:v>0.91002878507655849</c:v>
                </c:pt>
                <c:pt idx="4">
                  <c:v>1.3077130750774686</c:v>
                </c:pt>
                <c:pt idx="5">
                  <c:v>1.7361564339274891</c:v>
                </c:pt>
                <c:pt idx="6">
                  <c:v>1.6610221419182312</c:v>
                </c:pt>
                <c:pt idx="7">
                  <c:v>1.9693646516729462</c:v>
                </c:pt>
              </c:numCache>
            </c:numRef>
          </c:xVal>
          <c:yVal>
            <c:numRef>
              <c:f>Curves!$I$32:$I$39</c:f>
              <c:numCache>
                <c:formatCode>General</c:formatCode>
                <c:ptCount val="8"/>
                <c:pt idx="0">
                  <c:v>0</c:v>
                </c:pt>
                <c:pt idx="1">
                  <c:v>0.5</c:v>
                </c:pt>
                <c:pt idx="2">
                  <c:v>1</c:v>
                </c:pt>
                <c:pt idx="3">
                  <c:v>2</c:v>
                </c:pt>
                <c:pt idx="4">
                  <c:v>3</c:v>
                </c:pt>
                <c:pt idx="5">
                  <c:v>4</c:v>
                </c:pt>
                <c:pt idx="6">
                  <c:v>5</c:v>
                </c:pt>
                <c:pt idx="7">
                  <c:v>6</c:v>
                </c:pt>
              </c:numCache>
            </c:numRef>
          </c:yVal>
          <c:smooth val="0"/>
        </c:ser>
        <c:dLbls>
          <c:showLegendKey val="0"/>
          <c:showVal val="0"/>
          <c:showCatName val="0"/>
          <c:showSerName val="0"/>
          <c:showPercent val="0"/>
          <c:showBubbleSize val="0"/>
        </c:dLbls>
        <c:axId val="356060544"/>
        <c:axId val="356070912"/>
      </c:scatterChart>
      <c:valAx>
        <c:axId val="356060544"/>
        <c:scaling>
          <c:orientation val="minMax"/>
          <c:max val="2.25"/>
          <c:min val="0"/>
        </c:scaling>
        <c:delete val="0"/>
        <c:axPos val="b"/>
        <c:title>
          <c:tx>
            <c:rich>
              <a:bodyPr/>
              <a:lstStyle/>
              <a:p>
                <a:pPr>
                  <a:defRPr/>
                </a:pPr>
                <a:r>
                  <a:rPr lang="en-AU"/>
                  <a:t>∆A%</a:t>
                </a:r>
              </a:p>
            </c:rich>
          </c:tx>
          <c:layout/>
          <c:overlay val="0"/>
        </c:title>
        <c:numFmt formatCode="General" sourceLinked="1"/>
        <c:majorTickMark val="out"/>
        <c:minorTickMark val="none"/>
        <c:tickLblPos val="nextTo"/>
        <c:crossAx val="356070912"/>
        <c:crosses val="autoZero"/>
        <c:crossBetween val="midCat"/>
      </c:valAx>
      <c:valAx>
        <c:axId val="356070912"/>
        <c:scaling>
          <c:orientation val="minMax"/>
        </c:scaling>
        <c:delete val="0"/>
        <c:axPos val="l"/>
        <c:majorGridlines>
          <c:spPr>
            <a:ln>
              <a:solidFill>
                <a:schemeClr val="bg1">
                  <a:lumMod val="50000"/>
                </a:schemeClr>
              </a:solidFill>
              <a:prstDash val="sysDot"/>
            </a:ln>
          </c:spPr>
        </c:majorGridlines>
        <c:title>
          <c:tx>
            <c:rich>
              <a:bodyPr rot="-5400000" vert="horz"/>
              <a:lstStyle/>
              <a:p>
                <a:pPr>
                  <a:defRPr/>
                </a:pPr>
                <a:r>
                  <a:rPr lang="en-AU"/>
                  <a:t>Erythemal Exposure (SED)</a:t>
                </a:r>
              </a:p>
            </c:rich>
          </c:tx>
          <c:layout>
            <c:manualLayout>
              <c:xMode val="edge"/>
              <c:yMode val="edge"/>
              <c:x val="1.9444444444444445E-2"/>
              <c:y val="0.10965296004666109"/>
            </c:manualLayout>
          </c:layout>
          <c:overlay val="0"/>
        </c:title>
        <c:numFmt formatCode="General" sourceLinked="1"/>
        <c:majorTickMark val="out"/>
        <c:minorTickMark val="none"/>
        <c:tickLblPos val="nextTo"/>
        <c:crossAx val="356060544"/>
        <c:crosses val="autoZero"/>
        <c:crossBetween val="midCat"/>
      </c:valAx>
    </c:plotArea>
    <c:plotVisOnly val="1"/>
    <c:dispBlanksAs val="gap"/>
    <c:showDLblsOverMax val="0"/>
  </c:chart>
  <c:txPr>
    <a:bodyPr/>
    <a:lstStyle/>
    <a:p>
      <a:pPr>
        <a:defRPr sz="1200" b="0">
          <a:latin typeface="Times New Roman" pitchFamily="18" charset="0"/>
          <a:cs typeface="Times New Roman"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1"/>
          <c:tx>
            <c:strRef>
              <c:f>Curves!$D$5</c:f>
              <c:strCache>
                <c:ptCount val="1"/>
                <c:pt idx="0">
                  <c:v>  40 ºC</c:v>
                </c:pt>
              </c:strCache>
            </c:strRef>
          </c:tx>
          <c:spPr>
            <a:ln w="19050">
              <a:solidFill>
                <a:schemeClr val="tx1"/>
              </a:solidFill>
            </a:ln>
          </c:spPr>
          <c:marker>
            <c:symbol val="square"/>
            <c:size val="5"/>
            <c:spPr>
              <a:solidFill>
                <a:sysClr val="windowText" lastClr="000000"/>
              </a:solidFill>
              <a:ln>
                <a:noFill/>
              </a:ln>
            </c:spPr>
          </c:marker>
          <c:xVal>
            <c:numRef>
              <c:f>Curves!$B$6:$B$12</c:f>
              <c:numCache>
                <c:formatCode>General</c:formatCode>
                <c:ptCount val="7"/>
                <c:pt idx="1">
                  <c:v>0</c:v>
                </c:pt>
                <c:pt idx="2">
                  <c:v>24</c:v>
                </c:pt>
                <c:pt idx="3">
                  <c:v>48</c:v>
                </c:pt>
                <c:pt idx="4">
                  <c:v>71</c:v>
                </c:pt>
                <c:pt idx="5">
                  <c:v>93</c:v>
                </c:pt>
                <c:pt idx="6">
                  <c:v>117</c:v>
                </c:pt>
              </c:numCache>
            </c:numRef>
          </c:xVal>
          <c:yVal>
            <c:numRef>
              <c:f>Curves!$D$6:$D$12</c:f>
              <c:numCache>
                <c:formatCode>General</c:formatCode>
                <c:ptCount val="7"/>
                <c:pt idx="1">
                  <c:v>0</c:v>
                </c:pt>
                <c:pt idx="2">
                  <c:v>2.5856632207210049</c:v>
                </c:pt>
                <c:pt idx="3">
                  <c:v>-1.0087028520052017</c:v>
                </c:pt>
                <c:pt idx="4">
                  <c:v>-0.86622839757044678</c:v>
                </c:pt>
                <c:pt idx="5">
                  <c:v>-1.4910879470579173</c:v>
                </c:pt>
                <c:pt idx="6">
                  <c:v>-1.6577508924966529</c:v>
                </c:pt>
              </c:numCache>
            </c:numRef>
          </c:yVal>
          <c:smooth val="0"/>
        </c:ser>
        <c:ser>
          <c:idx val="2"/>
          <c:order val="2"/>
          <c:tx>
            <c:strRef>
              <c:f>Curves!$G$5</c:f>
              <c:strCache>
                <c:ptCount val="1"/>
                <c:pt idx="0">
                  <c:v>  15-20 ºC</c:v>
                </c:pt>
              </c:strCache>
            </c:strRef>
          </c:tx>
          <c:spPr>
            <a:ln w="19050">
              <a:solidFill>
                <a:schemeClr val="tx1"/>
              </a:solidFill>
              <a:prstDash val="dash"/>
            </a:ln>
          </c:spPr>
          <c:marker>
            <c:symbol val="triangle"/>
            <c:size val="5"/>
            <c:spPr>
              <a:solidFill>
                <a:sysClr val="windowText" lastClr="000000"/>
              </a:solidFill>
              <a:ln>
                <a:noFill/>
              </a:ln>
            </c:spPr>
          </c:marker>
          <c:xVal>
            <c:numRef>
              <c:f>Curves!$B$6:$B$12</c:f>
              <c:numCache>
                <c:formatCode>General</c:formatCode>
                <c:ptCount val="7"/>
                <c:pt idx="1">
                  <c:v>0</c:v>
                </c:pt>
                <c:pt idx="2">
                  <c:v>24</c:v>
                </c:pt>
                <c:pt idx="3">
                  <c:v>48</c:v>
                </c:pt>
                <c:pt idx="4">
                  <c:v>71</c:v>
                </c:pt>
                <c:pt idx="5">
                  <c:v>93</c:v>
                </c:pt>
                <c:pt idx="6">
                  <c:v>117</c:v>
                </c:pt>
              </c:numCache>
            </c:numRef>
          </c:xVal>
          <c:yVal>
            <c:numRef>
              <c:f>Curves!$G$6:$G$12</c:f>
              <c:numCache>
                <c:formatCode>General</c:formatCode>
                <c:ptCount val="7"/>
                <c:pt idx="1">
                  <c:v>0</c:v>
                </c:pt>
                <c:pt idx="2">
                  <c:v>0.76046441343203175</c:v>
                </c:pt>
                <c:pt idx="3">
                  <c:v>-0.59839056084970765</c:v>
                </c:pt>
                <c:pt idx="4">
                  <c:v>-1.393104766814097</c:v>
                </c:pt>
                <c:pt idx="5">
                  <c:v>-1.0253492970325471</c:v>
                </c:pt>
                <c:pt idx="6">
                  <c:v>-1.8687230455541288</c:v>
                </c:pt>
              </c:numCache>
            </c:numRef>
          </c:yVal>
          <c:smooth val="0"/>
        </c:ser>
        <c:ser>
          <c:idx val="3"/>
          <c:order val="3"/>
          <c:tx>
            <c:strRef>
              <c:f>Curves!$J$5</c:f>
              <c:strCache>
                <c:ptCount val="1"/>
                <c:pt idx="0">
                  <c:v>  0 ºC</c:v>
                </c:pt>
              </c:strCache>
            </c:strRef>
          </c:tx>
          <c:spPr>
            <a:ln w="19050">
              <a:solidFill>
                <a:schemeClr val="tx1"/>
              </a:solidFill>
              <a:prstDash val="sysDash"/>
            </a:ln>
          </c:spPr>
          <c:marker>
            <c:symbol val="circle"/>
            <c:size val="5"/>
            <c:spPr>
              <a:solidFill>
                <a:sysClr val="windowText" lastClr="000000"/>
              </a:solidFill>
              <a:ln>
                <a:noFill/>
              </a:ln>
            </c:spPr>
          </c:marker>
          <c:xVal>
            <c:numRef>
              <c:f>Curves!$B$6:$B$12</c:f>
              <c:numCache>
                <c:formatCode>General</c:formatCode>
                <c:ptCount val="7"/>
                <c:pt idx="1">
                  <c:v>0</c:v>
                </c:pt>
                <c:pt idx="2">
                  <c:v>24</c:v>
                </c:pt>
                <c:pt idx="3">
                  <c:v>48</c:v>
                </c:pt>
                <c:pt idx="4">
                  <c:v>71</c:v>
                </c:pt>
                <c:pt idx="5">
                  <c:v>93</c:v>
                </c:pt>
                <c:pt idx="6">
                  <c:v>117</c:v>
                </c:pt>
              </c:numCache>
            </c:numRef>
          </c:xVal>
          <c:yVal>
            <c:numRef>
              <c:f>Curves!$J$6:$J$12</c:f>
              <c:numCache>
                <c:formatCode>General</c:formatCode>
                <c:ptCount val="7"/>
                <c:pt idx="1">
                  <c:v>0</c:v>
                </c:pt>
                <c:pt idx="2">
                  <c:v>2.1365487980351929</c:v>
                </c:pt>
                <c:pt idx="3">
                  <c:v>0.82863782742815406</c:v>
                </c:pt>
                <c:pt idx="4">
                  <c:v>1.1267879021222906</c:v>
                </c:pt>
                <c:pt idx="5">
                  <c:v>0.5704205544560208</c:v>
                </c:pt>
                <c:pt idx="6">
                  <c:v>0.42120799367778328</c:v>
                </c:pt>
              </c:numCache>
            </c:numRef>
          </c:yVal>
          <c:smooth val="0"/>
        </c:ser>
        <c:ser>
          <c:idx val="0"/>
          <c:order val="0"/>
          <c:tx>
            <c:strRef>
              <c:f>Curves!$M$5</c:f>
              <c:strCache>
                <c:ptCount val="1"/>
                <c:pt idx="0">
                  <c:v> -15 ºC</c:v>
                </c:pt>
              </c:strCache>
            </c:strRef>
          </c:tx>
          <c:spPr>
            <a:ln w="19050">
              <a:solidFill>
                <a:schemeClr val="tx1"/>
              </a:solidFill>
              <a:prstDash val="sysDot"/>
            </a:ln>
          </c:spPr>
          <c:marker>
            <c:symbol val="diamond"/>
            <c:size val="6"/>
            <c:spPr>
              <a:solidFill>
                <a:schemeClr val="tx1"/>
              </a:solidFill>
              <a:ln>
                <a:noFill/>
              </a:ln>
            </c:spPr>
          </c:marker>
          <c:xVal>
            <c:numRef>
              <c:f>Curves!$B$6:$B$12</c:f>
              <c:numCache>
                <c:formatCode>General</c:formatCode>
                <c:ptCount val="7"/>
                <c:pt idx="1">
                  <c:v>0</c:v>
                </c:pt>
                <c:pt idx="2">
                  <c:v>24</c:v>
                </c:pt>
                <c:pt idx="3">
                  <c:v>48</c:v>
                </c:pt>
                <c:pt idx="4">
                  <c:v>71</c:v>
                </c:pt>
                <c:pt idx="5">
                  <c:v>93</c:v>
                </c:pt>
                <c:pt idx="6">
                  <c:v>117</c:v>
                </c:pt>
              </c:numCache>
            </c:numRef>
          </c:xVal>
          <c:yVal>
            <c:numRef>
              <c:f>Curves!$M$6:$M$12</c:f>
              <c:numCache>
                <c:formatCode>General</c:formatCode>
                <c:ptCount val="7"/>
                <c:pt idx="1">
                  <c:v>0</c:v>
                </c:pt>
                <c:pt idx="2">
                  <c:v>2.5097191365847937</c:v>
                </c:pt>
                <c:pt idx="3">
                  <c:v>1.2048598168001059</c:v>
                </c:pt>
                <c:pt idx="4">
                  <c:v>0.97309075667284095</c:v>
                </c:pt>
                <c:pt idx="5">
                  <c:v>1.3375645912959298</c:v>
                </c:pt>
                <c:pt idx="6">
                  <c:v>1.4768614470106853</c:v>
                </c:pt>
              </c:numCache>
            </c:numRef>
          </c:yVal>
          <c:smooth val="0"/>
        </c:ser>
        <c:dLbls>
          <c:showLegendKey val="0"/>
          <c:showVal val="0"/>
          <c:showCatName val="0"/>
          <c:showSerName val="0"/>
          <c:showPercent val="0"/>
          <c:showBubbleSize val="0"/>
        </c:dLbls>
        <c:axId val="352828416"/>
        <c:axId val="352839168"/>
      </c:scatterChart>
      <c:valAx>
        <c:axId val="352828416"/>
        <c:scaling>
          <c:orientation val="minMax"/>
          <c:max val="120"/>
        </c:scaling>
        <c:delete val="0"/>
        <c:axPos val="b"/>
        <c:title>
          <c:tx>
            <c:rich>
              <a:bodyPr/>
              <a:lstStyle/>
              <a:p>
                <a:pPr>
                  <a:defRPr/>
                </a:pPr>
                <a:r>
                  <a:rPr lang="en-AU"/>
                  <a:t>Time (hrs)</a:t>
                </a:r>
              </a:p>
            </c:rich>
          </c:tx>
          <c:layout/>
          <c:overlay val="0"/>
        </c:title>
        <c:numFmt formatCode="General" sourceLinked="1"/>
        <c:majorTickMark val="out"/>
        <c:minorTickMark val="none"/>
        <c:tickLblPos val="nextTo"/>
        <c:crossAx val="352839168"/>
        <c:crosses val="autoZero"/>
        <c:crossBetween val="midCat"/>
      </c:valAx>
      <c:valAx>
        <c:axId val="352839168"/>
        <c:scaling>
          <c:orientation val="minMax"/>
          <c:max val="10"/>
        </c:scaling>
        <c:delete val="0"/>
        <c:axPos val="l"/>
        <c:majorGridlines>
          <c:spPr>
            <a:ln>
              <a:solidFill>
                <a:schemeClr val="bg1">
                  <a:lumMod val="50000"/>
                </a:schemeClr>
              </a:solidFill>
              <a:prstDash val="sysDot"/>
            </a:ln>
          </c:spPr>
        </c:majorGridlines>
        <c:title>
          <c:tx>
            <c:rich>
              <a:bodyPr rot="-5400000" vert="horz"/>
              <a:lstStyle/>
              <a:p>
                <a:pPr>
                  <a:defRPr/>
                </a:pPr>
                <a:r>
                  <a:rPr lang="en-AU"/>
                  <a:t>Percentage change in ∆A%</a:t>
                </a:r>
              </a:p>
            </c:rich>
          </c:tx>
          <c:layout/>
          <c:overlay val="0"/>
        </c:title>
        <c:numFmt formatCode="General" sourceLinked="1"/>
        <c:majorTickMark val="out"/>
        <c:minorTickMark val="none"/>
        <c:tickLblPos val="nextTo"/>
        <c:spPr>
          <a:ln>
            <a:solidFill>
              <a:srgbClr val="7030A0"/>
            </a:solidFill>
          </a:ln>
        </c:spPr>
        <c:crossAx val="352828416"/>
        <c:crosses val="autoZero"/>
        <c:crossBetween val="midCat"/>
      </c:valAx>
    </c:plotArea>
    <c:legend>
      <c:legendPos val="r"/>
      <c:layout>
        <c:manualLayout>
          <c:xMode val="edge"/>
          <c:yMode val="edge"/>
          <c:x val="9.6278816577132428E-2"/>
          <c:y val="5.3957909672718012E-2"/>
          <c:w val="0.87015969613592381"/>
          <c:h val="0.34842550065391231"/>
        </c:manualLayout>
      </c:layout>
      <c:overlay val="1"/>
    </c:legend>
    <c:plotVisOnly val="1"/>
    <c:dispBlanksAs val="gap"/>
    <c:showDLblsOverMax val="0"/>
  </c:chart>
  <c:txPr>
    <a:bodyPr/>
    <a:lstStyle/>
    <a:p>
      <a:pPr>
        <a:defRPr sz="1200" b="0">
          <a:latin typeface="Times New Roman" pitchFamily="18" charset="0"/>
          <a:cs typeface="Times New Roman" pitchFamily="18" charset="0"/>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0.13532</cdr:x>
      <cdr:y>0.22264</cdr:y>
    </cdr:from>
    <cdr:to>
      <cdr:x>0.96892</cdr:x>
      <cdr:y>0.22357</cdr:y>
    </cdr:to>
    <cdr:sp macro="" textlink="">
      <cdr:nvSpPr>
        <cdr:cNvPr id="3" name="Straight Connector 2"/>
        <cdr:cNvSpPr/>
      </cdr:nvSpPr>
      <cdr:spPr>
        <a:xfrm xmlns:a="http://schemas.openxmlformats.org/drawingml/2006/main">
          <a:off x="661147" y="661147"/>
          <a:ext cx="4072788" cy="2745"/>
        </a:xfrm>
        <a:prstGeom xmlns:a="http://schemas.openxmlformats.org/drawingml/2006/main" prst="line">
          <a:avLst/>
        </a:prstGeom>
        <a:ln xmlns:a="http://schemas.openxmlformats.org/drawingml/2006/main" w="19050">
          <a:solidFill>
            <a:schemeClr val="tx1"/>
          </a:solidFill>
          <a:prstDash val="solid"/>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0.29358</cdr:x>
      <cdr:y>0.02642</cdr:y>
    </cdr:from>
    <cdr:to>
      <cdr:x>0.59633</cdr:x>
      <cdr:y>0.13208</cdr:y>
    </cdr:to>
    <cdr:sp macro="" textlink="">
      <cdr:nvSpPr>
        <cdr:cNvPr id="4" name="Line Callout 1 (No Border) 3"/>
        <cdr:cNvSpPr/>
      </cdr:nvSpPr>
      <cdr:spPr>
        <a:xfrm xmlns:a="http://schemas.openxmlformats.org/drawingml/2006/main">
          <a:off x="1434352" y="78442"/>
          <a:ext cx="1479177" cy="313765"/>
        </a:xfrm>
        <a:prstGeom xmlns:a="http://schemas.openxmlformats.org/drawingml/2006/main" prst="callout1">
          <a:avLst>
            <a:gd name="adj1" fmla="val 54464"/>
            <a:gd name="adj2" fmla="val 4546"/>
            <a:gd name="adj3" fmla="val 178983"/>
            <a:gd name="adj4" fmla="val -3788"/>
          </a:avLst>
        </a:prstGeom>
        <a:noFill xmlns:a="http://schemas.openxmlformats.org/drawingml/2006/main"/>
        <a:ln xmlns:a="http://schemas.openxmlformats.org/drawingml/2006/main">
          <a:solidFill>
            <a:schemeClr val="tx1"/>
          </a:solidFill>
          <a:prstDash val="das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1200">
              <a:solidFill>
                <a:sysClr val="windowText" lastClr="000000"/>
              </a:solidFill>
              <a:latin typeface="Times New Roman" pitchFamily="18" charset="0"/>
              <a:cs typeface="Times New Roman" pitchFamily="18" charset="0"/>
            </a:rPr>
            <a:t>Average response</a:t>
          </a:r>
        </a:p>
      </cdr:txBody>
    </cdr:sp>
  </cdr:relSizeAnchor>
</c:userShapes>
</file>

<file path=word/drawings/drawing2.xml><?xml version="1.0" encoding="utf-8"?>
<c:userShapes xmlns:c="http://schemas.openxmlformats.org/drawingml/2006/chart">
  <cdr:relSizeAnchor xmlns:cdr="http://schemas.openxmlformats.org/drawingml/2006/chartDrawing">
    <cdr:from>
      <cdr:x>0.14375</cdr:x>
      <cdr:y>0.23958</cdr:y>
    </cdr:from>
    <cdr:to>
      <cdr:x>0.96164</cdr:x>
      <cdr:y>0.24059</cdr:y>
    </cdr:to>
    <cdr:sp macro="" textlink="">
      <cdr:nvSpPr>
        <cdr:cNvPr id="2" name="Straight Connector 1"/>
        <cdr:cNvSpPr/>
      </cdr:nvSpPr>
      <cdr:spPr>
        <a:xfrm xmlns:a="http://schemas.openxmlformats.org/drawingml/2006/main">
          <a:off x="657225" y="657225"/>
          <a:ext cx="3739398" cy="2761"/>
        </a:xfrm>
        <a:prstGeom xmlns:a="http://schemas.openxmlformats.org/drawingml/2006/main" prst="line">
          <a:avLst/>
        </a:prstGeom>
        <a:noFill xmlns:a="http://schemas.openxmlformats.org/drawingml/2006/main"/>
        <a:ln xmlns:a="http://schemas.openxmlformats.org/drawingml/2006/main" w="19050" cap="flat" cmpd="sng" algn="ctr">
          <a:solidFill>
            <a:sysClr val="windowText" lastClr="000000"/>
          </a:solidFill>
          <a:prstDash val="solid"/>
        </a:ln>
        <a:effectLst xmlns:a="http://schemas.openxmlformats.org/drawingml/2006/mai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0.67647</cdr:x>
      <cdr:y>0.02431</cdr:y>
    </cdr:from>
    <cdr:to>
      <cdr:x>1</cdr:x>
      <cdr:y>0.13868</cdr:y>
    </cdr:to>
    <cdr:sp macro="" textlink="">
      <cdr:nvSpPr>
        <cdr:cNvPr id="3" name="Line Callout 1 (No Border) 2"/>
        <cdr:cNvSpPr/>
      </cdr:nvSpPr>
      <cdr:spPr>
        <a:xfrm xmlns:a="http://schemas.openxmlformats.org/drawingml/2006/main">
          <a:off x="3092834" y="66675"/>
          <a:ext cx="1479166" cy="313763"/>
        </a:xfrm>
        <a:prstGeom xmlns:a="http://schemas.openxmlformats.org/drawingml/2006/main" prst="callout1">
          <a:avLst>
            <a:gd name="adj1" fmla="val 75714"/>
            <a:gd name="adj2" fmla="val 28372"/>
            <a:gd name="adj3" fmla="val 175947"/>
            <a:gd name="adj4" fmla="val 21325"/>
          </a:avLst>
        </a:prstGeom>
        <a:noFill xmlns:a="http://schemas.openxmlformats.org/drawingml/2006/main"/>
        <a:ln xmlns:a="http://schemas.openxmlformats.org/drawingml/2006/main" w="19050" cap="flat" cmpd="sng" algn="ctr">
          <a:solidFill>
            <a:sysClr val="windowText" lastClr="000000"/>
          </a:solidFill>
          <a:prstDash val="dash"/>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sz="1200">
              <a:solidFill>
                <a:sysClr val="windowText" lastClr="000000"/>
              </a:solidFill>
              <a:latin typeface="Times New Roman" pitchFamily="18" charset="0"/>
              <a:cs typeface="Times New Roman" pitchFamily="18" charset="0"/>
            </a:rPr>
            <a:t>Average response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28</Pages>
  <Words>5579</Words>
  <Characters>31803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37308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and Communication Technology Services</dc:creator>
  <cp:keywords/>
  <dc:description/>
  <cp:lastModifiedBy>Abdurazaq Amar</cp:lastModifiedBy>
  <cp:revision>8</cp:revision>
  <dcterms:created xsi:type="dcterms:W3CDTF">2013-08-23T01:07:00Z</dcterms:created>
  <dcterms:modified xsi:type="dcterms:W3CDTF">2013-09-30T01:42:00Z</dcterms:modified>
</cp:coreProperties>
</file>