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E20" w:rsidRPr="002A6806" w:rsidRDefault="00F77E20" w:rsidP="00DF4B60">
      <w:pPr>
        <w:pStyle w:val="AuthorName"/>
        <w:rPr>
          <w:rFonts w:cs="Times New Roman"/>
          <w:b/>
          <w:i w:val="0"/>
          <w:caps/>
          <w:kern w:val="28"/>
          <w:sz w:val="32"/>
          <w:szCs w:val="32"/>
        </w:rPr>
      </w:pPr>
      <w:r w:rsidRPr="002A6806">
        <w:rPr>
          <w:rFonts w:cs="Times New Roman"/>
          <w:b/>
          <w:i w:val="0"/>
          <w:caps/>
          <w:kern w:val="28"/>
          <w:sz w:val="32"/>
          <w:szCs w:val="32"/>
          <w:lang w:val="en-US"/>
        </w:rPr>
        <w:t xml:space="preserve">Verification of Austroads </w:t>
      </w:r>
      <w:r w:rsidR="00921C34" w:rsidRPr="002A6806">
        <w:rPr>
          <w:rFonts w:cs="Times New Roman"/>
          <w:b/>
          <w:i w:val="0"/>
          <w:caps/>
          <w:kern w:val="28"/>
          <w:sz w:val="32"/>
          <w:szCs w:val="32"/>
          <w:lang w:val="en-US"/>
        </w:rPr>
        <w:t xml:space="preserve">CONCRETE </w:t>
      </w:r>
      <w:r w:rsidR="00DF4B60" w:rsidRPr="002A6806">
        <w:rPr>
          <w:rFonts w:cs="Times New Roman"/>
          <w:b/>
          <w:i w:val="0"/>
          <w:caps/>
          <w:kern w:val="28"/>
          <w:sz w:val="32"/>
          <w:szCs w:val="32"/>
          <w:lang w:val="en-US"/>
        </w:rPr>
        <w:t>P</w:t>
      </w:r>
      <w:r w:rsidR="00921C34" w:rsidRPr="002A6806">
        <w:rPr>
          <w:rFonts w:cs="Times New Roman"/>
          <w:b/>
          <w:i w:val="0"/>
          <w:caps/>
          <w:kern w:val="28"/>
          <w:sz w:val="32"/>
          <w:szCs w:val="32"/>
          <w:lang w:val="en-US"/>
        </w:rPr>
        <w:t>AVEMENT</w:t>
      </w:r>
      <w:r w:rsidRPr="002A6806">
        <w:rPr>
          <w:rFonts w:cs="Times New Roman"/>
          <w:b/>
          <w:i w:val="0"/>
          <w:caps/>
          <w:kern w:val="28"/>
          <w:sz w:val="32"/>
          <w:szCs w:val="32"/>
          <w:lang w:val="en-US"/>
        </w:rPr>
        <w:t xml:space="preserve"> design method using EverFE computer program</w:t>
      </w:r>
    </w:p>
    <w:p w:rsidR="00921C34" w:rsidRPr="002A6806" w:rsidRDefault="00921C34" w:rsidP="007017D3">
      <w:pPr>
        <w:pStyle w:val="AuthorName"/>
        <w:jc w:val="both"/>
      </w:pPr>
      <w:r w:rsidRPr="002A6806">
        <w:t>Jake Tobler, Roads and Maritime Services of NSW, Australia</w:t>
      </w:r>
    </w:p>
    <w:p w:rsidR="00D82D2A" w:rsidRPr="002A6806" w:rsidRDefault="00921C34" w:rsidP="007017D3">
      <w:pPr>
        <w:pStyle w:val="AuthorName"/>
        <w:jc w:val="both"/>
      </w:pPr>
      <w:r w:rsidRPr="002A6806">
        <w:t>Andreas Nataatmadja, University of Southern Queensland, Australia</w:t>
      </w:r>
    </w:p>
    <w:p w:rsidR="00D82D2A" w:rsidRPr="002A6806" w:rsidRDefault="00D82D2A" w:rsidP="007017D3">
      <w:pPr>
        <w:pStyle w:val="Heading1"/>
        <w:jc w:val="both"/>
      </w:pPr>
      <w:r w:rsidRPr="002A6806">
        <w:t>ABSTRACT</w:t>
      </w:r>
    </w:p>
    <w:p w:rsidR="00F77E20" w:rsidRPr="002A6806" w:rsidRDefault="00F77E20" w:rsidP="009C23F3">
      <w:pPr>
        <w:spacing w:after="0"/>
        <w:jc w:val="both"/>
        <w:rPr>
          <w:rFonts w:eastAsia="Calibri" w:cs="Arial"/>
        </w:rPr>
      </w:pPr>
      <w:r w:rsidRPr="002A6806">
        <w:rPr>
          <w:rFonts w:eastAsia="Calibri" w:cs="Arial"/>
        </w:rPr>
        <w:t xml:space="preserve">The current Austroads concrete pavement design procedure is based on the PCA’s empirical design method originally developed in 1960’s, which may only be applicable for certain loading and environmental conditions. With the </w:t>
      </w:r>
      <w:r w:rsidRPr="002A6806">
        <w:rPr>
          <w:rFonts w:cs="Arial"/>
        </w:rPr>
        <w:t xml:space="preserve">increased utilisation of larger and heavier commercial vehicles, eventually future pavements cannot be designed using this method. </w:t>
      </w:r>
      <w:r w:rsidRPr="002A6806">
        <w:rPr>
          <w:rFonts w:eastAsia="Calibri" w:cs="Arial"/>
        </w:rPr>
        <w:t>While this method is still considered adequate at present, this paper attempts to investigate whether there is a need to revise the design procedure in the future.</w:t>
      </w:r>
    </w:p>
    <w:p w:rsidR="0068049D" w:rsidRPr="002A6806" w:rsidRDefault="0068049D" w:rsidP="009C23F3">
      <w:pPr>
        <w:spacing w:after="0"/>
        <w:jc w:val="both"/>
        <w:rPr>
          <w:rFonts w:eastAsia="Calibri" w:cs="Arial"/>
        </w:rPr>
      </w:pPr>
    </w:p>
    <w:p w:rsidR="00F77E20" w:rsidRPr="002A6806" w:rsidRDefault="00F77E20" w:rsidP="009C23F3">
      <w:pPr>
        <w:spacing w:after="0"/>
        <w:jc w:val="both"/>
        <w:rPr>
          <w:rFonts w:eastAsia="Calibri" w:cs="Arial"/>
        </w:rPr>
      </w:pPr>
      <w:r w:rsidRPr="002A6806">
        <w:rPr>
          <w:rFonts w:eastAsia="Calibri" w:cs="Arial"/>
        </w:rPr>
        <w:t xml:space="preserve">In the present study, </w:t>
      </w:r>
      <w:r w:rsidR="004441C3" w:rsidRPr="002A6806">
        <w:rPr>
          <w:rFonts w:eastAsia="Calibri" w:cs="Arial"/>
        </w:rPr>
        <w:t>pavement design was</w:t>
      </w:r>
      <w:r w:rsidRPr="002A6806">
        <w:rPr>
          <w:rFonts w:eastAsia="Calibri" w:cs="Arial"/>
        </w:rPr>
        <w:t xml:space="preserve"> initially performed as per the Austroads procedure using the RMS pavement design spreadsheet for a comparison with the EverFE 3D Finite Element Analysis computer program. Traffic data from Pennant Hills Road in North Parramatta and the eastbound lanes of the M2 motorway in North Epping, Sydney </w:t>
      </w:r>
      <w:r w:rsidR="004441C3" w:rsidRPr="002A6806">
        <w:rPr>
          <w:rFonts w:eastAsia="Calibri" w:cs="Arial"/>
        </w:rPr>
        <w:t>were</w:t>
      </w:r>
      <w:r w:rsidRPr="002A6806">
        <w:rPr>
          <w:rFonts w:eastAsia="Calibri" w:cs="Arial"/>
        </w:rPr>
        <w:t xml:space="preserve"> used.</w:t>
      </w:r>
    </w:p>
    <w:p w:rsidR="0068049D" w:rsidRPr="002A6806" w:rsidRDefault="00BF5553" w:rsidP="009C23F3">
      <w:pPr>
        <w:spacing w:after="0"/>
        <w:jc w:val="both"/>
        <w:rPr>
          <w:rFonts w:eastAsia="Calibri" w:cs="Arial"/>
        </w:rPr>
      </w:pPr>
      <w:r w:rsidRPr="002A6806">
        <w:rPr>
          <w:rFonts w:eastAsia="Calibri" w:cs="Arial"/>
        </w:rPr>
        <w:t xml:space="preserve"> </w:t>
      </w:r>
    </w:p>
    <w:p w:rsidR="00F77E20" w:rsidRPr="002A6806" w:rsidRDefault="00F77E20" w:rsidP="009C23F3">
      <w:pPr>
        <w:spacing w:after="0"/>
        <w:jc w:val="both"/>
        <w:rPr>
          <w:rFonts w:eastAsia="Calibri" w:cs="Arial"/>
        </w:rPr>
      </w:pPr>
      <w:r w:rsidRPr="002A6806">
        <w:rPr>
          <w:rFonts w:eastAsia="Calibri" w:cs="Arial"/>
        </w:rPr>
        <w:t>The results of this study reveals that the equivalent  stress  values of standard vehicles obtained  from  Austroads method are lower than  t</w:t>
      </w:r>
      <w:r w:rsidR="00095F8F" w:rsidRPr="002A6806">
        <w:rPr>
          <w:rFonts w:eastAsia="Calibri" w:cs="Arial"/>
        </w:rPr>
        <w:t>he maximum</w:t>
      </w:r>
      <w:r w:rsidRPr="002A6806">
        <w:rPr>
          <w:rFonts w:eastAsia="Calibri" w:cs="Arial"/>
        </w:rPr>
        <w:t xml:space="preserve"> </w:t>
      </w:r>
      <w:r w:rsidR="00364F6B" w:rsidRPr="002A6806">
        <w:rPr>
          <w:rFonts w:eastAsia="Calibri" w:cs="Arial"/>
        </w:rPr>
        <w:t>tensile stress</w:t>
      </w:r>
      <w:r w:rsidRPr="002A6806">
        <w:rPr>
          <w:rFonts w:eastAsia="Calibri" w:cs="Arial"/>
        </w:rPr>
        <w:t xml:space="preserve"> obtained  from  EverFE  for </w:t>
      </w:r>
      <w:proofErr w:type="spellStart"/>
      <w:r w:rsidRPr="002A6806">
        <w:rPr>
          <w:rFonts w:eastAsia="Calibri" w:cs="Arial"/>
        </w:rPr>
        <w:t>unbonded</w:t>
      </w:r>
      <w:proofErr w:type="spellEnd"/>
      <w:r w:rsidRPr="002A6806">
        <w:rPr>
          <w:rFonts w:eastAsia="Calibri" w:cs="Arial"/>
        </w:rPr>
        <w:t xml:space="preserve">  boundary condition by as  little  as  5.7% (for  TRDT)  to  a  maximum  of  15.7% (for  SAST). However, for the </w:t>
      </w:r>
      <w:r w:rsidR="00121869" w:rsidRPr="002A6806">
        <w:rPr>
          <w:rFonts w:eastAsia="Calibri" w:cs="Arial"/>
        </w:rPr>
        <w:t xml:space="preserve">selected traffic </w:t>
      </w:r>
      <w:r w:rsidRPr="002A6806">
        <w:rPr>
          <w:rFonts w:eastAsia="Calibri" w:cs="Arial"/>
        </w:rPr>
        <w:t>compositions, it has been found that the difference in equivalent stress values does not influence allowable axle repetitions and the resulting pavement thickness.</w:t>
      </w:r>
    </w:p>
    <w:p w:rsidR="0068049D" w:rsidRPr="002A6806" w:rsidRDefault="0068049D" w:rsidP="009C23F3">
      <w:pPr>
        <w:spacing w:after="0"/>
        <w:jc w:val="both"/>
        <w:rPr>
          <w:rFonts w:eastAsia="Calibri" w:cs="Arial"/>
        </w:rPr>
      </w:pPr>
    </w:p>
    <w:p w:rsidR="00F77E20" w:rsidRPr="002A6806" w:rsidRDefault="00121869" w:rsidP="009C23F3">
      <w:pPr>
        <w:spacing w:after="0"/>
        <w:jc w:val="both"/>
        <w:rPr>
          <w:rFonts w:cs="Arial"/>
        </w:rPr>
      </w:pPr>
      <w:r w:rsidRPr="002A6806">
        <w:rPr>
          <w:rFonts w:eastAsia="Calibri" w:cs="Arial"/>
        </w:rPr>
        <w:t xml:space="preserve">EverFE </w:t>
      </w:r>
      <w:r w:rsidR="004441C3" w:rsidRPr="002A6806">
        <w:rPr>
          <w:rFonts w:eastAsia="Calibri" w:cs="Arial"/>
        </w:rPr>
        <w:t>was</w:t>
      </w:r>
      <w:r w:rsidR="00F77E20" w:rsidRPr="002A6806">
        <w:rPr>
          <w:rFonts w:eastAsia="Calibri" w:cs="Arial"/>
        </w:rPr>
        <w:t xml:space="preserve"> subsequently </w:t>
      </w:r>
      <w:r w:rsidR="001F3B76" w:rsidRPr="002A6806">
        <w:rPr>
          <w:rFonts w:eastAsia="Calibri" w:cs="Arial"/>
        </w:rPr>
        <w:t>used to model the response of a rigid pavement</w:t>
      </w:r>
      <w:r w:rsidR="00F77E20" w:rsidRPr="002A6806">
        <w:rPr>
          <w:rFonts w:eastAsia="Calibri" w:cs="Arial"/>
        </w:rPr>
        <w:t xml:space="preserve"> </w:t>
      </w:r>
      <w:r w:rsidR="001F3B76" w:rsidRPr="002A6806">
        <w:rPr>
          <w:rFonts w:eastAsia="Calibri" w:cs="Arial"/>
        </w:rPr>
        <w:t>configuration to</w:t>
      </w:r>
      <w:r w:rsidR="00F77E20" w:rsidRPr="002A6806">
        <w:rPr>
          <w:rFonts w:eastAsia="Calibri" w:cs="Arial"/>
        </w:rPr>
        <w:t xml:space="preserve"> </w:t>
      </w:r>
      <w:r w:rsidR="006A4B97" w:rsidRPr="002A6806">
        <w:rPr>
          <w:rFonts w:eastAsia="Calibri" w:cs="Arial"/>
        </w:rPr>
        <w:t>hypothetical</w:t>
      </w:r>
      <w:r w:rsidR="001F3B76" w:rsidRPr="002A6806">
        <w:rPr>
          <w:rFonts w:eastAsia="Calibri" w:cs="Arial"/>
        </w:rPr>
        <w:t xml:space="preserve"> axle</w:t>
      </w:r>
      <w:r w:rsidR="006A4B97" w:rsidRPr="002A6806">
        <w:rPr>
          <w:rFonts w:eastAsia="Calibri" w:cs="Arial"/>
        </w:rPr>
        <w:t xml:space="preserve"> </w:t>
      </w:r>
      <w:r w:rsidR="00F77E20" w:rsidRPr="002A6806">
        <w:rPr>
          <w:rFonts w:eastAsia="Calibri" w:cs="Arial"/>
        </w:rPr>
        <w:t>loading</w:t>
      </w:r>
      <w:r w:rsidR="001F3B76" w:rsidRPr="002A6806">
        <w:rPr>
          <w:rFonts w:eastAsia="Calibri" w:cs="Arial"/>
        </w:rPr>
        <w:t>s</w:t>
      </w:r>
      <w:r w:rsidR="00F77E20" w:rsidRPr="002A6806">
        <w:rPr>
          <w:rFonts w:eastAsia="Calibri" w:cs="Arial"/>
        </w:rPr>
        <w:t xml:space="preserve"> </w:t>
      </w:r>
      <w:r w:rsidR="006A4B97" w:rsidRPr="002A6806">
        <w:rPr>
          <w:rFonts w:eastAsia="Calibri" w:cs="Arial"/>
        </w:rPr>
        <w:t xml:space="preserve">for different </w:t>
      </w:r>
      <w:r w:rsidR="009C23F3" w:rsidRPr="002A6806">
        <w:rPr>
          <w:rFonts w:eastAsia="Calibri" w:cs="Arial"/>
        </w:rPr>
        <w:t>wheel position</w:t>
      </w:r>
      <w:r w:rsidR="006A4B97" w:rsidRPr="002A6806">
        <w:rPr>
          <w:rFonts w:eastAsia="Calibri" w:cs="Arial"/>
        </w:rPr>
        <w:t>s</w:t>
      </w:r>
      <w:r w:rsidR="009C23F3" w:rsidRPr="002A6806">
        <w:rPr>
          <w:rFonts w:eastAsia="Calibri" w:cs="Arial"/>
        </w:rPr>
        <w:t xml:space="preserve"> from pavement edge</w:t>
      </w:r>
      <w:r w:rsidR="00F77E20" w:rsidRPr="002A6806">
        <w:rPr>
          <w:rFonts w:eastAsia="Calibri" w:cs="Arial"/>
        </w:rPr>
        <w:t>.</w:t>
      </w:r>
      <w:r w:rsidR="00F77E20" w:rsidRPr="002A6806">
        <w:rPr>
          <w:rFonts w:cs="Arial"/>
        </w:rPr>
        <w:t xml:space="preserve"> </w:t>
      </w:r>
      <w:r w:rsidRPr="002A6806">
        <w:rPr>
          <w:rFonts w:cs="Arial"/>
        </w:rPr>
        <w:t xml:space="preserve">It </w:t>
      </w:r>
      <w:r w:rsidR="004441C3" w:rsidRPr="002A6806">
        <w:rPr>
          <w:rFonts w:cs="Arial"/>
        </w:rPr>
        <w:t>was</w:t>
      </w:r>
      <w:r w:rsidRPr="002A6806">
        <w:rPr>
          <w:rFonts w:cs="Arial"/>
        </w:rPr>
        <w:t xml:space="preserve"> found that </w:t>
      </w:r>
      <w:r w:rsidR="006A4B97" w:rsidRPr="002A6806">
        <w:rPr>
          <w:rFonts w:cs="Arial"/>
        </w:rPr>
        <w:t xml:space="preserve">under the assumed traffic loading the </w:t>
      </w:r>
      <w:r w:rsidRPr="002A6806">
        <w:rPr>
          <w:rFonts w:cs="Arial"/>
        </w:rPr>
        <w:t>pavement stresses</w:t>
      </w:r>
      <w:r w:rsidR="00F77E20" w:rsidRPr="002A6806">
        <w:rPr>
          <w:rFonts w:cs="Arial"/>
        </w:rPr>
        <w:t xml:space="preserve"> </w:t>
      </w:r>
      <w:r w:rsidR="004441C3" w:rsidRPr="002A6806">
        <w:rPr>
          <w:rFonts w:cs="Arial"/>
        </w:rPr>
        <w:t>could</w:t>
      </w:r>
      <w:r w:rsidR="00F77E20" w:rsidRPr="002A6806">
        <w:rPr>
          <w:rFonts w:cs="Arial"/>
        </w:rPr>
        <w:t xml:space="preserve"> </w:t>
      </w:r>
      <w:r w:rsidR="004441C3" w:rsidRPr="002A6806">
        <w:rPr>
          <w:rFonts w:cs="Arial"/>
        </w:rPr>
        <w:t xml:space="preserve">increase threefold </w:t>
      </w:r>
      <w:r w:rsidR="006A4B97" w:rsidRPr="002A6806">
        <w:rPr>
          <w:rFonts w:cs="Arial"/>
        </w:rPr>
        <w:t>but</w:t>
      </w:r>
      <w:r w:rsidR="00F77E20" w:rsidRPr="002A6806">
        <w:rPr>
          <w:rFonts w:cs="Arial"/>
        </w:rPr>
        <w:t xml:space="preserve"> temperature gradient in the pavement </w:t>
      </w:r>
      <w:r w:rsidR="004441C3" w:rsidRPr="002A6806">
        <w:rPr>
          <w:rFonts w:cs="Arial"/>
        </w:rPr>
        <w:t xml:space="preserve">would </w:t>
      </w:r>
      <w:r w:rsidR="000065E5" w:rsidRPr="002A6806">
        <w:rPr>
          <w:rFonts w:cs="Arial"/>
        </w:rPr>
        <w:t xml:space="preserve">still </w:t>
      </w:r>
      <w:r w:rsidR="004441C3" w:rsidRPr="002A6806">
        <w:rPr>
          <w:rFonts w:cs="Arial"/>
        </w:rPr>
        <w:t>be</w:t>
      </w:r>
      <w:r w:rsidR="00CC7D55" w:rsidRPr="002A6806">
        <w:rPr>
          <w:rFonts w:cs="Arial"/>
        </w:rPr>
        <w:t xml:space="preserve"> the most</w:t>
      </w:r>
      <w:r w:rsidR="00F77E20" w:rsidRPr="002A6806">
        <w:rPr>
          <w:rFonts w:cs="Arial"/>
        </w:rPr>
        <w:t xml:space="preserve"> significant factor </w:t>
      </w:r>
      <w:r w:rsidR="00CC7D55" w:rsidRPr="002A6806">
        <w:rPr>
          <w:rFonts w:cs="Arial"/>
        </w:rPr>
        <w:t>in affecting</w:t>
      </w:r>
      <w:r w:rsidR="00F77E20" w:rsidRPr="002A6806">
        <w:rPr>
          <w:rFonts w:cs="Arial"/>
        </w:rPr>
        <w:t xml:space="preserve"> pavement stress</w:t>
      </w:r>
      <w:r w:rsidR="004441C3" w:rsidRPr="002A6806">
        <w:rPr>
          <w:rFonts w:cs="Arial"/>
        </w:rPr>
        <w:t>es</w:t>
      </w:r>
      <w:r w:rsidR="00F77E20" w:rsidRPr="002A6806">
        <w:rPr>
          <w:rFonts w:cs="Arial"/>
        </w:rPr>
        <w:t>. The overall results therefore suggest that the Austroads concrete pavement design method is presently adequate,</w:t>
      </w:r>
      <w:r w:rsidR="006A4B97" w:rsidRPr="002A6806">
        <w:rPr>
          <w:rFonts w:cs="Arial"/>
        </w:rPr>
        <w:t xml:space="preserve"> but</w:t>
      </w:r>
      <w:r w:rsidR="00F77E20" w:rsidRPr="002A6806">
        <w:rPr>
          <w:rFonts w:cs="Arial"/>
        </w:rPr>
        <w:t xml:space="preserve"> there may be a need to revise the current design method </w:t>
      </w:r>
      <w:r w:rsidR="006A4B97" w:rsidRPr="002A6806">
        <w:rPr>
          <w:rFonts w:cs="Arial"/>
        </w:rPr>
        <w:t xml:space="preserve">if the traffic loading increases significantly </w:t>
      </w:r>
      <w:r w:rsidR="00F77E20" w:rsidRPr="002A6806">
        <w:rPr>
          <w:rFonts w:cs="Arial"/>
        </w:rPr>
        <w:t>in the future.</w:t>
      </w:r>
    </w:p>
    <w:p w:rsidR="00D82D2A" w:rsidRPr="002A6806" w:rsidRDefault="00D82D2A" w:rsidP="007017D3">
      <w:pPr>
        <w:pStyle w:val="Abtract-text"/>
        <w:jc w:val="both"/>
      </w:pPr>
    </w:p>
    <w:p w:rsidR="007A294B" w:rsidRPr="002A6806" w:rsidRDefault="007A294B" w:rsidP="007017D3">
      <w:pPr>
        <w:pStyle w:val="Heading1"/>
        <w:jc w:val="both"/>
      </w:pPr>
      <w:r w:rsidRPr="002A6806">
        <w:t>INTRODUCTION</w:t>
      </w:r>
    </w:p>
    <w:p w:rsidR="007A294B" w:rsidRPr="002A6806" w:rsidRDefault="00E279FE" w:rsidP="007017D3">
      <w:pPr>
        <w:spacing w:after="0"/>
        <w:jc w:val="both"/>
      </w:pPr>
      <w:r w:rsidRPr="002A6806">
        <w:t>The Austroads design</w:t>
      </w:r>
      <w:r w:rsidR="006A6A8D" w:rsidRPr="002A6806">
        <w:t xml:space="preserve"> </w:t>
      </w:r>
      <w:r w:rsidRPr="002A6806">
        <w:t>method for rigid pavement base thickness</w:t>
      </w:r>
      <w:r w:rsidR="007A294B" w:rsidRPr="002A6806">
        <w:t xml:space="preserve"> calculations </w:t>
      </w:r>
      <w:r w:rsidR="006A6A8D" w:rsidRPr="002A6806">
        <w:t xml:space="preserve">(Austroads, 2012) </w:t>
      </w:r>
      <w:r w:rsidR="007A294B" w:rsidRPr="002A6806">
        <w:t>is based on the methods developed in the USA by</w:t>
      </w:r>
      <w:r w:rsidRPr="002A6806">
        <w:t xml:space="preserve"> Packard and </w:t>
      </w:r>
      <w:proofErr w:type="spellStart"/>
      <w:r w:rsidRPr="002A6806">
        <w:t>Tayabji</w:t>
      </w:r>
      <w:proofErr w:type="spellEnd"/>
      <w:r w:rsidRPr="002A6806">
        <w:t xml:space="preserve"> (1985) for</w:t>
      </w:r>
      <w:r w:rsidR="007A294B" w:rsidRPr="002A6806">
        <w:t xml:space="preserve"> the </w:t>
      </w:r>
      <w:r w:rsidRPr="002A6806">
        <w:t>Portland Cement Association</w:t>
      </w:r>
      <w:r w:rsidR="007A294B" w:rsidRPr="002A6806">
        <w:t xml:space="preserve"> (</w:t>
      </w:r>
      <w:r w:rsidRPr="002A6806">
        <w:t>PCA)</w:t>
      </w:r>
      <w:r w:rsidR="007A294B" w:rsidRPr="002A6806">
        <w:t xml:space="preserve">. Design  of  pavement  thickness  using  the  PCA  method  is  based  on semi-empirical  charts  and  models  developed  based  on  analytical methods  and  experimental  testing  of  pavements  in  the  field  using typical  joint  spacing.  </w:t>
      </w:r>
      <w:r w:rsidR="00C74B5D" w:rsidRPr="002A6806">
        <w:t>Changes</w:t>
      </w:r>
      <w:r w:rsidR="007A294B" w:rsidRPr="002A6806">
        <w:t xml:space="preserve"> have been made to the guide to reflect Australian conditions and it is assumed in Austroads that the base and subbase layers are </w:t>
      </w:r>
      <w:proofErr w:type="spellStart"/>
      <w:r w:rsidR="007A294B" w:rsidRPr="002A6806">
        <w:t>unbonded</w:t>
      </w:r>
      <w:proofErr w:type="spellEnd"/>
      <w:r w:rsidR="007A294B" w:rsidRPr="002A6806">
        <w:t xml:space="preserve">. Inputs required for design include traffic volume, traffic composition (heavy  vehicle percentage),  axle  load  grouping  and  load  distribution,  subgrade CBR, project design reliability and concrete flexural strength (Austroads, 2012).  </w:t>
      </w:r>
    </w:p>
    <w:p w:rsidR="00C6599A" w:rsidRPr="002A6806" w:rsidRDefault="00C6599A" w:rsidP="007017D3">
      <w:pPr>
        <w:spacing w:after="0"/>
        <w:jc w:val="both"/>
      </w:pPr>
    </w:p>
    <w:p w:rsidR="00C6599A" w:rsidRPr="002A6806" w:rsidRDefault="009550D3" w:rsidP="00364F6B">
      <w:pPr>
        <w:spacing w:after="0"/>
        <w:jc w:val="both"/>
      </w:pPr>
      <w:r w:rsidRPr="002A6806">
        <w:t>The PCA method only considers a standard 8 tonne</w:t>
      </w:r>
      <w:r w:rsidR="00C6599A" w:rsidRPr="002A6806">
        <w:t xml:space="preserve"> </w:t>
      </w:r>
      <w:r w:rsidRPr="002A6806">
        <w:t>Single Axle</w:t>
      </w:r>
      <w:r w:rsidR="00C6599A" w:rsidRPr="002A6806">
        <w:t xml:space="preserve"> Dual Tyre (SADT)</w:t>
      </w:r>
      <w:r w:rsidRPr="002A6806">
        <w:t xml:space="preserve"> and</w:t>
      </w:r>
      <w:r w:rsidR="00C6599A" w:rsidRPr="002A6806">
        <w:t xml:space="preserve"> </w:t>
      </w:r>
      <w:r w:rsidRPr="002A6806">
        <w:t xml:space="preserve">a 16 tonne </w:t>
      </w:r>
      <w:r w:rsidR="00C6599A" w:rsidRPr="002A6806">
        <w:t>Tandem Axle Dual Tyre (TADT)</w:t>
      </w:r>
      <w:r w:rsidRPr="002A6806">
        <w:t>.</w:t>
      </w:r>
      <w:r w:rsidR="00C6599A" w:rsidRPr="002A6806">
        <w:t xml:space="preserve"> </w:t>
      </w:r>
      <w:r w:rsidR="00A17B82" w:rsidRPr="002A6806">
        <w:t>However, the  Austroads  method  has  i</w:t>
      </w:r>
      <w:r w:rsidR="00C6599A" w:rsidRPr="002A6806">
        <w:t>nclude</w:t>
      </w:r>
      <w:r w:rsidR="00A17B82" w:rsidRPr="002A6806">
        <w:t>d</w:t>
      </w:r>
      <w:r w:rsidR="00C6599A" w:rsidRPr="002A6806">
        <w:t xml:space="preserve">  Single  Axle  Single  Tyre  (SAST),  Tandem  Axle  Single  Tyre (TAST)</w:t>
      </w:r>
      <w:r w:rsidRPr="002A6806">
        <w:t>,</w:t>
      </w:r>
      <w:r w:rsidR="00C6599A" w:rsidRPr="002A6806">
        <w:t xml:space="preserve"> </w:t>
      </w:r>
      <w:r w:rsidRPr="002A6806">
        <w:t xml:space="preserve">Triple </w:t>
      </w:r>
      <w:proofErr w:type="spellStart"/>
      <w:r w:rsidRPr="002A6806">
        <w:t>Axle</w:t>
      </w:r>
      <w:proofErr w:type="spellEnd"/>
      <w:r w:rsidRPr="002A6806">
        <w:t xml:space="preserve"> Dual  Tyre  (TRDT).</w:t>
      </w:r>
      <w:r w:rsidR="00C6599A" w:rsidRPr="002A6806">
        <w:t>and  Quad  Axle  Dual  Tyre  (QADT)</w:t>
      </w:r>
      <w:r w:rsidR="00E20425" w:rsidRPr="002A6806">
        <w:t>.</w:t>
      </w:r>
      <w:r w:rsidRPr="002A6806">
        <w:t xml:space="preserve"> </w:t>
      </w:r>
      <w:r w:rsidR="00364F6B" w:rsidRPr="002A6806">
        <w:t xml:space="preserve">In  the  PCA  thickness  design  procedure,  the basic  input  parameters  were  assumed  as:  </w:t>
      </w:r>
      <w:r w:rsidR="00A12A15" w:rsidRPr="002A6806">
        <w:t xml:space="preserve">concrete modulus of elasticity </w:t>
      </w:r>
      <w:r w:rsidR="00364F6B" w:rsidRPr="002A6806">
        <w:t xml:space="preserve">= </w:t>
      </w:r>
      <w:r w:rsidR="00A12A15" w:rsidRPr="002A6806">
        <w:t>28000 MPa</w:t>
      </w:r>
      <w:r w:rsidR="00364F6B" w:rsidRPr="002A6806">
        <w:t xml:space="preserve">, </w:t>
      </w:r>
      <w:r w:rsidR="00A12A15" w:rsidRPr="002A6806">
        <w:t xml:space="preserve">concrete </w:t>
      </w:r>
      <w:r w:rsidR="00364F6B" w:rsidRPr="002A6806">
        <w:t>Poisson's ratio µ = 0.15, slab length</w:t>
      </w:r>
      <w:r w:rsidR="00A12A15" w:rsidRPr="002A6806">
        <w:t xml:space="preserve"> </w:t>
      </w:r>
      <w:r w:rsidR="00364F6B" w:rsidRPr="002A6806">
        <w:t xml:space="preserve">= </w:t>
      </w:r>
      <w:r w:rsidR="00A12A15" w:rsidRPr="002A6806">
        <w:t>4600</w:t>
      </w:r>
      <w:r w:rsidR="007949C3" w:rsidRPr="002A6806">
        <w:t xml:space="preserve"> </w:t>
      </w:r>
      <w:r w:rsidR="00A12A15" w:rsidRPr="002A6806">
        <w:t>mm</w:t>
      </w:r>
      <w:r w:rsidR="00364F6B" w:rsidRPr="002A6806">
        <w:t xml:space="preserve">, </w:t>
      </w:r>
      <w:r w:rsidR="00A12A15" w:rsidRPr="002A6806">
        <w:t xml:space="preserve">and </w:t>
      </w:r>
      <w:r w:rsidR="00364F6B" w:rsidRPr="002A6806">
        <w:t>slab width</w:t>
      </w:r>
      <w:r w:rsidR="00A12A15" w:rsidRPr="002A6806">
        <w:t xml:space="preserve"> = 3700 mm</w:t>
      </w:r>
      <w:r w:rsidR="00364F6B" w:rsidRPr="002A6806">
        <w:t xml:space="preserve">.  </w:t>
      </w:r>
    </w:p>
    <w:p w:rsidR="00364F6B" w:rsidRPr="002A6806" w:rsidRDefault="00364F6B" w:rsidP="007017D3">
      <w:pPr>
        <w:spacing w:after="0"/>
        <w:jc w:val="both"/>
      </w:pPr>
    </w:p>
    <w:p w:rsidR="00BF5553" w:rsidRPr="002A6806" w:rsidRDefault="007A294B" w:rsidP="007017D3">
      <w:pPr>
        <w:jc w:val="both"/>
      </w:pPr>
      <w:r w:rsidRPr="002A6806">
        <w:t xml:space="preserve">Although the Austroads </w:t>
      </w:r>
      <w:r w:rsidR="006A6A8D" w:rsidRPr="002A6806">
        <w:t xml:space="preserve">design </w:t>
      </w:r>
      <w:r w:rsidRPr="002A6806">
        <w:t xml:space="preserve">method is </w:t>
      </w:r>
      <w:r w:rsidR="007D6FE5" w:rsidRPr="002A6806">
        <w:t>known to</w:t>
      </w:r>
      <w:r w:rsidRPr="002A6806">
        <w:t xml:space="preserve"> have some limitations</w:t>
      </w:r>
      <w:r w:rsidR="00BF1771" w:rsidRPr="002A6806">
        <w:t xml:space="preserve"> (</w:t>
      </w:r>
      <w:proofErr w:type="spellStart"/>
      <w:r w:rsidR="00BF1771" w:rsidRPr="002A6806">
        <w:t>Darestani</w:t>
      </w:r>
      <w:proofErr w:type="spellEnd"/>
      <w:r w:rsidR="00BF1771" w:rsidRPr="002A6806">
        <w:t xml:space="preserve"> et al., 2006)</w:t>
      </w:r>
      <w:r w:rsidR="007D6FE5" w:rsidRPr="002A6806">
        <w:t xml:space="preserve">, it currently appears to provide adequate design for present traffic conditions and loading </w:t>
      </w:r>
      <w:r w:rsidR="007D6FE5" w:rsidRPr="002A6806">
        <w:lastRenderedPageBreak/>
        <w:t xml:space="preserve">configurations. However, </w:t>
      </w:r>
      <w:r w:rsidR="00A17B82" w:rsidRPr="002A6806">
        <w:t xml:space="preserve">question </w:t>
      </w:r>
      <w:r w:rsidR="007017D3" w:rsidRPr="002A6806">
        <w:t>remains as to</w:t>
      </w:r>
      <w:r w:rsidR="00B376F1" w:rsidRPr="002A6806">
        <w:t xml:space="preserve"> the adequacy of the Austroads design method in predicting</w:t>
      </w:r>
      <w:r w:rsidR="007D6FE5" w:rsidRPr="002A6806">
        <w:t xml:space="preserve"> traffic loading in the future. </w:t>
      </w:r>
      <w:r w:rsidR="00B376F1" w:rsidRPr="002A6806">
        <w:t xml:space="preserve">Austroads (2012) states that the guide may be used for design of rigid pavements under conventional road traffic conditions. </w:t>
      </w:r>
      <w:r w:rsidR="00BF1771" w:rsidRPr="002A6806">
        <w:t>Hence, it</w:t>
      </w:r>
      <w:r w:rsidR="00B376F1" w:rsidRPr="002A6806">
        <w:t xml:space="preserve"> is not </w:t>
      </w:r>
      <w:r w:rsidR="00A17B82" w:rsidRPr="002A6806">
        <w:t xml:space="preserve">immediately </w:t>
      </w:r>
      <w:r w:rsidR="00B376F1" w:rsidRPr="002A6806">
        <w:t>known if the current Austroads design guide can continue to be extrapolated for future heavy vehicle loading if these traffic conditions change such as increased heavy vehicle mass and dimension limits.</w:t>
      </w:r>
      <w:r w:rsidR="00413499" w:rsidRPr="002A6806">
        <w:t xml:space="preserve"> </w:t>
      </w:r>
    </w:p>
    <w:p w:rsidR="001B3819" w:rsidRPr="002A6806" w:rsidRDefault="001B3819" w:rsidP="007017D3">
      <w:pPr>
        <w:jc w:val="both"/>
      </w:pPr>
      <w:r w:rsidRPr="002A6806">
        <w:t>While there are a number of areas which</w:t>
      </w:r>
      <w:r w:rsidR="00413499" w:rsidRPr="002A6806">
        <w:t xml:space="preserve"> may</w:t>
      </w:r>
      <w:r w:rsidRPr="002A6806">
        <w:t xml:space="preserve"> require further investigation, this paper is focussed on two issues namely</w:t>
      </w:r>
      <w:r w:rsidR="00413499" w:rsidRPr="002A6806">
        <w:t>,</w:t>
      </w:r>
      <w:r w:rsidRPr="002A6806">
        <w:t xml:space="preserve"> the effects of </w:t>
      </w:r>
      <w:r w:rsidR="00DC4CCB" w:rsidRPr="002A6806">
        <w:t xml:space="preserve">possible </w:t>
      </w:r>
      <w:r w:rsidRPr="002A6806">
        <w:t xml:space="preserve">changes in vehicle loading and the influence of the change in vehicle position along </w:t>
      </w:r>
      <w:r w:rsidR="00BF5553" w:rsidRPr="002A6806">
        <w:t>a typical concrete pavement</w:t>
      </w:r>
      <w:r w:rsidRPr="002A6806">
        <w:t>.</w:t>
      </w:r>
      <w:r w:rsidR="007017D3" w:rsidRPr="002A6806">
        <w:t xml:space="preserve"> Additionally, effects of temperature variation are also discussed. </w:t>
      </w:r>
      <w:r w:rsidR="00BF5553" w:rsidRPr="002A6806">
        <w:t xml:space="preserve"> </w:t>
      </w:r>
      <w:r w:rsidR="000B67EF" w:rsidRPr="002A6806">
        <w:t xml:space="preserve">The </w:t>
      </w:r>
      <w:r w:rsidR="00BF5553" w:rsidRPr="002A6806">
        <w:t xml:space="preserve">finite element computer program EverfFE2.23 </w:t>
      </w:r>
      <w:r w:rsidR="007949C3" w:rsidRPr="002A6806">
        <w:t>(</w:t>
      </w:r>
      <w:proofErr w:type="spellStart"/>
      <w:r w:rsidR="007949C3" w:rsidRPr="002A6806">
        <w:t>Davids</w:t>
      </w:r>
      <w:proofErr w:type="spellEnd"/>
      <w:r w:rsidR="007949C3" w:rsidRPr="002A6806">
        <w:t xml:space="preserve"> et al., 1998</w:t>
      </w:r>
      <w:r w:rsidR="00BD3442" w:rsidRPr="002A6806">
        <w:t xml:space="preserve"> and</w:t>
      </w:r>
      <w:r w:rsidR="007949C3" w:rsidRPr="002A6806">
        <w:t xml:space="preserve"> 2003) </w:t>
      </w:r>
      <w:r w:rsidR="00BF5553" w:rsidRPr="002A6806">
        <w:t>has been</w:t>
      </w:r>
      <w:r w:rsidR="000B67EF" w:rsidRPr="002A6806">
        <w:t xml:space="preserve"> selected as an analytical tool in this study because</w:t>
      </w:r>
      <w:r w:rsidR="00BF5553" w:rsidRPr="002A6806">
        <w:t xml:space="preserve"> it is a public domain </w:t>
      </w:r>
      <w:r w:rsidR="007017D3" w:rsidRPr="002A6806">
        <w:t>software</w:t>
      </w:r>
      <w:r w:rsidR="00BF5553" w:rsidRPr="002A6806">
        <w:t xml:space="preserve"> and easy to use.</w:t>
      </w:r>
    </w:p>
    <w:p w:rsidR="007D6FE5" w:rsidRPr="002A6806" w:rsidRDefault="00DC4CCB" w:rsidP="007017D3">
      <w:pPr>
        <w:pStyle w:val="Heading1"/>
        <w:jc w:val="both"/>
      </w:pPr>
      <w:r w:rsidRPr="002A6806">
        <w:t>PREDICTED</w:t>
      </w:r>
      <w:r w:rsidR="003253A5" w:rsidRPr="002A6806">
        <w:t xml:space="preserve"> changes in vehicle loading </w:t>
      </w:r>
    </w:p>
    <w:p w:rsidR="00BF1771" w:rsidRPr="002A6806" w:rsidRDefault="00BF1771" w:rsidP="007017D3">
      <w:pPr>
        <w:jc w:val="both"/>
      </w:pPr>
      <w:r w:rsidRPr="002A6806">
        <w:t xml:space="preserve">A report by Mitchell (2010) identifies the trend in heavy vehicle transportation and road freight regulation. In this report it is forecast that freight volume carried by B-doubles </w:t>
      </w:r>
      <w:r w:rsidR="007949C3" w:rsidRPr="002A6806">
        <w:t>will</w:t>
      </w:r>
      <w:r w:rsidRPr="002A6806">
        <w:t xml:space="preserve"> grow to over 50% of the total road freight moved by the year 2030 with the increased use of B-doubles resulting in a decline in use of other heavy vehicles in freight transportation (assuming no changes to heavy vehicle regulations). </w:t>
      </w:r>
    </w:p>
    <w:p w:rsidR="00BF1771" w:rsidRPr="002A6806" w:rsidRDefault="00BF1771" w:rsidP="007017D3">
      <w:pPr>
        <w:jc w:val="both"/>
      </w:pPr>
      <w:r w:rsidRPr="002A6806">
        <w:t xml:space="preserve">A report from the Australian </w:t>
      </w:r>
      <w:r w:rsidR="003253A5" w:rsidRPr="002A6806">
        <w:t>D</w:t>
      </w:r>
      <w:r w:rsidRPr="002A6806">
        <w:t xml:space="preserve">epartment of Infrastructure and Transport (2011) projects a similar trend as the B-double offers improved freight movement efficiency over other forms of heavy vehicle movements. It is stated however that </w:t>
      </w:r>
      <w:r w:rsidR="008C373A" w:rsidRPr="002A6806">
        <w:t xml:space="preserve">the </w:t>
      </w:r>
      <w:r w:rsidRPr="002A6806">
        <w:t xml:space="preserve">growth in B-double freight movements will not be as strong as they were 15 years ago. This report also takes the assumption that there is no regulatory change to heavy vehicle regulations. </w:t>
      </w:r>
    </w:p>
    <w:p w:rsidR="00BF1771" w:rsidRPr="002A6806" w:rsidRDefault="00BF1771" w:rsidP="007017D3">
      <w:pPr>
        <w:jc w:val="both"/>
      </w:pPr>
      <w:r w:rsidRPr="002A6806">
        <w:t>A report by the ARRB Transport Research</w:t>
      </w:r>
      <w:r w:rsidR="00EE192D" w:rsidRPr="002A6806">
        <w:t xml:space="preserve"> (</w:t>
      </w:r>
      <w:r w:rsidRPr="002A6806">
        <w:t>Pearson and Foley</w:t>
      </w:r>
      <w:r w:rsidR="00EE192D" w:rsidRPr="002A6806">
        <w:t xml:space="preserve">, </w:t>
      </w:r>
      <w:r w:rsidRPr="002A6806">
        <w:t>2001) examined emerging issues in the Australian transportation industry for the years 2000 – 2015. This report summarises the following trends to emerge between the years 2000 to 2015, also making predictions through to the year 2020:</w:t>
      </w:r>
    </w:p>
    <w:p w:rsidR="00BF1771" w:rsidRPr="002A6806" w:rsidRDefault="00BF1771" w:rsidP="007017D3">
      <w:pPr>
        <w:numPr>
          <w:ilvl w:val="0"/>
          <w:numId w:val="30"/>
        </w:numPr>
        <w:jc w:val="both"/>
      </w:pPr>
      <w:r w:rsidRPr="002A6806">
        <w:t>Average number of axles per vehicle will be greater (particularly an increased number of B-doubles and Road trains).</w:t>
      </w:r>
    </w:p>
    <w:p w:rsidR="00BF1771" w:rsidRPr="002A6806" w:rsidRDefault="00BF1771" w:rsidP="007017D3">
      <w:pPr>
        <w:numPr>
          <w:ilvl w:val="0"/>
          <w:numId w:val="30"/>
        </w:numPr>
        <w:jc w:val="both"/>
      </w:pPr>
      <w:r w:rsidRPr="002A6806">
        <w:t xml:space="preserve">Gross loading allowances will be increasing </w:t>
      </w:r>
      <w:r w:rsidR="007949C3" w:rsidRPr="002A6806">
        <w:t xml:space="preserve">as </w:t>
      </w:r>
      <w:r w:rsidRPr="002A6806">
        <w:t xml:space="preserve">shown in Table </w:t>
      </w:r>
      <w:r w:rsidR="00F37053" w:rsidRPr="002A6806">
        <w:t>1</w:t>
      </w:r>
      <w:r w:rsidR="007949C3" w:rsidRPr="002A6806">
        <w:t>, which compares the</w:t>
      </w:r>
      <w:r w:rsidRPr="002A6806">
        <w:t xml:space="preserve"> predicted allowable mass to</w:t>
      </w:r>
      <w:r w:rsidR="007949C3" w:rsidRPr="002A6806">
        <w:t xml:space="preserve"> the</w:t>
      </w:r>
      <w:r w:rsidRPr="002A6806">
        <w:t xml:space="preserve"> current allowable vehicle masses.</w:t>
      </w:r>
    </w:p>
    <w:p w:rsidR="00BF1771" w:rsidRPr="002A6806" w:rsidRDefault="00BF1771" w:rsidP="007017D3">
      <w:pPr>
        <w:numPr>
          <w:ilvl w:val="0"/>
          <w:numId w:val="30"/>
        </w:numPr>
        <w:jc w:val="both"/>
      </w:pPr>
      <w:r w:rsidRPr="002A6806">
        <w:t xml:space="preserve">Regulation changes will influence the use of wide single tyres (if no differentiation is made between them and dual tyres on </w:t>
      </w:r>
      <w:r w:rsidR="007949C3" w:rsidRPr="002A6806">
        <w:t>triaxles</w:t>
      </w:r>
      <w:r w:rsidRPr="002A6806">
        <w:t>) and see an increase in their use.</w:t>
      </w:r>
    </w:p>
    <w:p w:rsidR="00BF1771" w:rsidRPr="002A6806" w:rsidRDefault="00BF1771" w:rsidP="007017D3">
      <w:pPr>
        <w:numPr>
          <w:ilvl w:val="0"/>
          <w:numId w:val="30"/>
        </w:numPr>
        <w:jc w:val="both"/>
      </w:pPr>
      <w:r w:rsidRPr="002A6806">
        <w:t>Axle group masses for articulated trucks to increase by approximately 1% per annum with gross vehicle masses increasing by 2% (approximately 0.4 tonne per annum).</w:t>
      </w:r>
    </w:p>
    <w:p w:rsidR="00BF1771" w:rsidRPr="002A6806" w:rsidRDefault="00BF1771" w:rsidP="007017D3">
      <w:pPr>
        <w:numPr>
          <w:ilvl w:val="0"/>
          <w:numId w:val="30"/>
        </w:numPr>
        <w:jc w:val="both"/>
      </w:pPr>
      <w:r w:rsidRPr="002A6806">
        <w:t>Axle group masses for B-doubles increased by approximately 3% per annum with gross vehicle masses increasing by 3% per annum also (equating to approximately one tonne per annum).  This trend is greater than the historical trend (0.45 tonne per annum).</w:t>
      </w:r>
    </w:p>
    <w:p w:rsidR="00BF1771" w:rsidRPr="002A6806" w:rsidRDefault="00BF1771" w:rsidP="007017D3">
      <w:pPr>
        <w:numPr>
          <w:ilvl w:val="0"/>
          <w:numId w:val="30"/>
        </w:numPr>
        <w:jc w:val="both"/>
      </w:pPr>
      <w:r w:rsidRPr="002A6806">
        <w:t>Engine power will increase faster than the increase in axle loads leading to greater tractive efforts being applied to road pavements.</w:t>
      </w:r>
    </w:p>
    <w:p w:rsidR="009C23F3" w:rsidRPr="002A6806" w:rsidRDefault="00BF1771" w:rsidP="009C23F3">
      <w:pPr>
        <w:numPr>
          <w:ilvl w:val="0"/>
          <w:numId w:val="30"/>
        </w:numPr>
        <w:jc w:val="both"/>
        <w:rPr>
          <w:rFonts w:cs="Arial"/>
        </w:rPr>
      </w:pPr>
      <w:r w:rsidRPr="002A6806">
        <w:t>Potential move to quad axles f</w:t>
      </w:r>
      <w:r w:rsidRPr="002A6806">
        <w:rPr>
          <w:rFonts w:cs="Arial"/>
        </w:rPr>
        <w:t xml:space="preserve">or general freight vehicles if an allowable mass of approximately three tonne is granted above the current limit on </w:t>
      </w:r>
      <w:r w:rsidR="007949C3" w:rsidRPr="002A6806">
        <w:rPr>
          <w:rFonts w:cs="Arial"/>
        </w:rPr>
        <w:t>t</w:t>
      </w:r>
      <w:r w:rsidRPr="002A6806">
        <w:rPr>
          <w:rFonts w:cs="Arial"/>
        </w:rPr>
        <w:t>riaxle</w:t>
      </w:r>
      <w:r w:rsidR="007949C3" w:rsidRPr="002A6806">
        <w:rPr>
          <w:rFonts w:cs="Arial"/>
        </w:rPr>
        <w:t>s</w:t>
      </w:r>
      <w:r w:rsidRPr="002A6806">
        <w:rPr>
          <w:rFonts w:cs="Arial"/>
        </w:rPr>
        <w:t xml:space="preserve">. </w:t>
      </w:r>
    </w:p>
    <w:p w:rsidR="0019490A" w:rsidRPr="002A6806" w:rsidRDefault="009C23F3" w:rsidP="009C23F3">
      <w:pPr>
        <w:jc w:val="both"/>
        <w:rPr>
          <w:rFonts w:cs="Arial"/>
        </w:rPr>
      </w:pPr>
      <w:r w:rsidRPr="002A6806">
        <w:rPr>
          <w:rFonts w:cs="Arial"/>
        </w:rPr>
        <w:t xml:space="preserve">Information presented above identifies the trend towards an increase in the legal mass limits of heavy vehicles in order to improve efficiency and productivity of freight transport.  Studies are also trending towards an increased utilisation of larger articulated vehicles such as B-doubles and growth in the use of road trains. </w:t>
      </w:r>
    </w:p>
    <w:p w:rsidR="009C23F3" w:rsidRPr="002A6806" w:rsidRDefault="0019490A" w:rsidP="009C23F3">
      <w:pPr>
        <w:jc w:val="both"/>
        <w:rPr>
          <w:rFonts w:cs="Arial"/>
        </w:rPr>
      </w:pPr>
      <w:r w:rsidRPr="002A6806">
        <w:rPr>
          <w:rFonts w:cs="Arial"/>
        </w:rPr>
        <w:lastRenderedPageBreak/>
        <w:t xml:space="preserve">While </w:t>
      </w:r>
      <w:r w:rsidR="000065E5" w:rsidRPr="002A6806">
        <w:rPr>
          <w:rFonts w:cs="Arial"/>
        </w:rPr>
        <w:t xml:space="preserve">the </w:t>
      </w:r>
      <w:r w:rsidRPr="002A6806">
        <w:rPr>
          <w:rFonts w:cs="Arial"/>
        </w:rPr>
        <w:t>above changes have not fully occurred as yet, current trends show changes are indeed happening in Australian roads</w:t>
      </w:r>
      <w:r w:rsidR="00A766F5" w:rsidRPr="002A6806">
        <w:rPr>
          <w:rFonts w:cs="Arial"/>
        </w:rPr>
        <w:t xml:space="preserve"> albeit rather </w:t>
      </w:r>
      <w:r w:rsidR="00933E3E" w:rsidRPr="002A6806">
        <w:rPr>
          <w:rFonts w:cs="Arial"/>
        </w:rPr>
        <w:t>slowly</w:t>
      </w:r>
      <w:r w:rsidR="00E279FE" w:rsidRPr="002A6806">
        <w:rPr>
          <w:rFonts w:cs="Arial"/>
        </w:rPr>
        <w:t xml:space="preserve"> due to various reasons</w:t>
      </w:r>
      <w:r w:rsidRPr="002A6806">
        <w:rPr>
          <w:rFonts w:cs="Arial"/>
        </w:rPr>
        <w:t xml:space="preserve">. </w:t>
      </w:r>
      <w:r w:rsidR="00933E3E" w:rsidRPr="002A6806">
        <w:rPr>
          <w:rFonts w:cs="Arial"/>
        </w:rPr>
        <w:t>Since it is difficult to predict the possible changes in traffic loading with any certainty</w:t>
      </w:r>
      <w:r w:rsidR="00D15165" w:rsidRPr="002A6806">
        <w:rPr>
          <w:rFonts w:cs="Arial"/>
        </w:rPr>
        <w:t>, a worst-case scenario for</w:t>
      </w:r>
      <w:r w:rsidR="00933E3E" w:rsidRPr="002A6806">
        <w:rPr>
          <w:rFonts w:cs="Arial"/>
        </w:rPr>
        <w:t xml:space="preserve"> </w:t>
      </w:r>
      <w:r w:rsidR="00D15165" w:rsidRPr="002A6806">
        <w:rPr>
          <w:rFonts w:cs="Arial"/>
        </w:rPr>
        <w:t xml:space="preserve">the </w:t>
      </w:r>
      <w:r w:rsidR="00933E3E" w:rsidRPr="002A6806">
        <w:rPr>
          <w:rFonts w:cs="Arial"/>
        </w:rPr>
        <w:t xml:space="preserve">future </w:t>
      </w:r>
      <w:r w:rsidR="00A766F5" w:rsidRPr="002A6806">
        <w:rPr>
          <w:rFonts w:cs="Arial"/>
        </w:rPr>
        <w:t>loading condition</w:t>
      </w:r>
      <w:r w:rsidR="00D15165" w:rsidRPr="002A6806">
        <w:rPr>
          <w:rFonts w:cs="Arial"/>
        </w:rPr>
        <w:t xml:space="preserve"> will be assumed in this paper</w:t>
      </w:r>
      <w:r w:rsidR="00933E3E" w:rsidRPr="002A6806">
        <w:rPr>
          <w:rFonts w:cs="Arial"/>
        </w:rPr>
        <w:t xml:space="preserve"> </w:t>
      </w:r>
      <w:r w:rsidR="002D001A" w:rsidRPr="002A6806">
        <w:rPr>
          <w:rFonts w:cs="Arial"/>
        </w:rPr>
        <w:t xml:space="preserve">solely </w:t>
      </w:r>
      <w:r w:rsidR="00933E3E" w:rsidRPr="002A6806">
        <w:rPr>
          <w:rFonts w:cs="Arial"/>
        </w:rPr>
        <w:t>for the purpose of studying the effects of mass limit increase and axle group variation</w:t>
      </w:r>
      <w:r w:rsidR="002D001A" w:rsidRPr="002A6806">
        <w:rPr>
          <w:rFonts w:cs="Arial"/>
        </w:rPr>
        <w:t xml:space="preserve"> on</w:t>
      </w:r>
      <w:r w:rsidR="00933E3E" w:rsidRPr="002A6806">
        <w:rPr>
          <w:rFonts w:cs="Arial"/>
        </w:rPr>
        <w:t xml:space="preserve"> rigid pavements</w:t>
      </w:r>
      <w:r w:rsidR="002D001A" w:rsidRPr="002A6806">
        <w:rPr>
          <w:rFonts w:cs="Arial"/>
        </w:rPr>
        <w:t>.</w:t>
      </w:r>
    </w:p>
    <w:p w:rsidR="00F37053" w:rsidRPr="002A6806" w:rsidRDefault="00F37053" w:rsidP="007017D3">
      <w:pPr>
        <w:pStyle w:val="Tableheading"/>
        <w:jc w:val="both"/>
        <w:rPr>
          <w:rFonts w:cs="Arial"/>
          <w:i/>
        </w:rPr>
      </w:pPr>
      <w:r w:rsidRPr="002A6806">
        <w:rPr>
          <w:rFonts w:cs="Arial"/>
          <w:i/>
        </w:rPr>
        <w:t>Table 1:  Predicted vehicle loads and current allowable limits</w:t>
      </w:r>
      <w:r w:rsidR="00093F55" w:rsidRPr="002A6806">
        <w:rPr>
          <w:rFonts w:cs="Arial"/>
          <w:i/>
        </w:rPr>
        <w:t xml:space="preserve"> (after Pearson and Foley, 2001)</w:t>
      </w:r>
    </w:p>
    <w:tbl>
      <w:tblPr>
        <w:tblStyle w:val="TableGrid1"/>
        <w:tblW w:w="7479" w:type="dxa"/>
        <w:tblInd w:w="515" w:type="dxa"/>
        <w:tblLook w:val="04A0" w:firstRow="1" w:lastRow="0" w:firstColumn="1" w:lastColumn="0" w:noHBand="0" w:noVBand="1"/>
      </w:tblPr>
      <w:tblGrid>
        <w:gridCol w:w="2892"/>
        <w:gridCol w:w="2227"/>
        <w:gridCol w:w="2360"/>
      </w:tblGrid>
      <w:tr w:rsidR="00F37053" w:rsidRPr="002A6806" w:rsidTr="00F37053">
        <w:tc>
          <w:tcPr>
            <w:tcW w:w="2892" w:type="dxa"/>
          </w:tcPr>
          <w:p w:rsidR="00F37053" w:rsidRPr="002A6806" w:rsidRDefault="00F37053" w:rsidP="007017D3">
            <w:pPr>
              <w:spacing w:after="0"/>
              <w:jc w:val="both"/>
              <w:rPr>
                <w:rFonts w:cs="Arial"/>
                <w:b/>
                <w:kern w:val="0"/>
                <w:sz w:val="20"/>
                <w:szCs w:val="20"/>
              </w:rPr>
            </w:pPr>
            <w:r w:rsidRPr="002A6806">
              <w:rPr>
                <w:rFonts w:cs="Arial"/>
                <w:b/>
                <w:kern w:val="0"/>
                <w:sz w:val="20"/>
                <w:szCs w:val="20"/>
              </w:rPr>
              <w:t>Axle Configuration</w:t>
            </w:r>
          </w:p>
        </w:tc>
        <w:tc>
          <w:tcPr>
            <w:tcW w:w="2227" w:type="dxa"/>
          </w:tcPr>
          <w:p w:rsidR="00F37053" w:rsidRPr="002A6806" w:rsidRDefault="00F37053" w:rsidP="007017D3">
            <w:pPr>
              <w:spacing w:after="0"/>
              <w:jc w:val="both"/>
              <w:rPr>
                <w:rFonts w:cs="Arial"/>
                <w:b/>
                <w:kern w:val="0"/>
                <w:sz w:val="20"/>
                <w:szCs w:val="20"/>
              </w:rPr>
            </w:pPr>
            <w:r w:rsidRPr="002A6806">
              <w:rPr>
                <w:rFonts w:cs="Arial"/>
                <w:b/>
                <w:kern w:val="0"/>
                <w:sz w:val="20"/>
                <w:szCs w:val="20"/>
              </w:rPr>
              <w:t>Predicted Load (t) 2015 - 2020</w:t>
            </w:r>
          </w:p>
        </w:tc>
        <w:tc>
          <w:tcPr>
            <w:tcW w:w="2360" w:type="dxa"/>
          </w:tcPr>
          <w:p w:rsidR="00F37053" w:rsidRPr="002A6806" w:rsidRDefault="00F37053" w:rsidP="007017D3">
            <w:pPr>
              <w:spacing w:after="0"/>
              <w:jc w:val="both"/>
              <w:rPr>
                <w:rFonts w:cs="Arial"/>
                <w:b/>
                <w:kern w:val="0"/>
                <w:sz w:val="20"/>
                <w:szCs w:val="20"/>
              </w:rPr>
            </w:pPr>
            <w:r w:rsidRPr="002A6806">
              <w:rPr>
                <w:rFonts w:cs="Arial"/>
                <w:b/>
                <w:kern w:val="0"/>
                <w:sz w:val="20"/>
                <w:szCs w:val="20"/>
              </w:rPr>
              <w:t>Allowable Limit (t)</w:t>
            </w:r>
          </w:p>
          <w:p w:rsidR="00F37053" w:rsidRPr="002A6806" w:rsidRDefault="00F37053" w:rsidP="007017D3">
            <w:pPr>
              <w:spacing w:after="0"/>
              <w:jc w:val="both"/>
              <w:rPr>
                <w:rFonts w:cs="Arial"/>
                <w:b/>
                <w:kern w:val="0"/>
                <w:sz w:val="20"/>
                <w:szCs w:val="20"/>
              </w:rPr>
            </w:pPr>
            <w:r w:rsidRPr="002A6806">
              <w:rPr>
                <w:rFonts w:cs="Arial"/>
                <w:b/>
                <w:kern w:val="0"/>
                <w:sz w:val="20"/>
                <w:szCs w:val="20"/>
              </w:rPr>
              <w:t>2015</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Single axle, single tyre</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7</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 xml:space="preserve">6 </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Single axle, dual tyre</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10-13</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9</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Tandem axle, dual tyre</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19-20</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16.5</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Triaxle, dual tyre</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26-27</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20</w:t>
            </w:r>
          </w:p>
        </w:tc>
      </w:tr>
      <w:tr w:rsidR="00F37053" w:rsidRPr="002A6806" w:rsidTr="00F37053">
        <w:tc>
          <w:tcPr>
            <w:tcW w:w="2892" w:type="dxa"/>
          </w:tcPr>
          <w:p w:rsidR="00F37053" w:rsidRPr="002A6806" w:rsidRDefault="00F37053" w:rsidP="007017D3">
            <w:pPr>
              <w:spacing w:after="0"/>
              <w:jc w:val="both"/>
              <w:rPr>
                <w:rFonts w:cs="Arial"/>
                <w:kern w:val="0"/>
                <w:sz w:val="20"/>
                <w:szCs w:val="20"/>
              </w:rPr>
            </w:pPr>
            <w:r w:rsidRPr="002A6806">
              <w:rPr>
                <w:rFonts w:cs="Arial"/>
                <w:kern w:val="0"/>
                <w:sz w:val="20"/>
                <w:szCs w:val="20"/>
              </w:rPr>
              <w:t>Gross mass, 6 tyre articulated trucks</w:t>
            </w:r>
          </w:p>
        </w:tc>
        <w:tc>
          <w:tcPr>
            <w:tcW w:w="2227" w:type="dxa"/>
          </w:tcPr>
          <w:p w:rsidR="00F37053" w:rsidRPr="002A6806" w:rsidRDefault="00F37053" w:rsidP="007017D3">
            <w:pPr>
              <w:spacing w:after="0"/>
              <w:jc w:val="both"/>
              <w:rPr>
                <w:rFonts w:cs="Arial"/>
                <w:kern w:val="0"/>
                <w:sz w:val="20"/>
                <w:szCs w:val="20"/>
              </w:rPr>
            </w:pPr>
            <w:r w:rsidRPr="002A6806">
              <w:rPr>
                <w:rFonts w:cs="Arial"/>
                <w:kern w:val="0"/>
                <w:sz w:val="20"/>
                <w:szCs w:val="20"/>
              </w:rPr>
              <w:t>50-53</w:t>
            </w:r>
          </w:p>
        </w:tc>
        <w:tc>
          <w:tcPr>
            <w:tcW w:w="2360" w:type="dxa"/>
          </w:tcPr>
          <w:p w:rsidR="00F37053" w:rsidRPr="002A6806" w:rsidRDefault="00F37053" w:rsidP="007017D3">
            <w:pPr>
              <w:spacing w:after="0"/>
              <w:jc w:val="both"/>
              <w:rPr>
                <w:rFonts w:cs="Arial"/>
                <w:kern w:val="0"/>
                <w:sz w:val="20"/>
                <w:szCs w:val="20"/>
              </w:rPr>
            </w:pPr>
            <w:r w:rsidRPr="002A6806">
              <w:rPr>
                <w:rFonts w:cs="Arial"/>
                <w:kern w:val="0"/>
                <w:sz w:val="20"/>
                <w:szCs w:val="20"/>
              </w:rPr>
              <w:t>42.5</w:t>
            </w:r>
          </w:p>
        </w:tc>
      </w:tr>
    </w:tbl>
    <w:p w:rsidR="002C354B" w:rsidRPr="002A6806" w:rsidRDefault="002C354B" w:rsidP="007017D3">
      <w:pPr>
        <w:spacing w:after="0"/>
        <w:jc w:val="both"/>
        <w:rPr>
          <w:rFonts w:cs="Arial"/>
        </w:rPr>
      </w:pPr>
    </w:p>
    <w:p w:rsidR="003253A5" w:rsidRPr="002A6806" w:rsidRDefault="003253A5" w:rsidP="007017D3">
      <w:pPr>
        <w:pStyle w:val="Heading1"/>
        <w:jc w:val="both"/>
      </w:pPr>
      <w:r w:rsidRPr="002A6806">
        <w:t xml:space="preserve">changes in vehicle positiion </w:t>
      </w:r>
    </w:p>
    <w:p w:rsidR="00093F55" w:rsidRPr="002A6806" w:rsidRDefault="00BD3442" w:rsidP="007017D3">
      <w:pPr>
        <w:spacing w:after="0"/>
        <w:jc w:val="both"/>
      </w:pPr>
      <w:r w:rsidRPr="002A6806">
        <w:t xml:space="preserve">While the PCA method considers that most heavy vehicles are located at a distance of 600 mm from the edge line, it assumes that </w:t>
      </w:r>
      <w:r w:rsidR="006A6A8D" w:rsidRPr="002A6806">
        <w:t xml:space="preserve">6% </w:t>
      </w:r>
      <w:r w:rsidR="0015154E" w:rsidRPr="002A6806">
        <w:t>of traffic pass</w:t>
      </w:r>
      <w:r w:rsidRPr="002A6806">
        <w:t>es</w:t>
      </w:r>
      <w:r w:rsidR="0015154E" w:rsidRPr="002A6806">
        <w:t xml:space="preserve"> on the edge line of the travel lane</w:t>
      </w:r>
      <w:r w:rsidR="006165BC" w:rsidRPr="002A6806">
        <w:t>.</w:t>
      </w:r>
      <w:r w:rsidR="0015154E" w:rsidRPr="002A6806">
        <w:t xml:space="preserve"> </w:t>
      </w:r>
      <w:r w:rsidRPr="002A6806">
        <w:t>These assumptions may be questionable in the light of more recent studies.</w:t>
      </w:r>
    </w:p>
    <w:p w:rsidR="00093F55" w:rsidRPr="002A6806" w:rsidRDefault="00093F55" w:rsidP="007017D3">
      <w:pPr>
        <w:spacing w:after="0"/>
        <w:jc w:val="both"/>
      </w:pPr>
    </w:p>
    <w:p w:rsidR="00F37053" w:rsidRPr="002A6806" w:rsidRDefault="0015154E" w:rsidP="007017D3">
      <w:pPr>
        <w:spacing w:after="0"/>
        <w:jc w:val="both"/>
      </w:pPr>
      <w:r w:rsidRPr="002A6806">
        <w:t>In a study by Lee and Garner (1996) the lateral positioning of vehicles is examined as it provides guidance on the edge loading for pavement slabs. A statement is made that if all vehicles were to travel in the centre of the travel lane, heavy vehicles would travel closer to the edge line than passenger cars due to the wider dimensions of heavy vehicles. The study also found that as the number of axles on a vehicle increased, the vehicles travelled closer to the edge line and shoulder of the pavement.</w:t>
      </w:r>
    </w:p>
    <w:p w:rsidR="0015154E" w:rsidRPr="002A6806" w:rsidRDefault="0015154E" w:rsidP="007017D3">
      <w:pPr>
        <w:spacing w:after="0"/>
        <w:jc w:val="both"/>
      </w:pPr>
    </w:p>
    <w:p w:rsidR="00F37053" w:rsidRPr="002A6806" w:rsidRDefault="0015154E" w:rsidP="007017D3">
      <w:pPr>
        <w:spacing w:after="0"/>
        <w:jc w:val="both"/>
      </w:pPr>
      <w:r w:rsidRPr="002A6806">
        <w:t xml:space="preserve">Bunker and </w:t>
      </w:r>
      <w:proofErr w:type="spellStart"/>
      <w:r w:rsidRPr="002A6806">
        <w:t>Parajuli</w:t>
      </w:r>
      <w:proofErr w:type="spellEnd"/>
      <w:r w:rsidRPr="002A6806">
        <w:t xml:space="preserve"> (2006) performed a study to examine lateral positioning of light vehicles and heavy vehicles on a roadway examining both unopposed vehicle travel in which there was no oncoming traffic and opposed vehicle travel with traffic in the opposite direction. The results summarised that vehicle positioning for passenger cars was located straddling the edge line of the travel lane whilst heavy vehicle positioning was located closer to the edge line (unopposed) and into the shoulder area (opposed). The results are shown in Table 2 and Table 3.</w:t>
      </w:r>
    </w:p>
    <w:p w:rsidR="001B3819" w:rsidRPr="002A6806" w:rsidRDefault="001B3819" w:rsidP="007017D3">
      <w:pPr>
        <w:spacing w:after="0"/>
        <w:jc w:val="both"/>
      </w:pPr>
    </w:p>
    <w:p w:rsidR="001B3819" w:rsidRPr="002A6806" w:rsidRDefault="001B3819" w:rsidP="007017D3">
      <w:pPr>
        <w:spacing w:after="0"/>
        <w:jc w:val="both"/>
      </w:pPr>
      <w:r w:rsidRPr="002A6806">
        <w:t>Results of the study found that the 95</w:t>
      </w:r>
      <w:r w:rsidRPr="002A6806">
        <w:rPr>
          <w:vertAlign w:val="superscript"/>
        </w:rPr>
        <w:t>th</w:t>
      </w:r>
      <w:r w:rsidRPr="002A6806">
        <w:t xml:space="preserve"> percentile passenger car, semi-trailer and B-double straddled the edge line of the road. The study also showed that both semi-trailers and B-doubles occupied part of the shoulder, with semi-trailers wandering further onto the road shoulder than B-doubles.  The findings of this study </w:t>
      </w:r>
      <w:r w:rsidR="006A6A8D" w:rsidRPr="002A6806">
        <w:t>are in agreement with</w:t>
      </w:r>
      <w:r w:rsidRPr="002A6806">
        <w:t xml:space="preserve"> the findings of the previous study by Lee and Garner </w:t>
      </w:r>
      <w:r w:rsidR="006A6A8D" w:rsidRPr="002A6806">
        <w:t>(1</w:t>
      </w:r>
      <w:r w:rsidRPr="002A6806">
        <w:t>996</w:t>
      </w:r>
      <w:r w:rsidR="006A6A8D" w:rsidRPr="002A6806">
        <w:t>),</w:t>
      </w:r>
      <w:r w:rsidRPr="002A6806">
        <w:t xml:space="preserve"> showing larger volume of traffic travelling on the edge line than has been allowed for in the PCA method and Austroads deign guide. </w:t>
      </w:r>
    </w:p>
    <w:p w:rsidR="0015154E" w:rsidRPr="002A6806" w:rsidRDefault="0015154E" w:rsidP="007017D3">
      <w:pPr>
        <w:spacing w:after="0"/>
        <w:jc w:val="both"/>
      </w:pPr>
    </w:p>
    <w:p w:rsidR="0015154E" w:rsidRPr="002A6806" w:rsidRDefault="0015154E" w:rsidP="007017D3">
      <w:pPr>
        <w:spacing w:after="0"/>
        <w:jc w:val="both"/>
        <w:rPr>
          <w:b/>
          <w:i/>
        </w:rPr>
      </w:pPr>
      <w:bookmarkStart w:id="0" w:name="_Ref424904400"/>
      <w:bookmarkStart w:id="1" w:name="_Toc306885346"/>
      <w:r w:rsidRPr="002A6806">
        <w:rPr>
          <w:b/>
          <w:bCs/>
          <w:i/>
        </w:rPr>
        <w:t xml:space="preserve">Table </w:t>
      </w:r>
      <w:r w:rsidR="00093F55" w:rsidRPr="002A6806">
        <w:rPr>
          <w:b/>
          <w:bCs/>
          <w:i/>
        </w:rPr>
        <w:t>2</w:t>
      </w:r>
      <w:r w:rsidR="001B3819" w:rsidRPr="002A6806">
        <w:rPr>
          <w:b/>
          <w:i/>
        </w:rPr>
        <w:t>:</w:t>
      </w:r>
      <w:bookmarkEnd w:id="0"/>
      <w:r w:rsidRPr="002A6806">
        <w:rPr>
          <w:b/>
          <w:bCs/>
          <w:i/>
        </w:rPr>
        <w:t xml:space="preserve"> Unopposed vehicle lateral positioning</w:t>
      </w:r>
      <w:bookmarkEnd w:id="1"/>
      <w:r w:rsidR="001B3819" w:rsidRPr="002A6806">
        <w:rPr>
          <w:b/>
          <w:bCs/>
          <w:i/>
        </w:rPr>
        <w:t xml:space="preserve"> (</w:t>
      </w:r>
      <w:r w:rsidRPr="002A6806">
        <w:rPr>
          <w:b/>
          <w:i/>
        </w:rPr>
        <w:t xml:space="preserve">Bunker and </w:t>
      </w:r>
      <w:proofErr w:type="spellStart"/>
      <w:r w:rsidRPr="002A6806">
        <w:rPr>
          <w:b/>
          <w:i/>
        </w:rPr>
        <w:t>Parajuli</w:t>
      </w:r>
      <w:proofErr w:type="spellEnd"/>
      <w:r w:rsidR="001B3819" w:rsidRPr="002A6806">
        <w:rPr>
          <w:b/>
          <w:i/>
        </w:rPr>
        <w:t>,</w:t>
      </w:r>
      <w:r w:rsidRPr="002A6806">
        <w:rPr>
          <w:b/>
          <w:i/>
        </w:rPr>
        <w:t xml:space="preserve"> 2006)</w:t>
      </w:r>
    </w:p>
    <w:p w:rsidR="0015154E" w:rsidRPr="002A6806" w:rsidRDefault="0015154E" w:rsidP="007017D3">
      <w:pPr>
        <w:spacing w:after="0"/>
        <w:jc w:val="both"/>
      </w:pPr>
    </w:p>
    <w:tbl>
      <w:tblPr>
        <w:tblStyle w:val="TableGrid"/>
        <w:tblW w:w="0" w:type="auto"/>
        <w:tblInd w:w="108" w:type="dxa"/>
        <w:tblLook w:val="04A0" w:firstRow="1" w:lastRow="0" w:firstColumn="1" w:lastColumn="0" w:noHBand="0" w:noVBand="1"/>
      </w:tblPr>
      <w:tblGrid>
        <w:gridCol w:w="2457"/>
        <w:gridCol w:w="2363"/>
        <w:gridCol w:w="2126"/>
      </w:tblGrid>
      <w:tr w:rsidR="0015154E" w:rsidRPr="002A6806" w:rsidTr="002743AD">
        <w:tc>
          <w:tcPr>
            <w:tcW w:w="2457" w:type="dxa"/>
          </w:tcPr>
          <w:p w:rsidR="0015154E" w:rsidRPr="002A6806" w:rsidRDefault="0015154E" w:rsidP="007017D3">
            <w:pPr>
              <w:spacing w:after="0"/>
              <w:rPr>
                <w:b/>
              </w:rPr>
            </w:pPr>
            <w:r w:rsidRPr="002A6806">
              <w:rPr>
                <w:b/>
              </w:rPr>
              <w:t>Vehicle Type</w:t>
            </w:r>
          </w:p>
        </w:tc>
        <w:tc>
          <w:tcPr>
            <w:tcW w:w="2363" w:type="dxa"/>
          </w:tcPr>
          <w:p w:rsidR="0015154E" w:rsidRPr="002A6806" w:rsidRDefault="0015154E" w:rsidP="007017D3">
            <w:pPr>
              <w:spacing w:after="0"/>
              <w:rPr>
                <w:b/>
              </w:rPr>
            </w:pPr>
            <w:r w:rsidRPr="002A6806">
              <w:rPr>
                <w:b/>
              </w:rPr>
              <w:t>Distance from edge line (m)</w:t>
            </w:r>
          </w:p>
        </w:tc>
        <w:tc>
          <w:tcPr>
            <w:tcW w:w="2126" w:type="dxa"/>
          </w:tcPr>
          <w:p w:rsidR="0015154E" w:rsidRPr="002A6806" w:rsidRDefault="0015154E" w:rsidP="007017D3">
            <w:pPr>
              <w:spacing w:after="0"/>
              <w:rPr>
                <w:b/>
              </w:rPr>
            </w:pPr>
            <w:r w:rsidRPr="002A6806">
              <w:rPr>
                <w:b/>
              </w:rPr>
              <w:t>Distance from centreline (m)</w:t>
            </w:r>
          </w:p>
        </w:tc>
      </w:tr>
      <w:tr w:rsidR="0015154E" w:rsidRPr="002A6806" w:rsidTr="002743AD">
        <w:tc>
          <w:tcPr>
            <w:tcW w:w="2457" w:type="dxa"/>
          </w:tcPr>
          <w:p w:rsidR="0015154E" w:rsidRPr="002A6806" w:rsidRDefault="0015154E" w:rsidP="007017D3">
            <w:pPr>
              <w:spacing w:after="0"/>
            </w:pPr>
            <w:r w:rsidRPr="002A6806">
              <w:t>Car</w:t>
            </w:r>
          </w:p>
        </w:tc>
        <w:tc>
          <w:tcPr>
            <w:tcW w:w="2363" w:type="dxa"/>
          </w:tcPr>
          <w:p w:rsidR="0015154E" w:rsidRPr="002A6806" w:rsidRDefault="0015154E" w:rsidP="007017D3">
            <w:pPr>
              <w:spacing w:after="0"/>
            </w:pPr>
            <w:r w:rsidRPr="002A6806">
              <w:t>0.68</w:t>
            </w:r>
          </w:p>
        </w:tc>
        <w:tc>
          <w:tcPr>
            <w:tcW w:w="2126" w:type="dxa"/>
          </w:tcPr>
          <w:p w:rsidR="0015154E" w:rsidRPr="002A6806" w:rsidRDefault="0015154E" w:rsidP="007017D3">
            <w:pPr>
              <w:spacing w:after="0"/>
            </w:pPr>
            <w:r w:rsidRPr="002A6806">
              <w:t>1.05</w:t>
            </w:r>
          </w:p>
        </w:tc>
      </w:tr>
      <w:tr w:rsidR="0015154E" w:rsidRPr="002A6806" w:rsidTr="002743AD">
        <w:tc>
          <w:tcPr>
            <w:tcW w:w="2457" w:type="dxa"/>
          </w:tcPr>
          <w:p w:rsidR="0015154E" w:rsidRPr="002A6806" w:rsidRDefault="0015154E" w:rsidP="007017D3">
            <w:pPr>
              <w:spacing w:after="0"/>
            </w:pPr>
            <w:r w:rsidRPr="002A6806">
              <w:t>Semi-trailer</w:t>
            </w:r>
          </w:p>
        </w:tc>
        <w:tc>
          <w:tcPr>
            <w:tcW w:w="2363" w:type="dxa"/>
          </w:tcPr>
          <w:p w:rsidR="0015154E" w:rsidRPr="002A6806" w:rsidRDefault="0015154E" w:rsidP="007017D3">
            <w:pPr>
              <w:spacing w:after="0"/>
            </w:pPr>
            <w:r w:rsidRPr="002A6806">
              <w:t>0.15</w:t>
            </w:r>
          </w:p>
        </w:tc>
        <w:tc>
          <w:tcPr>
            <w:tcW w:w="2126" w:type="dxa"/>
          </w:tcPr>
          <w:p w:rsidR="0015154E" w:rsidRPr="002A6806" w:rsidRDefault="0015154E" w:rsidP="007017D3">
            <w:pPr>
              <w:spacing w:after="0"/>
            </w:pPr>
            <w:r w:rsidRPr="002A6806">
              <w:t>0.85</w:t>
            </w:r>
          </w:p>
        </w:tc>
      </w:tr>
      <w:tr w:rsidR="0015154E" w:rsidRPr="002A6806" w:rsidTr="002743AD">
        <w:tc>
          <w:tcPr>
            <w:tcW w:w="2457" w:type="dxa"/>
          </w:tcPr>
          <w:p w:rsidR="0015154E" w:rsidRPr="002A6806" w:rsidRDefault="0015154E" w:rsidP="007017D3">
            <w:pPr>
              <w:spacing w:after="0"/>
            </w:pPr>
            <w:r w:rsidRPr="002A6806">
              <w:t>B-double</w:t>
            </w:r>
          </w:p>
        </w:tc>
        <w:tc>
          <w:tcPr>
            <w:tcW w:w="2363" w:type="dxa"/>
          </w:tcPr>
          <w:p w:rsidR="0015154E" w:rsidRPr="002A6806" w:rsidRDefault="0015154E" w:rsidP="007017D3">
            <w:pPr>
              <w:spacing w:after="0"/>
            </w:pPr>
            <w:r w:rsidRPr="002A6806">
              <w:t>0.11</w:t>
            </w:r>
          </w:p>
        </w:tc>
        <w:tc>
          <w:tcPr>
            <w:tcW w:w="2126" w:type="dxa"/>
          </w:tcPr>
          <w:p w:rsidR="0015154E" w:rsidRPr="002A6806" w:rsidRDefault="0015154E" w:rsidP="007017D3">
            <w:pPr>
              <w:spacing w:after="0"/>
            </w:pPr>
            <w:r w:rsidRPr="002A6806">
              <w:t>0.89</w:t>
            </w:r>
          </w:p>
        </w:tc>
      </w:tr>
    </w:tbl>
    <w:p w:rsidR="0015154E" w:rsidRPr="002A6806" w:rsidRDefault="0015154E" w:rsidP="007017D3">
      <w:pPr>
        <w:spacing w:after="0"/>
        <w:jc w:val="both"/>
        <w:rPr>
          <w:b/>
          <w:bCs/>
        </w:rPr>
      </w:pPr>
    </w:p>
    <w:p w:rsidR="0015154E" w:rsidRPr="002A6806" w:rsidRDefault="0015154E" w:rsidP="007017D3">
      <w:pPr>
        <w:spacing w:after="0"/>
        <w:jc w:val="both"/>
        <w:rPr>
          <w:b/>
          <w:i/>
        </w:rPr>
      </w:pPr>
      <w:bookmarkStart w:id="2" w:name="_Ref424904414"/>
      <w:bookmarkStart w:id="3" w:name="_Toc306885347"/>
      <w:r w:rsidRPr="002A6806">
        <w:rPr>
          <w:b/>
          <w:bCs/>
          <w:i/>
        </w:rPr>
        <w:t xml:space="preserve">Table </w:t>
      </w:r>
      <w:r w:rsidR="006A6A8D" w:rsidRPr="002A6806">
        <w:rPr>
          <w:b/>
          <w:bCs/>
          <w:i/>
        </w:rPr>
        <w:t>3</w:t>
      </w:r>
      <w:bookmarkEnd w:id="2"/>
      <w:r w:rsidR="001B3819" w:rsidRPr="002A6806">
        <w:rPr>
          <w:b/>
          <w:i/>
        </w:rPr>
        <w:t>:</w:t>
      </w:r>
      <w:r w:rsidRPr="002A6806">
        <w:rPr>
          <w:b/>
          <w:bCs/>
          <w:i/>
        </w:rPr>
        <w:t xml:space="preserve"> Opposed vehicle lateral position</w:t>
      </w:r>
      <w:bookmarkEnd w:id="3"/>
      <w:r w:rsidR="001B3819" w:rsidRPr="002A6806">
        <w:rPr>
          <w:b/>
          <w:bCs/>
          <w:i/>
        </w:rPr>
        <w:t xml:space="preserve"> </w:t>
      </w:r>
      <w:r w:rsidR="001B3819" w:rsidRPr="002A6806">
        <w:rPr>
          <w:b/>
          <w:i/>
        </w:rPr>
        <w:t>(</w:t>
      </w:r>
      <w:r w:rsidRPr="002A6806">
        <w:rPr>
          <w:b/>
          <w:i/>
        </w:rPr>
        <w:t xml:space="preserve">Bunker and </w:t>
      </w:r>
      <w:proofErr w:type="spellStart"/>
      <w:r w:rsidRPr="002A6806">
        <w:rPr>
          <w:b/>
          <w:i/>
        </w:rPr>
        <w:t>Parajuli</w:t>
      </w:r>
      <w:proofErr w:type="spellEnd"/>
      <w:r w:rsidR="001B3819" w:rsidRPr="002A6806">
        <w:rPr>
          <w:b/>
          <w:i/>
        </w:rPr>
        <w:t>,</w:t>
      </w:r>
      <w:r w:rsidRPr="002A6806">
        <w:rPr>
          <w:b/>
          <w:i/>
        </w:rPr>
        <w:t xml:space="preserve"> 2006)</w:t>
      </w:r>
    </w:p>
    <w:p w:rsidR="0015154E" w:rsidRPr="002A6806" w:rsidRDefault="0015154E" w:rsidP="007017D3">
      <w:pPr>
        <w:spacing w:after="0"/>
        <w:jc w:val="both"/>
      </w:pPr>
    </w:p>
    <w:tbl>
      <w:tblPr>
        <w:tblStyle w:val="TableGrid"/>
        <w:tblW w:w="0" w:type="auto"/>
        <w:tblInd w:w="108" w:type="dxa"/>
        <w:tblLook w:val="04A0" w:firstRow="1" w:lastRow="0" w:firstColumn="1" w:lastColumn="0" w:noHBand="0" w:noVBand="1"/>
      </w:tblPr>
      <w:tblGrid>
        <w:gridCol w:w="2497"/>
        <w:gridCol w:w="2525"/>
        <w:gridCol w:w="2558"/>
      </w:tblGrid>
      <w:tr w:rsidR="0015154E" w:rsidRPr="002A6806" w:rsidTr="002743AD">
        <w:tc>
          <w:tcPr>
            <w:tcW w:w="2497" w:type="dxa"/>
          </w:tcPr>
          <w:p w:rsidR="0015154E" w:rsidRPr="002A6806" w:rsidRDefault="0015154E" w:rsidP="007017D3">
            <w:pPr>
              <w:spacing w:after="0"/>
              <w:rPr>
                <w:b/>
              </w:rPr>
            </w:pPr>
            <w:r w:rsidRPr="002A6806">
              <w:rPr>
                <w:b/>
              </w:rPr>
              <w:t>Vehicle Type</w:t>
            </w:r>
          </w:p>
        </w:tc>
        <w:tc>
          <w:tcPr>
            <w:tcW w:w="2525" w:type="dxa"/>
          </w:tcPr>
          <w:p w:rsidR="0015154E" w:rsidRPr="002A6806" w:rsidRDefault="0015154E" w:rsidP="007017D3">
            <w:pPr>
              <w:spacing w:after="0"/>
              <w:rPr>
                <w:b/>
              </w:rPr>
            </w:pPr>
            <w:r w:rsidRPr="002A6806">
              <w:rPr>
                <w:b/>
              </w:rPr>
              <w:t>Distance from edge line (m)</w:t>
            </w:r>
          </w:p>
        </w:tc>
        <w:tc>
          <w:tcPr>
            <w:tcW w:w="2558" w:type="dxa"/>
          </w:tcPr>
          <w:p w:rsidR="0015154E" w:rsidRPr="002A6806" w:rsidRDefault="0015154E" w:rsidP="007017D3">
            <w:pPr>
              <w:spacing w:after="0"/>
              <w:rPr>
                <w:b/>
              </w:rPr>
            </w:pPr>
            <w:r w:rsidRPr="002A6806">
              <w:rPr>
                <w:b/>
              </w:rPr>
              <w:t>Distance from centreline (m)</w:t>
            </w:r>
          </w:p>
        </w:tc>
      </w:tr>
      <w:tr w:rsidR="0015154E" w:rsidRPr="002A6806" w:rsidTr="002743AD">
        <w:tc>
          <w:tcPr>
            <w:tcW w:w="2497" w:type="dxa"/>
          </w:tcPr>
          <w:p w:rsidR="0015154E" w:rsidRPr="002A6806" w:rsidRDefault="0015154E" w:rsidP="007017D3">
            <w:pPr>
              <w:spacing w:after="0"/>
            </w:pPr>
            <w:r w:rsidRPr="002A6806">
              <w:t>Car</w:t>
            </w:r>
          </w:p>
        </w:tc>
        <w:tc>
          <w:tcPr>
            <w:tcW w:w="2525" w:type="dxa"/>
          </w:tcPr>
          <w:p w:rsidR="0015154E" w:rsidRPr="002A6806" w:rsidRDefault="0015154E" w:rsidP="007017D3">
            <w:pPr>
              <w:spacing w:after="0"/>
            </w:pPr>
            <w:r w:rsidRPr="002A6806">
              <w:t>-0.07</w:t>
            </w:r>
          </w:p>
        </w:tc>
        <w:tc>
          <w:tcPr>
            <w:tcW w:w="2558" w:type="dxa"/>
          </w:tcPr>
          <w:p w:rsidR="0015154E" w:rsidRPr="002A6806" w:rsidRDefault="0015154E" w:rsidP="007017D3">
            <w:pPr>
              <w:spacing w:after="0"/>
            </w:pPr>
            <w:r w:rsidRPr="002A6806">
              <w:t>1.80</w:t>
            </w:r>
          </w:p>
        </w:tc>
      </w:tr>
      <w:tr w:rsidR="0015154E" w:rsidRPr="002A6806" w:rsidTr="002743AD">
        <w:tc>
          <w:tcPr>
            <w:tcW w:w="2497" w:type="dxa"/>
          </w:tcPr>
          <w:p w:rsidR="0015154E" w:rsidRPr="002A6806" w:rsidRDefault="0015154E" w:rsidP="007017D3">
            <w:pPr>
              <w:spacing w:after="0"/>
            </w:pPr>
            <w:r w:rsidRPr="002A6806">
              <w:t>Semi-trailer</w:t>
            </w:r>
          </w:p>
        </w:tc>
        <w:tc>
          <w:tcPr>
            <w:tcW w:w="2525" w:type="dxa"/>
          </w:tcPr>
          <w:p w:rsidR="0015154E" w:rsidRPr="002A6806" w:rsidRDefault="0015154E" w:rsidP="007017D3">
            <w:pPr>
              <w:spacing w:after="0"/>
            </w:pPr>
            <w:r w:rsidRPr="002A6806">
              <w:t>-0.45</w:t>
            </w:r>
          </w:p>
        </w:tc>
        <w:tc>
          <w:tcPr>
            <w:tcW w:w="2558" w:type="dxa"/>
          </w:tcPr>
          <w:p w:rsidR="0015154E" w:rsidRPr="002A6806" w:rsidRDefault="0015154E" w:rsidP="007017D3">
            <w:pPr>
              <w:spacing w:after="0"/>
            </w:pPr>
            <w:r w:rsidRPr="002A6806">
              <w:t>1.45</w:t>
            </w:r>
          </w:p>
        </w:tc>
      </w:tr>
      <w:tr w:rsidR="0015154E" w:rsidRPr="002A6806" w:rsidTr="002743AD">
        <w:tc>
          <w:tcPr>
            <w:tcW w:w="2497" w:type="dxa"/>
          </w:tcPr>
          <w:p w:rsidR="0015154E" w:rsidRPr="002A6806" w:rsidRDefault="0015154E" w:rsidP="007017D3">
            <w:pPr>
              <w:spacing w:after="0"/>
            </w:pPr>
            <w:r w:rsidRPr="002A6806">
              <w:t>B-double</w:t>
            </w:r>
          </w:p>
        </w:tc>
        <w:tc>
          <w:tcPr>
            <w:tcW w:w="2525" w:type="dxa"/>
          </w:tcPr>
          <w:p w:rsidR="0015154E" w:rsidRPr="002A6806" w:rsidRDefault="0015154E" w:rsidP="007017D3">
            <w:pPr>
              <w:spacing w:after="0"/>
            </w:pPr>
            <w:r w:rsidRPr="002A6806">
              <w:t>-0.35</w:t>
            </w:r>
          </w:p>
        </w:tc>
        <w:tc>
          <w:tcPr>
            <w:tcW w:w="2558" w:type="dxa"/>
          </w:tcPr>
          <w:p w:rsidR="0015154E" w:rsidRPr="002A6806" w:rsidRDefault="0015154E" w:rsidP="007017D3">
            <w:pPr>
              <w:spacing w:after="0"/>
            </w:pPr>
            <w:r w:rsidRPr="002A6806">
              <w:t>1.35</w:t>
            </w:r>
          </w:p>
        </w:tc>
      </w:tr>
    </w:tbl>
    <w:p w:rsidR="0015154E" w:rsidRPr="002A6806" w:rsidRDefault="0015154E" w:rsidP="007017D3">
      <w:pPr>
        <w:spacing w:after="0"/>
        <w:jc w:val="both"/>
      </w:pPr>
    </w:p>
    <w:p w:rsidR="001B3819" w:rsidRPr="002A6806" w:rsidRDefault="001B3819" w:rsidP="007017D3">
      <w:pPr>
        <w:spacing w:after="0"/>
        <w:jc w:val="both"/>
      </w:pPr>
      <w:r w:rsidRPr="002A6806">
        <w:lastRenderedPageBreak/>
        <w:t>With</w:t>
      </w:r>
      <w:r w:rsidR="006A6A8D" w:rsidRPr="002A6806">
        <w:t xml:space="preserve"> </w:t>
      </w:r>
      <w:r w:rsidRPr="002A6806">
        <w:t xml:space="preserve">the study by Bunker and </w:t>
      </w:r>
      <w:proofErr w:type="spellStart"/>
      <w:r w:rsidRPr="002A6806">
        <w:t>Parajuli</w:t>
      </w:r>
      <w:proofErr w:type="spellEnd"/>
      <w:r w:rsidRPr="002A6806">
        <w:t xml:space="preserve"> (2006) finding the 95</w:t>
      </w:r>
      <w:r w:rsidRPr="002A6806">
        <w:rPr>
          <w:vertAlign w:val="superscript"/>
        </w:rPr>
        <w:t>th</w:t>
      </w:r>
      <w:r w:rsidRPr="002A6806">
        <w:t xml:space="preserve"> percentile of traffic (cars and heavy vehicles included) travels straddling the edge </w:t>
      </w:r>
      <w:proofErr w:type="gramStart"/>
      <w:r w:rsidRPr="002A6806">
        <w:t>line,</w:t>
      </w:r>
      <w:proofErr w:type="gramEnd"/>
      <w:r w:rsidRPr="002A6806">
        <w:t xml:space="preserve"> pavement stress</w:t>
      </w:r>
      <w:r w:rsidR="006A6A8D" w:rsidRPr="002A6806">
        <w:t>es</w:t>
      </w:r>
      <w:r w:rsidRPr="002A6806">
        <w:t xml:space="preserve"> </w:t>
      </w:r>
      <w:r w:rsidR="006A6A8D" w:rsidRPr="002A6806">
        <w:t xml:space="preserve">due to wheel loading </w:t>
      </w:r>
      <w:r w:rsidRPr="002A6806">
        <w:t xml:space="preserve">may </w:t>
      </w:r>
      <w:r w:rsidR="006A6A8D" w:rsidRPr="002A6806">
        <w:t>be different from those predicted by the</w:t>
      </w:r>
      <w:r w:rsidRPr="002A6806">
        <w:t xml:space="preserve"> Austroads</w:t>
      </w:r>
      <w:r w:rsidR="006A6A8D" w:rsidRPr="002A6806">
        <w:t xml:space="preserve"> method</w:t>
      </w:r>
      <w:r w:rsidRPr="002A6806">
        <w:t xml:space="preserve">. </w:t>
      </w:r>
    </w:p>
    <w:p w:rsidR="00413499" w:rsidRPr="002A6806" w:rsidRDefault="00413499" w:rsidP="007017D3">
      <w:pPr>
        <w:spacing w:after="0"/>
        <w:jc w:val="both"/>
      </w:pPr>
    </w:p>
    <w:p w:rsidR="00413499" w:rsidRPr="002A6806" w:rsidRDefault="00B4472F" w:rsidP="007017D3">
      <w:pPr>
        <w:pStyle w:val="Heading1"/>
        <w:jc w:val="both"/>
      </w:pPr>
      <w:r w:rsidRPr="002A6806">
        <w:t xml:space="preserve">analytical </w:t>
      </w:r>
      <w:r w:rsidR="00856786" w:rsidRPr="002A6806">
        <w:t>Approaches</w:t>
      </w:r>
      <w:r w:rsidR="00413499" w:rsidRPr="002A6806">
        <w:t xml:space="preserve"> </w:t>
      </w:r>
    </w:p>
    <w:p w:rsidR="00856786" w:rsidRPr="002A6806" w:rsidRDefault="00B4472F" w:rsidP="007017D3">
      <w:pPr>
        <w:spacing w:after="0"/>
        <w:jc w:val="both"/>
      </w:pPr>
      <w:r w:rsidRPr="002A6806">
        <w:t>The full background to EverFE software can be obtained from the available literature (</w:t>
      </w:r>
      <w:proofErr w:type="spellStart"/>
      <w:r w:rsidRPr="002A6806">
        <w:t>Davids</w:t>
      </w:r>
      <w:proofErr w:type="spellEnd"/>
      <w:r w:rsidRPr="002A6806">
        <w:t xml:space="preserve"> et al., 1998</w:t>
      </w:r>
      <w:r w:rsidR="00BD3442" w:rsidRPr="002A6806">
        <w:t xml:space="preserve"> and </w:t>
      </w:r>
      <w:r w:rsidRPr="002A6806">
        <w:t>2003) with features and capabilities of the software outlined. EverFE software provides a simple, easy to use platform for the analysis of rigid pavement stresses of varying configurations and under different loading conditions inclusive of thermal loadings induced from temperature gradients. Although EverFE provides a powerful processing tool for rigid pavement analysis, it is a relatively new program and utilisation of the software is not widespread in Australia. The capabilities and ease of use of the software do however provide an opportunity for utilisation of the software in the design and development of rigid pavements in Australia.</w:t>
      </w:r>
    </w:p>
    <w:p w:rsidR="00856786" w:rsidRPr="002A6806" w:rsidRDefault="00856786" w:rsidP="007017D3">
      <w:pPr>
        <w:spacing w:after="0"/>
        <w:jc w:val="both"/>
      </w:pPr>
    </w:p>
    <w:p w:rsidR="00856786" w:rsidRPr="002A6806" w:rsidRDefault="00856786" w:rsidP="007017D3">
      <w:pPr>
        <w:spacing w:after="0"/>
        <w:jc w:val="both"/>
      </w:pPr>
      <w:r w:rsidRPr="002A6806">
        <w:t>For the purpose of this study</w:t>
      </w:r>
      <w:r w:rsidR="00BD3442" w:rsidRPr="002A6806">
        <w:t xml:space="preserve">, </w:t>
      </w:r>
      <w:r w:rsidRPr="002A6806">
        <w:t xml:space="preserve">TLD data </w:t>
      </w:r>
      <w:r w:rsidR="00BD3442" w:rsidRPr="002A6806">
        <w:t>were</w:t>
      </w:r>
      <w:r w:rsidRPr="002A6806">
        <w:t xml:space="preserve"> provided</w:t>
      </w:r>
      <w:r w:rsidR="00BD3442" w:rsidRPr="002A6806">
        <w:t xml:space="preserve"> by RMS-NSW</w:t>
      </w:r>
      <w:r w:rsidRPr="002A6806">
        <w:t xml:space="preserve"> in spreadsheet format identifying axle group types and their percentage of total heavy vehicle traffic, separated into axle group loadings from 10</w:t>
      </w:r>
      <w:r w:rsidR="00BD3442" w:rsidRPr="002A6806">
        <w:t xml:space="preserve"> </w:t>
      </w:r>
      <w:proofErr w:type="gramStart"/>
      <w:r w:rsidRPr="002A6806">
        <w:t>kN</w:t>
      </w:r>
      <w:proofErr w:type="gramEnd"/>
      <w:r w:rsidRPr="002A6806">
        <w:t xml:space="preserve"> through to 400</w:t>
      </w:r>
      <w:r w:rsidR="00BD3442" w:rsidRPr="002A6806">
        <w:t xml:space="preserve"> </w:t>
      </w:r>
      <w:proofErr w:type="spellStart"/>
      <w:r w:rsidRPr="002A6806">
        <w:t>kN.</w:t>
      </w:r>
      <w:proofErr w:type="spellEnd"/>
      <w:r w:rsidRPr="002A6806">
        <w:t xml:space="preserve"> </w:t>
      </w:r>
      <w:r w:rsidR="00FA13FD" w:rsidRPr="002A6806">
        <w:t xml:space="preserve">These data </w:t>
      </w:r>
      <w:r w:rsidR="00BD3442" w:rsidRPr="002A6806">
        <w:t>were</w:t>
      </w:r>
      <w:r w:rsidR="00FA13FD" w:rsidRPr="002A6806">
        <w:t xml:space="preserve"> used to design a model concrete pavement for further analyses </w:t>
      </w:r>
      <w:r w:rsidR="00996345" w:rsidRPr="002A6806">
        <w:t>(for future loading</w:t>
      </w:r>
      <w:r w:rsidR="009A433D" w:rsidRPr="002A6806">
        <w:t xml:space="preserve"> conditions</w:t>
      </w:r>
      <w:r w:rsidR="00996345" w:rsidRPr="002A6806">
        <w:t xml:space="preserve">, </w:t>
      </w:r>
      <w:r w:rsidR="009A433D" w:rsidRPr="002A6806">
        <w:t xml:space="preserve">different </w:t>
      </w:r>
      <w:r w:rsidR="00996345" w:rsidRPr="002A6806">
        <w:t>wheel position</w:t>
      </w:r>
      <w:r w:rsidR="009A433D" w:rsidRPr="002A6806">
        <w:t>s</w:t>
      </w:r>
      <w:r w:rsidR="00996345" w:rsidRPr="002A6806">
        <w:t xml:space="preserve"> and temperature </w:t>
      </w:r>
      <w:r w:rsidR="009A433D" w:rsidRPr="002A6806">
        <w:t xml:space="preserve">effects) </w:t>
      </w:r>
      <w:r w:rsidR="00FA13FD" w:rsidRPr="002A6806">
        <w:t>with EverFE.</w:t>
      </w:r>
    </w:p>
    <w:p w:rsidR="003A7E09" w:rsidRPr="002A6806" w:rsidRDefault="00943358" w:rsidP="007017D3">
      <w:pPr>
        <w:pStyle w:val="Heading2"/>
        <w:jc w:val="both"/>
        <w:rPr>
          <w:lang w:val="en-US"/>
        </w:rPr>
      </w:pPr>
      <w:r w:rsidRPr="002A6806">
        <w:t xml:space="preserve">Assumed </w:t>
      </w:r>
      <w:r w:rsidR="003C5FCF" w:rsidRPr="002A6806">
        <w:t xml:space="preserve">future </w:t>
      </w:r>
      <w:r w:rsidR="003A7E09" w:rsidRPr="002A6806">
        <w:t>loading</w:t>
      </w:r>
      <w:r w:rsidR="00B56822" w:rsidRPr="002A6806">
        <w:t>s</w:t>
      </w:r>
    </w:p>
    <w:p w:rsidR="00856786" w:rsidRPr="002A6806" w:rsidRDefault="00856786" w:rsidP="007017D3">
      <w:pPr>
        <w:spacing w:after="0"/>
        <w:jc w:val="both"/>
      </w:pPr>
      <w:r w:rsidRPr="002A6806">
        <w:t>Studies undertaken by Mitchell (2010) and the Australian Department of Infrastructure and Transport (2011) focused on heavy vehicle productivity trends and forecasts up to the year 2030. In these studies the forecast trends that were observed were based on the condition that there would be no changes to heavy vehicle rules and regulations. Therefore</w:t>
      </w:r>
      <w:r w:rsidR="0056630B" w:rsidRPr="002A6806">
        <w:t>,</w:t>
      </w:r>
      <w:r w:rsidRPr="002A6806">
        <w:t xml:space="preserve"> in reflection of assumptions made by these studies for determination of future heavy vehicle loading parameters, it</w:t>
      </w:r>
      <w:r w:rsidR="00821A90" w:rsidRPr="002A6806">
        <w:t xml:space="preserve"> was</w:t>
      </w:r>
      <w:r w:rsidRPr="002A6806">
        <w:t xml:space="preserve"> assumed there w</w:t>
      </w:r>
      <w:r w:rsidR="00821A90" w:rsidRPr="002A6806">
        <w:t>ould</w:t>
      </w:r>
      <w:r w:rsidRPr="002A6806">
        <w:t xml:space="preserve"> be no significant changes to current laws and regulations on heavy vehicles for the purpose of this </w:t>
      </w:r>
      <w:r w:rsidR="0056630B" w:rsidRPr="002A6806">
        <w:t>study</w:t>
      </w:r>
      <w:r w:rsidRPr="002A6806">
        <w:t xml:space="preserve">. </w:t>
      </w:r>
    </w:p>
    <w:p w:rsidR="0056630B" w:rsidRPr="002A6806" w:rsidRDefault="0056630B" w:rsidP="007017D3">
      <w:pPr>
        <w:spacing w:after="0"/>
        <w:jc w:val="both"/>
      </w:pPr>
    </w:p>
    <w:p w:rsidR="00856786" w:rsidRPr="002A6806" w:rsidRDefault="00EE192D" w:rsidP="007017D3">
      <w:pPr>
        <w:spacing w:after="0"/>
        <w:jc w:val="both"/>
      </w:pPr>
      <w:r w:rsidRPr="002A6806">
        <w:t>The report by Pearson and Foley (2001)</w:t>
      </w:r>
      <w:r w:rsidR="0056630B" w:rsidRPr="002A6806">
        <w:t xml:space="preserve"> identified</w:t>
      </w:r>
      <w:r w:rsidR="009922E1" w:rsidRPr="002A6806">
        <w:t xml:space="preserve"> the</w:t>
      </w:r>
      <w:r w:rsidR="0056630B" w:rsidRPr="002A6806">
        <w:t xml:space="preserve"> trends for axle mass</w:t>
      </w:r>
      <w:r w:rsidR="009922E1" w:rsidRPr="002A6806">
        <w:t xml:space="preserve"> increase</w:t>
      </w:r>
      <w:r w:rsidR="0056630B" w:rsidRPr="002A6806">
        <w:t xml:space="preserve"> for articulated trucks</w:t>
      </w:r>
      <w:r w:rsidRPr="002A6806">
        <w:t xml:space="preserve"> of about</w:t>
      </w:r>
      <w:r w:rsidR="0056630B" w:rsidRPr="002A6806">
        <w:t xml:space="preserve"> 1% and </w:t>
      </w:r>
      <w:r w:rsidRPr="002A6806">
        <w:t xml:space="preserve">for </w:t>
      </w:r>
      <w:r w:rsidR="0056630B" w:rsidRPr="002A6806">
        <w:t>gross vehicle mass</w:t>
      </w:r>
      <w:r w:rsidRPr="002A6806">
        <w:t xml:space="preserve"> increase by</w:t>
      </w:r>
      <w:r w:rsidR="0056630B" w:rsidRPr="002A6806">
        <w:t xml:space="preserve"> 2% per annum, which equates to an increased loading capacity of 0.4 tonne per annum. Trends for B-doubles predict</w:t>
      </w:r>
      <w:r w:rsidR="00821A90" w:rsidRPr="002A6806">
        <w:t>ed</w:t>
      </w:r>
      <w:r w:rsidR="0056630B" w:rsidRPr="002A6806">
        <w:t xml:space="preserve"> increases to axle loading and gross vehicle mass by up to 3% (approximately 1.0 tonne) per annum.</w:t>
      </w:r>
      <w:r w:rsidR="009922E1" w:rsidRPr="002A6806">
        <w:t xml:space="preserve"> </w:t>
      </w:r>
      <w:r w:rsidR="00856786" w:rsidRPr="002A6806">
        <w:t>If</w:t>
      </w:r>
      <w:r w:rsidR="009922E1" w:rsidRPr="002A6806">
        <w:t xml:space="preserve"> th</w:t>
      </w:r>
      <w:r w:rsidR="009E1B58" w:rsidRPr="002A6806">
        <w:t xml:space="preserve">ese changes </w:t>
      </w:r>
      <w:r w:rsidR="00821A90" w:rsidRPr="002A6806">
        <w:t>were</w:t>
      </w:r>
      <w:r w:rsidR="00856786" w:rsidRPr="002A6806">
        <w:t xml:space="preserve"> </w:t>
      </w:r>
      <w:r w:rsidR="002D001A" w:rsidRPr="002A6806">
        <w:t>to occur at some stage in</w:t>
      </w:r>
      <w:r w:rsidR="00996345" w:rsidRPr="002A6806">
        <w:t xml:space="preserve"> the future</w:t>
      </w:r>
      <w:r w:rsidR="009E1B58" w:rsidRPr="002A6806">
        <w:t xml:space="preserve"> (perhaps for along some restricted routes)</w:t>
      </w:r>
      <w:r w:rsidR="00996345" w:rsidRPr="002A6806">
        <w:t>, significant change</w:t>
      </w:r>
      <w:r w:rsidR="009E1B58" w:rsidRPr="002A6806">
        <w:t>s</w:t>
      </w:r>
      <w:r w:rsidR="00996345" w:rsidRPr="002A6806">
        <w:t xml:space="preserve"> in</w:t>
      </w:r>
      <w:r w:rsidR="009922E1" w:rsidRPr="002A6806">
        <w:t xml:space="preserve"> axle </w:t>
      </w:r>
      <w:r w:rsidR="00856786" w:rsidRPr="002A6806">
        <w:t>loading</w:t>
      </w:r>
      <w:r w:rsidR="00996345" w:rsidRPr="002A6806">
        <w:t xml:space="preserve"> values</w:t>
      </w:r>
      <w:r w:rsidR="009922E1" w:rsidRPr="002A6806">
        <w:t xml:space="preserve"> </w:t>
      </w:r>
      <w:r w:rsidR="00996345" w:rsidRPr="002A6806">
        <w:t xml:space="preserve">as </w:t>
      </w:r>
      <w:r w:rsidR="009922E1" w:rsidRPr="002A6806">
        <w:t>shown in Table 4 would be expected.</w:t>
      </w:r>
      <w:r w:rsidR="00856786" w:rsidRPr="002A6806">
        <w:t xml:space="preserve"> </w:t>
      </w:r>
      <w:r w:rsidR="009A433D" w:rsidRPr="002A6806">
        <w:t>The</w:t>
      </w:r>
      <w:r w:rsidR="00821A90" w:rsidRPr="002A6806">
        <w:t>se</w:t>
      </w:r>
      <w:r w:rsidR="001F3B76" w:rsidRPr="002A6806">
        <w:t xml:space="preserve"> hypothetical</w:t>
      </w:r>
      <w:r w:rsidR="009A433D" w:rsidRPr="002A6806">
        <w:t xml:space="preserve"> axle load</w:t>
      </w:r>
      <w:r w:rsidR="001F3B76" w:rsidRPr="002A6806">
        <w:t>ing</w:t>
      </w:r>
      <w:r w:rsidR="009A433D" w:rsidRPr="002A6806">
        <w:t xml:space="preserve">s </w:t>
      </w:r>
      <w:r w:rsidR="00CD23D0" w:rsidRPr="002A6806">
        <w:t xml:space="preserve">were adopted for </w:t>
      </w:r>
      <w:r w:rsidR="009A433D" w:rsidRPr="002A6806">
        <w:t>the current study.</w:t>
      </w:r>
    </w:p>
    <w:p w:rsidR="0056630B" w:rsidRPr="002A6806" w:rsidRDefault="0056630B" w:rsidP="007017D3">
      <w:pPr>
        <w:spacing w:after="0"/>
        <w:jc w:val="both"/>
      </w:pPr>
    </w:p>
    <w:p w:rsidR="009922E1" w:rsidRPr="002A6806" w:rsidRDefault="009922E1" w:rsidP="009922E1">
      <w:pPr>
        <w:spacing w:after="0"/>
        <w:jc w:val="both"/>
        <w:rPr>
          <w:b/>
          <w:bCs/>
          <w:i/>
        </w:rPr>
      </w:pPr>
      <w:r w:rsidRPr="002A6806">
        <w:rPr>
          <w:b/>
          <w:bCs/>
          <w:i/>
        </w:rPr>
        <w:t>Table 4: Current and</w:t>
      </w:r>
      <w:r w:rsidR="00DC4CCB" w:rsidRPr="002A6806">
        <w:rPr>
          <w:b/>
          <w:bCs/>
          <w:i/>
        </w:rPr>
        <w:t xml:space="preserve"> hypothetical </w:t>
      </w:r>
      <w:r w:rsidRPr="002A6806">
        <w:rPr>
          <w:b/>
          <w:bCs/>
          <w:i/>
        </w:rPr>
        <w:t>futu</w:t>
      </w:r>
      <w:r w:rsidR="00B17C5D" w:rsidRPr="002A6806">
        <w:rPr>
          <w:b/>
          <w:bCs/>
          <w:i/>
        </w:rPr>
        <w:t>re axle load limits</w:t>
      </w:r>
      <w:r w:rsidRPr="002A6806">
        <w:rPr>
          <w:b/>
          <w:bCs/>
          <w:i/>
        </w:rPr>
        <w:t xml:space="preserve"> </w:t>
      </w:r>
    </w:p>
    <w:p w:rsidR="009922E1" w:rsidRPr="002A6806" w:rsidRDefault="009922E1" w:rsidP="009922E1">
      <w:pPr>
        <w:spacing w:after="0"/>
        <w:jc w:val="both"/>
        <w:rPr>
          <w:b/>
          <w:bCs/>
        </w:rPr>
      </w:pPr>
    </w:p>
    <w:tbl>
      <w:tblPr>
        <w:tblW w:w="7371" w:type="dxa"/>
        <w:tblInd w:w="250" w:type="dxa"/>
        <w:tblLayout w:type="fixed"/>
        <w:tblLook w:val="04A0" w:firstRow="1" w:lastRow="0" w:firstColumn="1" w:lastColumn="0" w:noHBand="0" w:noVBand="1"/>
      </w:tblPr>
      <w:tblGrid>
        <w:gridCol w:w="2126"/>
        <w:gridCol w:w="2694"/>
        <w:gridCol w:w="2551"/>
      </w:tblGrid>
      <w:tr w:rsidR="009922E1" w:rsidRPr="002A6806" w:rsidTr="00996345">
        <w:trPr>
          <w:trHeight w:val="28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rPr>
                <w:b/>
              </w:rPr>
            </w:pPr>
            <w:r w:rsidRPr="002A6806">
              <w:rPr>
                <w:b/>
              </w:rPr>
              <w:t>Axle Configuration</w:t>
            </w:r>
          </w:p>
        </w:tc>
        <w:tc>
          <w:tcPr>
            <w:tcW w:w="2694" w:type="dxa"/>
            <w:tcBorders>
              <w:top w:val="single" w:sz="4" w:space="0" w:color="auto"/>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rPr>
                <w:b/>
              </w:rPr>
            </w:pPr>
            <w:r w:rsidRPr="002A6806">
              <w:rPr>
                <w:b/>
              </w:rPr>
              <w:t>Current Limit in kN</w:t>
            </w:r>
          </w:p>
        </w:tc>
        <w:tc>
          <w:tcPr>
            <w:tcW w:w="2551" w:type="dxa"/>
            <w:tcBorders>
              <w:top w:val="single" w:sz="4" w:space="0" w:color="auto"/>
              <w:left w:val="nil"/>
              <w:bottom w:val="single" w:sz="4" w:space="0" w:color="auto"/>
              <w:right w:val="single" w:sz="4" w:space="0" w:color="auto"/>
            </w:tcBorders>
            <w:shd w:val="clear" w:color="auto" w:fill="auto"/>
            <w:noWrap/>
            <w:vAlign w:val="bottom"/>
            <w:hideMark/>
          </w:tcPr>
          <w:p w:rsidR="009922E1" w:rsidRPr="002A6806" w:rsidRDefault="00B17C5D" w:rsidP="009922E1">
            <w:pPr>
              <w:spacing w:after="0"/>
              <w:jc w:val="center"/>
              <w:rPr>
                <w:b/>
              </w:rPr>
            </w:pPr>
            <w:r w:rsidRPr="002A6806">
              <w:rPr>
                <w:b/>
              </w:rPr>
              <w:t xml:space="preserve">Hypothetical </w:t>
            </w:r>
            <w:r w:rsidR="009922E1" w:rsidRPr="002A6806">
              <w:rPr>
                <w:b/>
              </w:rPr>
              <w:t>Future Limit (2050) in kN</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SAST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58.86</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165.62</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SADT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88.29</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248.44</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TAST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107.91</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303.64</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TADT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161.86</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455.47</w:t>
            </w:r>
          </w:p>
        </w:tc>
      </w:tr>
      <w:tr w:rsidR="009922E1" w:rsidRPr="002A6806" w:rsidTr="00996345">
        <w:trPr>
          <w:trHeight w:val="280"/>
        </w:trPr>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TRDT</w:t>
            </w:r>
          </w:p>
        </w:tc>
        <w:tc>
          <w:tcPr>
            <w:tcW w:w="2694"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196.2</w:t>
            </w:r>
          </w:p>
        </w:tc>
        <w:tc>
          <w:tcPr>
            <w:tcW w:w="2551" w:type="dxa"/>
            <w:tcBorders>
              <w:top w:val="nil"/>
              <w:left w:val="nil"/>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552.08</w:t>
            </w:r>
          </w:p>
        </w:tc>
      </w:tr>
      <w:tr w:rsidR="009922E1" w:rsidRPr="002A6806" w:rsidTr="00996345">
        <w:trPr>
          <w:trHeight w:val="28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QADT</w:t>
            </w:r>
          </w:p>
        </w:tc>
        <w:tc>
          <w:tcPr>
            <w:tcW w:w="2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235.44</w:t>
            </w:r>
          </w:p>
        </w:tc>
        <w:tc>
          <w:tcPr>
            <w:tcW w:w="25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922E1" w:rsidRPr="002A6806" w:rsidRDefault="009922E1" w:rsidP="009922E1">
            <w:pPr>
              <w:spacing w:after="0"/>
              <w:jc w:val="center"/>
            </w:pPr>
            <w:r w:rsidRPr="002A6806">
              <w:t>662.50</w:t>
            </w:r>
          </w:p>
        </w:tc>
      </w:tr>
    </w:tbl>
    <w:p w:rsidR="009922E1" w:rsidRPr="002A6806" w:rsidRDefault="009922E1" w:rsidP="009922E1">
      <w:pPr>
        <w:spacing w:after="0"/>
        <w:jc w:val="both"/>
      </w:pPr>
    </w:p>
    <w:p w:rsidR="00856786" w:rsidRPr="002A6806" w:rsidRDefault="00F86696" w:rsidP="007017D3">
      <w:pPr>
        <w:spacing w:after="0"/>
        <w:jc w:val="both"/>
      </w:pPr>
      <w:r w:rsidRPr="002A6806">
        <w:t>M</w:t>
      </w:r>
      <w:r w:rsidR="006165BC" w:rsidRPr="002A6806">
        <w:t xml:space="preserve">ost </w:t>
      </w:r>
      <w:r w:rsidRPr="002A6806">
        <w:t>PCA investigators considered a single axle load with dual wheels although P</w:t>
      </w:r>
      <w:r w:rsidR="00412520" w:rsidRPr="002A6806">
        <w:t xml:space="preserve">ackard and </w:t>
      </w:r>
      <w:proofErr w:type="spellStart"/>
      <w:r w:rsidR="00412520" w:rsidRPr="002A6806">
        <w:t>Tayabji</w:t>
      </w:r>
      <w:proofErr w:type="spellEnd"/>
      <w:r w:rsidR="00412520" w:rsidRPr="002A6806">
        <w:t xml:space="preserve"> </w:t>
      </w:r>
      <w:r w:rsidRPr="002A6806">
        <w:t xml:space="preserve">(1985) consider different types of axle groups as shown in Table 4. </w:t>
      </w:r>
      <w:r w:rsidR="00996345" w:rsidRPr="002A6806">
        <w:t xml:space="preserve">EverFE </w:t>
      </w:r>
      <w:r w:rsidR="00412520" w:rsidRPr="002A6806">
        <w:t xml:space="preserve">only </w:t>
      </w:r>
      <w:r w:rsidR="00996345" w:rsidRPr="002A6806">
        <w:t xml:space="preserve">allows </w:t>
      </w:r>
      <w:r w:rsidR="00E279FE" w:rsidRPr="002A6806">
        <w:t xml:space="preserve">full-axle </w:t>
      </w:r>
      <w:r w:rsidR="00996345" w:rsidRPr="002A6806">
        <w:t xml:space="preserve">loading </w:t>
      </w:r>
      <w:r w:rsidR="0056630B" w:rsidRPr="002A6806">
        <w:t>input</w:t>
      </w:r>
      <w:r w:rsidR="00996345" w:rsidRPr="002A6806">
        <w:t>s</w:t>
      </w:r>
      <w:r w:rsidR="0056630B" w:rsidRPr="002A6806">
        <w:t xml:space="preserve"> for </w:t>
      </w:r>
      <w:r w:rsidR="00412520" w:rsidRPr="002A6806">
        <w:t>SAST, SADT, TAST and TADT. Hence, a</w:t>
      </w:r>
      <w:r w:rsidR="00F5663A" w:rsidRPr="002A6806">
        <w:t>nalysis of TRDT and QADT configurations requires</w:t>
      </w:r>
      <w:r w:rsidR="00412520" w:rsidRPr="002A6806">
        <w:t xml:space="preserve"> axle</w:t>
      </w:r>
      <w:r w:rsidR="00F5663A" w:rsidRPr="002A6806">
        <w:t xml:space="preserve"> </w:t>
      </w:r>
      <w:r w:rsidR="00412520" w:rsidRPr="002A6806">
        <w:t>superposition</w:t>
      </w:r>
      <w:r w:rsidR="00F5663A" w:rsidRPr="002A6806">
        <w:t xml:space="preserve"> to produce the desired configuration, with axle spacing specified as 1500</w:t>
      </w:r>
      <w:r w:rsidR="00412520" w:rsidRPr="002A6806">
        <w:t xml:space="preserve"> </w:t>
      </w:r>
      <w:r w:rsidR="00F5663A" w:rsidRPr="002A6806">
        <w:t>mm.</w:t>
      </w:r>
    </w:p>
    <w:p w:rsidR="00412520" w:rsidRPr="002A6806" w:rsidRDefault="00412520" w:rsidP="007017D3">
      <w:pPr>
        <w:spacing w:after="0"/>
        <w:jc w:val="both"/>
      </w:pPr>
    </w:p>
    <w:p w:rsidR="00856786" w:rsidRPr="002A6806" w:rsidRDefault="00897E4A" w:rsidP="007017D3">
      <w:pPr>
        <w:spacing w:after="0"/>
        <w:jc w:val="both"/>
      </w:pPr>
      <w:r w:rsidRPr="002A6806">
        <w:t>As previously discussed,</w:t>
      </w:r>
      <w:r w:rsidR="0039291D" w:rsidRPr="002A6806">
        <w:t xml:space="preserve"> it was identified that currently </w:t>
      </w:r>
      <w:r w:rsidR="00856786" w:rsidRPr="002A6806">
        <w:t xml:space="preserve">B-doubles </w:t>
      </w:r>
      <w:r w:rsidR="0039291D" w:rsidRPr="002A6806">
        <w:t xml:space="preserve">travel </w:t>
      </w:r>
      <w:r w:rsidR="005A2044" w:rsidRPr="002A6806">
        <w:t xml:space="preserve">much </w:t>
      </w:r>
      <w:r w:rsidR="0039291D" w:rsidRPr="002A6806">
        <w:t>closer to the pavement edge.</w:t>
      </w:r>
      <w:r w:rsidR="00856786" w:rsidRPr="002A6806">
        <w:t xml:space="preserve"> Traffic load distribution w</w:t>
      </w:r>
      <w:r w:rsidR="005A2044" w:rsidRPr="002A6806">
        <w:t>as</w:t>
      </w:r>
      <w:r w:rsidR="00856786" w:rsidRPr="002A6806">
        <w:t xml:space="preserve"> therefore analysed </w:t>
      </w:r>
      <w:r w:rsidR="0039291D" w:rsidRPr="002A6806">
        <w:t>for two wheel positions i.e.</w:t>
      </w:r>
      <w:r w:rsidR="00856786" w:rsidRPr="002A6806">
        <w:t xml:space="preserve"> with the outermost wheel </w:t>
      </w:r>
      <w:r w:rsidR="0039291D" w:rsidRPr="002A6806">
        <w:t xml:space="preserve">at a distance of 600 mm and </w:t>
      </w:r>
      <w:r w:rsidR="00856786" w:rsidRPr="002A6806">
        <w:t>100</w:t>
      </w:r>
      <w:r w:rsidR="0039291D" w:rsidRPr="002A6806">
        <w:t xml:space="preserve"> </w:t>
      </w:r>
      <w:r w:rsidR="00856786" w:rsidRPr="002A6806">
        <w:t xml:space="preserve">mm from the edge line. </w:t>
      </w:r>
    </w:p>
    <w:p w:rsidR="003A7E09" w:rsidRPr="002A6806" w:rsidRDefault="00D6616E" w:rsidP="007017D3">
      <w:pPr>
        <w:pStyle w:val="Heading2"/>
        <w:jc w:val="both"/>
        <w:rPr>
          <w:lang w:val="en-US"/>
        </w:rPr>
      </w:pPr>
      <w:r w:rsidRPr="002A6806">
        <w:lastRenderedPageBreak/>
        <w:t>Model pavement</w:t>
      </w:r>
    </w:p>
    <w:p w:rsidR="0015154E" w:rsidRPr="002A6806" w:rsidRDefault="00D63E4E" w:rsidP="007017D3">
      <w:pPr>
        <w:spacing w:after="0"/>
        <w:jc w:val="both"/>
      </w:pPr>
      <w:r w:rsidRPr="002A6806">
        <w:t xml:space="preserve">A model pavement was required to be analysed so that concrete tensile stresses could be calculated using the Austroads equations and EverFE software for comparison. </w:t>
      </w:r>
      <w:r w:rsidR="003A7E09" w:rsidRPr="002A6806">
        <w:t>Pavement</w:t>
      </w:r>
      <w:r w:rsidRPr="002A6806">
        <w:t xml:space="preserve"> layer</w:t>
      </w:r>
      <w:r w:rsidR="003A7E09" w:rsidRPr="002A6806">
        <w:t xml:space="preserve"> thicknesses were </w:t>
      </w:r>
      <w:r w:rsidR="00F30ABE" w:rsidRPr="002A6806">
        <w:t xml:space="preserve">initially </w:t>
      </w:r>
      <w:r w:rsidR="003A7E09" w:rsidRPr="002A6806">
        <w:t xml:space="preserve">determined using the RMS rigid pavement design spreadsheet </w:t>
      </w:r>
      <w:r w:rsidR="00F30ABE" w:rsidRPr="002A6806">
        <w:t>according to Austroads (2012)</w:t>
      </w:r>
      <w:r w:rsidRPr="002A6806">
        <w:t>. For the purposes of this study traffic data were taken from two roads in Sydney, NSW. The first was from Pennant Hills Road in North Parramatta and the second was from the eastbound lanes of the M2 Motorway in North Epping, Sydney. The traffic volume was taken as 5.1 x10</w:t>
      </w:r>
      <w:r w:rsidRPr="002A6806">
        <w:rPr>
          <w:vertAlign w:val="superscript"/>
        </w:rPr>
        <w:t>7</w:t>
      </w:r>
      <w:r w:rsidRPr="002A6806">
        <w:t xml:space="preserve"> HVAGs.  The project reliability factor was 95%, representing a load safety factor of 1.20. </w:t>
      </w:r>
    </w:p>
    <w:p w:rsidR="00F30ABE" w:rsidRPr="002A6806" w:rsidRDefault="00F30ABE" w:rsidP="007017D3">
      <w:pPr>
        <w:spacing w:after="0"/>
        <w:jc w:val="both"/>
      </w:pPr>
    </w:p>
    <w:p w:rsidR="0064774D" w:rsidRPr="002A6806" w:rsidRDefault="00F30ABE" w:rsidP="007017D3">
      <w:pPr>
        <w:spacing w:after="0"/>
        <w:jc w:val="both"/>
      </w:pPr>
      <w:r w:rsidRPr="002A6806">
        <w:t xml:space="preserve">In this study dowelled pavements </w:t>
      </w:r>
      <w:r w:rsidR="005A2044" w:rsidRPr="002A6806">
        <w:t>were</w:t>
      </w:r>
      <w:r w:rsidRPr="002A6806">
        <w:t xml:space="preserve"> chosen (to represent </w:t>
      </w:r>
      <w:r w:rsidR="005A2044" w:rsidRPr="002A6806">
        <w:t>jointed pavements with good</w:t>
      </w:r>
      <w:r w:rsidRPr="002A6806">
        <w:t xml:space="preserve"> load transfer); hence, a slab length of 4.5</w:t>
      </w:r>
      <w:r w:rsidR="00D63E4E" w:rsidRPr="002A6806">
        <w:t xml:space="preserve"> </w:t>
      </w:r>
      <w:r w:rsidRPr="002A6806">
        <w:t xml:space="preserve">m </w:t>
      </w:r>
      <w:r w:rsidR="005A2044" w:rsidRPr="002A6806">
        <w:t>wa</w:t>
      </w:r>
      <w:r w:rsidRPr="002A6806">
        <w:t>s used for the pavement modelling.</w:t>
      </w:r>
      <w:r w:rsidR="00D63E4E" w:rsidRPr="002A6806">
        <w:t xml:space="preserve"> </w:t>
      </w:r>
      <w:r w:rsidR="005A2044" w:rsidRPr="002A6806">
        <w:t>The selected pavements</w:t>
      </w:r>
      <w:r w:rsidR="0064774D" w:rsidRPr="002A6806">
        <w:t xml:space="preserve"> incorporate</w:t>
      </w:r>
      <w:r w:rsidR="005A2044" w:rsidRPr="002A6806">
        <w:t>d</w:t>
      </w:r>
      <w:r w:rsidR="0064774D" w:rsidRPr="002A6806">
        <w:t xml:space="preserve"> integrally cast shoulders.</w:t>
      </w:r>
      <w:r w:rsidR="00D63E4E" w:rsidRPr="002A6806">
        <w:t xml:space="preserve"> </w:t>
      </w:r>
      <w:r w:rsidR="005A2044" w:rsidRPr="002A6806">
        <w:t>In accordance with</w:t>
      </w:r>
      <w:r w:rsidR="0064774D" w:rsidRPr="002A6806">
        <w:t xml:space="preserve"> the RMS standard drawings</w:t>
      </w:r>
      <w:r w:rsidR="005A2044" w:rsidRPr="002A6806">
        <w:t>, the</w:t>
      </w:r>
      <w:r w:rsidR="0064774D" w:rsidRPr="002A6806">
        <w:t xml:space="preserve"> shoulder widths w</w:t>
      </w:r>
      <w:r w:rsidR="005A2044" w:rsidRPr="002A6806">
        <w:t>ere taken as</w:t>
      </w:r>
      <w:r w:rsidR="0064774D" w:rsidRPr="002A6806">
        <w:t xml:space="preserve"> 2.5</w:t>
      </w:r>
      <w:r w:rsidR="00D63E4E" w:rsidRPr="002A6806">
        <w:t xml:space="preserve"> </w:t>
      </w:r>
      <w:r w:rsidR="0064774D" w:rsidRPr="002A6806">
        <w:t>m.</w:t>
      </w:r>
    </w:p>
    <w:p w:rsidR="003A7E09" w:rsidRPr="002A6806" w:rsidRDefault="003A7E09" w:rsidP="007017D3">
      <w:pPr>
        <w:spacing w:after="0"/>
        <w:jc w:val="both"/>
      </w:pPr>
    </w:p>
    <w:p w:rsidR="00A45383" w:rsidRPr="002A6806" w:rsidRDefault="00886802" w:rsidP="007017D3">
      <w:pPr>
        <w:spacing w:after="0"/>
        <w:jc w:val="both"/>
      </w:pPr>
      <w:r w:rsidRPr="002A6806">
        <w:t>A</w:t>
      </w:r>
      <w:r w:rsidR="0064774D" w:rsidRPr="002A6806">
        <w:t xml:space="preserve"> relatively low </w:t>
      </w:r>
      <w:r w:rsidRPr="002A6806">
        <w:t xml:space="preserve">subgrade CBR </w:t>
      </w:r>
      <w:r w:rsidR="0064774D" w:rsidRPr="002A6806">
        <w:t>value of 3.5</w:t>
      </w:r>
      <w:r w:rsidR="00D63E4E" w:rsidRPr="002A6806">
        <w:t>% was</w:t>
      </w:r>
      <w:r w:rsidR="0064774D" w:rsidRPr="002A6806">
        <w:t xml:space="preserve"> assumed as used by </w:t>
      </w:r>
      <w:proofErr w:type="spellStart"/>
      <w:r w:rsidR="0064774D" w:rsidRPr="002A6806">
        <w:t>Darestani</w:t>
      </w:r>
      <w:proofErr w:type="spellEnd"/>
      <w:r w:rsidR="0064774D" w:rsidRPr="002A6806">
        <w:t xml:space="preserve"> et al. (2006). As per the Austroads Design Guide, </w:t>
      </w:r>
      <w:r w:rsidRPr="002A6806">
        <w:t>150 mm LCS wa</w:t>
      </w:r>
      <w:r w:rsidR="00A45383" w:rsidRPr="002A6806">
        <w:t>s selected for subbase; which</w:t>
      </w:r>
      <w:r w:rsidR="0064774D" w:rsidRPr="002A6806">
        <w:t xml:space="preserve"> provides an Effective Subgrade Strength CBR value </w:t>
      </w:r>
      <w:r w:rsidR="00A45383" w:rsidRPr="002A6806">
        <w:t>of about</w:t>
      </w:r>
      <w:r w:rsidR="0064774D" w:rsidRPr="002A6806">
        <w:t xml:space="preserve"> 50</w:t>
      </w:r>
      <w:r w:rsidR="00A45383" w:rsidRPr="002A6806">
        <w:t>%. For pavement thickness design, a concrete flexural strength of 4.5MPa</w:t>
      </w:r>
      <w:r w:rsidRPr="002A6806">
        <w:t xml:space="preserve"> wa</w:t>
      </w:r>
      <w:r w:rsidR="00A45383" w:rsidRPr="002A6806">
        <w:t xml:space="preserve">s assumed. </w:t>
      </w:r>
    </w:p>
    <w:p w:rsidR="00A45383" w:rsidRPr="002A6806" w:rsidRDefault="00A45383" w:rsidP="007017D3">
      <w:pPr>
        <w:spacing w:after="0"/>
        <w:jc w:val="both"/>
      </w:pPr>
    </w:p>
    <w:p w:rsidR="007962EB" w:rsidRPr="002A6806" w:rsidRDefault="00114756" w:rsidP="007017D3">
      <w:pPr>
        <w:spacing w:after="0"/>
        <w:jc w:val="both"/>
      </w:pPr>
      <w:r w:rsidRPr="002A6806">
        <w:t>To avoid unnecessary complexity in the model and to represent the worst pavement geometry a 2x2 pavement slab configuration (with one travel lane plus a shoulder) was adopted. This p</w:t>
      </w:r>
      <w:r w:rsidR="007962EB" w:rsidRPr="002A6806">
        <w:t xml:space="preserve">avement </w:t>
      </w:r>
      <w:r w:rsidRPr="002A6806">
        <w:t xml:space="preserve">was analysed </w:t>
      </w:r>
      <w:r w:rsidR="007962EB" w:rsidRPr="002A6806">
        <w:t xml:space="preserve">using EverFE </w:t>
      </w:r>
      <w:r w:rsidRPr="002A6806">
        <w:t>with</w:t>
      </w:r>
      <w:r w:rsidR="007962EB" w:rsidRPr="002A6806">
        <w:t xml:space="preserve"> the following input parameters</w:t>
      </w:r>
      <w:r w:rsidRPr="002A6806">
        <w:t xml:space="preserve">, which </w:t>
      </w:r>
      <w:r w:rsidR="007962EB" w:rsidRPr="002A6806">
        <w:t xml:space="preserve">are </w:t>
      </w:r>
      <w:r w:rsidR="00886802" w:rsidRPr="002A6806">
        <w:t xml:space="preserve">generally </w:t>
      </w:r>
      <w:r w:rsidR="000512ED" w:rsidRPr="002A6806">
        <w:t>in agreement with the</w:t>
      </w:r>
      <w:r w:rsidR="007962EB" w:rsidRPr="002A6806">
        <w:t xml:space="preserve"> values used in the Austroads</w:t>
      </w:r>
      <w:r w:rsidR="00886802" w:rsidRPr="002A6806">
        <w:t xml:space="preserve"> (2012)</w:t>
      </w:r>
      <w:r w:rsidRPr="002A6806">
        <w:t>:</w:t>
      </w:r>
    </w:p>
    <w:p w:rsidR="007962EB" w:rsidRPr="002A6806" w:rsidRDefault="007962EB" w:rsidP="007017D3">
      <w:pPr>
        <w:spacing w:after="0"/>
        <w:jc w:val="both"/>
      </w:pPr>
    </w:p>
    <w:p w:rsidR="007962EB" w:rsidRPr="002A6806" w:rsidRDefault="007962EB" w:rsidP="007017D3">
      <w:pPr>
        <w:pStyle w:val="ListParagraph"/>
        <w:numPr>
          <w:ilvl w:val="0"/>
          <w:numId w:val="31"/>
        </w:numPr>
        <w:spacing w:after="0"/>
        <w:jc w:val="both"/>
      </w:pPr>
      <w:r w:rsidRPr="002A6806">
        <w:t>Slab length (length between transverse joints) – 4500mm (Austroads,2012)</w:t>
      </w:r>
    </w:p>
    <w:p w:rsidR="007962EB" w:rsidRPr="002A6806" w:rsidRDefault="007962EB" w:rsidP="007017D3">
      <w:pPr>
        <w:pStyle w:val="ListParagraph"/>
        <w:numPr>
          <w:ilvl w:val="0"/>
          <w:numId w:val="31"/>
        </w:numPr>
        <w:spacing w:after="0"/>
        <w:jc w:val="both"/>
      </w:pPr>
      <w:r w:rsidRPr="002A6806">
        <w:t xml:space="preserve">Slab width (distance between longitudinal joints) – 3500mm for </w:t>
      </w:r>
      <w:r w:rsidR="0018567A" w:rsidRPr="002A6806">
        <w:t>vehicle</w:t>
      </w:r>
      <w:r w:rsidRPr="002A6806">
        <w:t xml:space="preserve"> lane and 2500mm for shoulder</w:t>
      </w:r>
    </w:p>
    <w:p w:rsidR="007962EB" w:rsidRPr="002A6806" w:rsidRDefault="007962EB" w:rsidP="007017D3">
      <w:pPr>
        <w:pStyle w:val="ListParagraph"/>
        <w:numPr>
          <w:ilvl w:val="0"/>
          <w:numId w:val="31"/>
        </w:numPr>
        <w:spacing w:after="0"/>
        <w:jc w:val="both"/>
      </w:pPr>
      <w:r w:rsidRPr="002A6806">
        <w:t>Slab thickness – 240mm (</w:t>
      </w:r>
      <w:r w:rsidR="00D6616E" w:rsidRPr="002A6806">
        <w:t>calculated using</w:t>
      </w:r>
      <w:r w:rsidRPr="002A6806">
        <w:t xml:space="preserve"> RMS rigid pavement design spreadsheet) </w:t>
      </w:r>
    </w:p>
    <w:p w:rsidR="007962EB" w:rsidRPr="002A6806" w:rsidRDefault="007962EB" w:rsidP="007017D3">
      <w:pPr>
        <w:pStyle w:val="ListParagraph"/>
        <w:numPr>
          <w:ilvl w:val="0"/>
          <w:numId w:val="31"/>
        </w:numPr>
        <w:spacing w:after="0"/>
        <w:jc w:val="both"/>
      </w:pPr>
      <w:r w:rsidRPr="002A6806">
        <w:t>Base/subgrade – One layer of 150mm thickness</w:t>
      </w:r>
    </w:p>
    <w:p w:rsidR="007962EB" w:rsidRPr="002A6806" w:rsidRDefault="007962EB" w:rsidP="007017D3">
      <w:pPr>
        <w:pStyle w:val="ListParagraph"/>
        <w:numPr>
          <w:ilvl w:val="0"/>
          <w:numId w:val="31"/>
        </w:numPr>
        <w:spacing w:after="0"/>
        <w:jc w:val="both"/>
      </w:pPr>
      <w:r w:rsidRPr="002A6806">
        <w:t>Skew angles – Zero degrees</w:t>
      </w:r>
    </w:p>
    <w:p w:rsidR="007962EB" w:rsidRPr="002A6806" w:rsidRDefault="007962EB" w:rsidP="007017D3">
      <w:pPr>
        <w:pStyle w:val="ListParagraph"/>
        <w:numPr>
          <w:ilvl w:val="0"/>
          <w:numId w:val="31"/>
        </w:numPr>
        <w:spacing w:after="0"/>
        <w:jc w:val="both"/>
      </w:pPr>
      <w:r w:rsidRPr="002A6806">
        <w:t>Material Properties:</w:t>
      </w:r>
    </w:p>
    <w:p w:rsidR="007962EB" w:rsidRPr="002A6806" w:rsidRDefault="007962EB" w:rsidP="007017D3">
      <w:pPr>
        <w:pStyle w:val="ListParagraph"/>
        <w:numPr>
          <w:ilvl w:val="0"/>
          <w:numId w:val="31"/>
        </w:numPr>
        <w:spacing w:after="0"/>
        <w:jc w:val="both"/>
      </w:pPr>
      <w:r w:rsidRPr="002A6806">
        <w:t>Modulus of elasticity (slab) – 28000 MPa</w:t>
      </w:r>
    </w:p>
    <w:p w:rsidR="007962EB" w:rsidRPr="002A6806" w:rsidRDefault="007962EB" w:rsidP="007017D3">
      <w:pPr>
        <w:pStyle w:val="ListParagraph"/>
        <w:numPr>
          <w:ilvl w:val="0"/>
          <w:numId w:val="31"/>
        </w:numPr>
        <w:spacing w:after="0"/>
        <w:jc w:val="both"/>
      </w:pPr>
      <w:r w:rsidRPr="002A6806">
        <w:t>Poisson’s ratio (slab) – 0.2</w:t>
      </w:r>
    </w:p>
    <w:p w:rsidR="007962EB" w:rsidRPr="002A6806" w:rsidRDefault="007962EB" w:rsidP="007017D3">
      <w:pPr>
        <w:pStyle w:val="ListParagraph"/>
        <w:numPr>
          <w:ilvl w:val="0"/>
          <w:numId w:val="31"/>
        </w:numPr>
        <w:spacing w:after="0"/>
        <w:jc w:val="both"/>
      </w:pPr>
      <w:r w:rsidRPr="002A6806">
        <w:t xml:space="preserve">Subbase depth – 150mm </w:t>
      </w:r>
    </w:p>
    <w:p w:rsidR="007962EB" w:rsidRPr="002A6806" w:rsidRDefault="007962EB" w:rsidP="007017D3">
      <w:pPr>
        <w:pStyle w:val="ListParagraph"/>
        <w:numPr>
          <w:ilvl w:val="0"/>
          <w:numId w:val="31"/>
        </w:numPr>
        <w:spacing w:after="0"/>
        <w:jc w:val="both"/>
      </w:pPr>
      <w:r w:rsidRPr="002A6806">
        <w:t>Coefficient of Thermal Expansion – 1x10-5 mm/mm/°C</w:t>
      </w:r>
    </w:p>
    <w:p w:rsidR="007962EB" w:rsidRPr="002A6806" w:rsidRDefault="007962EB" w:rsidP="007017D3">
      <w:pPr>
        <w:pStyle w:val="ListParagraph"/>
        <w:numPr>
          <w:ilvl w:val="0"/>
          <w:numId w:val="31"/>
        </w:numPr>
        <w:spacing w:after="0"/>
        <w:jc w:val="both"/>
      </w:pPr>
      <w:r w:rsidRPr="002A6806">
        <w:t>Concrete density – 2400 kg/m</w:t>
      </w:r>
      <w:r w:rsidRPr="002A6806">
        <w:rPr>
          <w:vertAlign w:val="superscript"/>
        </w:rPr>
        <w:t>3</w:t>
      </w:r>
    </w:p>
    <w:p w:rsidR="007962EB" w:rsidRPr="002A6806" w:rsidRDefault="007962EB" w:rsidP="007017D3">
      <w:pPr>
        <w:pStyle w:val="ListParagraph"/>
        <w:numPr>
          <w:ilvl w:val="0"/>
          <w:numId w:val="31"/>
        </w:numPr>
        <w:spacing w:after="0"/>
        <w:jc w:val="both"/>
      </w:pPr>
      <w:r w:rsidRPr="002A6806">
        <w:t>Modulus of elasticity (subbase) – 5000 MPa</w:t>
      </w:r>
    </w:p>
    <w:p w:rsidR="007962EB" w:rsidRPr="002A6806" w:rsidRDefault="007962EB" w:rsidP="007017D3">
      <w:pPr>
        <w:pStyle w:val="ListParagraph"/>
        <w:numPr>
          <w:ilvl w:val="0"/>
          <w:numId w:val="31"/>
        </w:numPr>
        <w:spacing w:after="0"/>
        <w:jc w:val="both"/>
      </w:pPr>
      <w:r w:rsidRPr="002A6806">
        <w:t>Poisson’s ration (subbase) – 0.2</w:t>
      </w:r>
    </w:p>
    <w:p w:rsidR="000512ED" w:rsidRPr="002A6806" w:rsidRDefault="007962EB" w:rsidP="007017D3">
      <w:pPr>
        <w:pStyle w:val="ListParagraph"/>
        <w:numPr>
          <w:ilvl w:val="0"/>
          <w:numId w:val="31"/>
        </w:numPr>
        <w:spacing w:after="0"/>
        <w:jc w:val="both"/>
      </w:pPr>
      <w:r w:rsidRPr="002A6806">
        <w:t>Subgrade modulus of reaction – 0.03 MPa/mm (CBR approximately 3.5)</w:t>
      </w:r>
    </w:p>
    <w:p w:rsidR="007962EB" w:rsidRPr="002A6806" w:rsidRDefault="007962EB" w:rsidP="007017D3">
      <w:pPr>
        <w:pStyle w:val="ListParagraph"/>
        <w:numPr>
          <w:ilvl w:val="0"/>
          <w:numId w:val="31"/>
        </w:numPr>
        <w:spacing w:after="0"/>
        <w:jc w:val="both"/>
      </w:pPr>
      <w:r w:rsidRPr="002A6806">
        <w:t>Dowels – Eleven evenly spaced cylindrical dowels of 32mm diameter, 450mm length, embedment length 225mm and 1000 MPa dowel-slab modulus support</w:t>
      </w:r>
    </w:p>
    <w:p w:rsidR="007962EB" w:rsidRPr="002A6806" w:rsidRDefault="007962EB" w:rsidP="007017D3">
      <w:pPr>
        <w:pStyle w:val="ListParagraph"/>
        <w:numPr>
          <w:ilvl w:val="0"/>
          <w:numId w:val="31"/>
        </w:numPr>
        <w:spacing w:after="0"/>
        <w:jc w:val="both"/>
      </w:pPr>
      <w:r w:rsidRPr="002A6806">
        <w:t>Ties – Tie bars of 13mm diameter, 1000mm length and 1000mm spacing centre to centre.</w:t>
      </w:r>
    </w:p>
    <w:p w:rsidR="007962EB" w:rsidRPr="002A6806" w:rsidRDefault="007962EB" w:rsidP="007017D3">
      <w:pPr>
        <w:spacing w:after="0"/>
        <w:jc w:val="both"/>
      </w:pPr>
    </w:p>
    <w:p w:rsidR="00856199" w:rsidRPr="002A6806" w:rsidRDefault="00795AE1" w:rsidP="007017D3">
      <w:pPr>
        <w:spacing w:after="0"/>
        <w:jc w:val="both"/>
      </w:pPr>
      <w:r w:rsidRPr="002A6806">
        <w:t xml:space="preserve">The condition of bonded or </w:t>
      </w:r>
      <w:proofErr w:type="spellStart"/>
      <w:r w:rsidRPr="002A6806">
        <w:t>unbonded</w:t>
      </w:r>
      <w:proofErr w:type="spellEnd"/>
      <w:r w:rsidRPr="002A6806">
        <w:t xml:space="preserve"> boundary condition between base and subbase is not specifically stated in the literature and is to be selected based on worst case temperature differential of the site in which the pavement is to be constructed. The study by </w:t>
      </w:r>
      <w:proofErr w:type="spellStart"/>
      <w:r w:rsidRPr="002A6806">
        <w:t>Darestani</w:t>
      </w:r>
      <w:proofErr w:type="spellEnd"/>
      <w:r w:rsidRPr="002A6806">
        <w:t xml:space="preserve"> et al. (2006) found that benefits offered by </w:t>
      </w:r>
      <w:proofErr w:type="spellStart"/>
      <w:r w:rsidRPr="002A6806">
        <w:t>unbonded</w:t>
      </w:r>
      <w:proofErr w:type="spellEnd"/>
      <w:r w:rsidRPr="002A6806">
        <w:t xml:space="preserve"> boundary conditions cease at a certain value of temperature differential. Therefore, both </w:t>
      </w:r>
      <w:proofErr w:type="spellStart"/>
      <w:r w:rsidRPr="002A6806">
        <w:t>b</w:t>
      </w:r>
      <w:r w:rsidR="007962EB" w:rsidRPr="002A6806">
        <w:t>oth</w:t>
      </w:r>
      <w:proofErr w:type="spellEnd"/>
      <w:r w:rsidR="007962EB" w:rsidRPr="002A6806">
        <w:t xml:space="preserve"> bonded and </w:t>
      </w:r>
      <w:proofErr w:type="spellStart"/>
      <w:r w:rsidR="007962EB" w:rsidRPr="002A6806">
        <w:t>unbonded</w:t>
      </w:r>
      <w:proofErr w:type="spellEnd"/>
      <w:r w:rsidR="007962EB" w:rsidRPr="002A6806">
        <w:t xml:space="preserve"> conditions were examined in this study to determine impact on rigid pavement response and induced stresses. For the </w:t>
      </w:r>
      <w:proofErr w:type="spellStart"/>
      <w:r w:rsidR="007962EB" w:rsidRPr="002A6806">
        <w:t>unbonded</w:t>
      </w:r>
      <w:proofErr w:type="spellEnd"/>
      <w:r w:rsidR="007962EB" w:rsidRPr="002A6806">
        <w:t xml:space="preserve"> condition it</w:t>
      </w:r>
      <w:r w:rsidR="00886802" w:rsidRPr="002A6806">
        <w:t xml:space="preserve"> was</w:t>
      </w:r>
      <w:r w:rsidR="007962EB" w:rsidRPr="002A6806">
        <w:t xml:space="preserve"> assumed that a frictionless interface exists with no shear transfer between ba</w:t>
      </w:r>
      <w:r w:rsidR="00886802" w:rsidRPr="002A6806">
        <w:t xml:space="preserve">se and subbase. </w:t>
      </w:r>
      <w:r w:rsidR="007962EB" w:rsidRPr="002A6806">
        <w:t xml:space="preserve">A tensionless subgrade condition was also assumed as per the studies by </w:t>
      </w:r>
      <w:proofErr w:type="spellStart"/>
      <w:r w:rsidR="007962EB" w:rsidRPr="002A6806">
        <w:t>Darestani</w:t>
      </w:r>
      <w:proofErr w:type="spellEnd"/>
      <w:r w:rsidR="007962EB" w:rsidRPr="002A6806">
        <w:t xml:space="preserve"> et al. (2006). </w:t>
      </w:r>
    </w:p>
    <w:p w:rsidR="00856199" w:rsidRPr="002A6806" w:rsidRDefault="00856199" w:rsidP="007017D3">
      <w:pPr>
        <w:pStyle w:val="Heading1"/>
        <w:ind w:left="0" w:firstLine="0"/>
        <w:jc w:val="both"/>
      </w:pPr>
      <w:r w:rsidRPr="002A6806">
        <w:lastRenderedPageBreak/>
        <w:t xml:space="preserve">Pavement analysis and results </w:t>
      </w:r>
    </w:p>
    <w:p w:rsidR="00DF3584" w:rsidRPr="002A6806" w:rsidRDefault="00D73570" w:rsidP="007017D3">
      <w:pPr>
        <w:pStyle w:val="Heading2"/>
        <w:jc w:val="both"/>
        <w:rPr>
          <w:lang w:val="en-US"/>
        </w:rPr>
      </w:pPr>
      <w:r w:rsidRPr="002A6806">
        <w:t>Comparison between</w:t>
      </w:r>
      <w:r w:rsidR="00DF3584" w:rsidRPr="002A6806">
        <w:t xml:space="preserve"> Austroads and EverFE</w:t>
      </w:r>
    </w:p>
    <w:p w:rsidR="00795AE1" w:rsidRPr="002A6806" w:rsidRDefault="00856199" w:rsidP="007017D3">
      <w:pPr>
        <w:spacing w:after="0"/>
        <w:jc w:val="both"/>
      </w:pPr>
      <w:r w:rsidRPr="002A6806">
        <w:t xml:space="preserve">EverFE </w:t>
      </w:r>
      <w:r w:rsidR="008D330F" w:rsidRPr="002A6806">
        <w:t>was</w:t>
      </w:r>
      <w:r w:rsidRPr="002A6806">
        <w:t xml:space="preserve"> used to model the response of a rigid pavement configuration to the current allowable loading conditions for the axle configurations specified. The axles were </w:t>
      </w:r>
      <w:r w:rsidR="00914063" w:rsidRPr="002A6806">
        <w:t>input</w:t>
      </w:r>
      <w:r w:rsidRPr="002A6806">
        <w:t xml:space="preserve"> into EverFE using the load parameters as specified in Table 4. Axle loading was positioned in the centre of the loaded slab, 600</w:t>
      </w:r>
      <w:r w:rsidR="001D16EE" w:rsidRPr="002A6806">
        <w:t xml:space="preserve"> </w:t>
      </w:r>
      <w:r w:rsidRPr="002A6806">
        <w:t>mm from the edge line. The</w:t>
      </w:r>
      <w:r w:rsidR="00D73570" w:rsidRPr="002A6806">
        <w:t xml:space="preserve"> EverFE</w:t>
      </w:r>
      <w:r w:rsidRPr="002A6806">
        <w:t xml:space="preserve"> </w:t>
      </w:r>
      <w:r w:rsidR="00D73570" w:rsidRPr="002A6806">
        <w:t>maximum tensile stress values</w:t>
      </w:r>
      <w:r w:rsidRPr="002A6806">
        <w:t xml:space="preserve">, </w:t>
      </w:r>
      <w:r w:rsidR="00D73570" w:rsidRPr="002A6806">
        <w:t xml:space="preserve">as </w:t>
      </w:r>
      <w:r w:rsidRPr="002A6806">
        <w:t xml:space="preserve">shown in Table </w:t>
      </w:r>
      <w:r w:rsidR="00795AE1" w:rsidRPr="002A6806">
        <w:t>5</w:t>
      </w:r>
      <w:r w:rsidR="00D73570" w:rsidRPr="002A6806">
        <w:t>,</w:t>
      </w:r>
      <w:r w:rsidRPr="002A6806">
        <w:t xml:space="preserve"> were </w:t>
      </w:r>
      <w:r w:rsidR="00D73570" w:rsidRPr="002A6806">
        <w:t>compared with the equivalent stress values from Austroads.</w:t>
      </w:r>
      <w:r w:rsidRPr="002A6806">
        <w:t xml:space="preserve"> </w:t>
      </w:r>
    </w:p>
    <w:p w:rsidR="00795AE1" w:rsidRPr="002A6806" w:rsidRDefault="00795AE1" w:rsidP="007017D3">
      <w:pPr>
        <w:spacing w:after="0"/>
        <w:jc w:val="both"/>
      </w:pPr>
    </w:p>
    <w:p w:rsidR="00795AE1" w:rsidRPr="002A6806" w:rsidRDefault="00795AE1" w:rsidP="007017D3">
      <w:pPr>
        <w:spacing w:after="0"/>
        <w:jc w:val="both"/>
        <w:rPr>
          <w:rFonts w:cs="Arial"/>
          <w:b/>
          <w:bCs/>
          <w:i/>
        </w:rPr>
      </w:pPr>
      <w:r w:rsidRPr="002A6806">
        <w:rPr>
          <w:rFonts w:cs="Arial"/>
          <w:b/>
          <w:bCs/>
          <w:i/>
        </w:rPr>
        <w:t xml:space="preserve">Table 5: </w:t>
      </w:r>
      <w:r w:rsidR="00D73570" w:rsidRPr="002A6806">
        <w:rPr>
          <w:rFonts w:cs="Arial"/>
          <w:b/>
          <w:bCs/>
          <w:i/>
        </w:rPr>
        <w:t>Comparison of stresses</w:t>
      </w:r>
      <w:r w:rsidR="00DF6749" w:rsidRPr="002A6806">
        <w:rPr>
          <w:rFonts w:cs="Arial"/>
          <w:b/>
          <w:bCs/>
          <w:i/>
        </w:rPr>
        <w:t xml:space="preserve"> for current traffic loading</w:t>
      </w:r>
    </w:p>
    <w:p w:rsidR="00795AE1" w:rsidRPr="002A6806" w:rsidRDefault="00795AE1" w:rsidP="007017D3">
      <w:pPr>
        <w:spacing w:after="0"/>
        <w:jc w:val="both"/>
        <w:rPr>
          <w:rFonts w:cs="Arial"/>
        </w:rPr>
      </w:pPr>
    </w:p>
    <w:tbl>
      <w:tblPr>
        <w:tblStyle w:val="TableGrid2"/>
        <w:tblW w:w="0" w:type="auto"/>
        <w:tblInd w:w="250" w:type="dxa"/>
        <w:tblLook w:val="04A0" w:firstRow="1" w:lastRow="0" w:firstColumn="1" w:lastColumn="0" w:noHBand="0" w:noVBand="1"/>
      </w:tblPr>
      <w:tblGrid>
        <w:gridCol w:w="1418"/>
        <w:gridCol w:w="2122"/>
        <w:gridCol w:w="1895"/>
        <w:gridCol w:w="1895"/>
      </w:tblGrid>
      <w:tr w:rsidR="00795AE1" w:rsidRPr="002A6806" w:rsidTr="008D330F">
        <w:trPr>
          <w:trHeight w:val="20"/>
        </w:trPr>
        <w:tc>
          <w:tcPr>
            <w:tcW w:w="1418" w:type="dxa"/>
            <w:vMerge w:val="restart"/>
          </w:tcPr>
          <w:p w:rsidR="00795AE1" w:rsidRPr="002A6806" w:rsidRDefault="00795AE1" w:rsidP="008D330F">
            <w:pPr>
              <w:spacing w:after="0"/>
              <w:jc w:val="center"/>
              <w:rPr>
                <w:rFonts w:cs="Arial"/>
                <w:kern w:val="0"/>
                <w:sz w:val="20"/>
                <w:szCs w:val="20"/>
              </w:rPr>
            </w:pPr>
          </w:p>
          <w:p w:rsidR="00795AE1" w:rsidRPr="002A6806" w:rsidRDefault="00795AE1" w:rsidP="008D330F">
            <w:pPr>
              <w:spacing w:after="0"/>
              <w:jc w:val="center"/>
              <w:rPr>
                <w:rFonts w:cs="Arial"/>
                <w:b/>
                <w:kern w:val="0"/>
                <w:sz w:val="20"/>
                <w:szCs w:val="20"/>
              </w:rPr>
            </w:pPr>
            <w:r w:rsidRPr="002A6806">
              <w:rPr>
                <w:rFonts w:cs="Arial"/>
                <w:b/>
                <w:kern w:val="0"/>
                <w:sz w:val="20"/>
                <w:szCs w:val="20"/>
              </w:rPr>
              <w:t xml:space="preserve">Axle </w:t>
            </w:r>
            <w:r w:rsidR="00B97A2A" w:rsidRPr="002A6806">
              <w:rPr>
                <w:rFonts w:cs="Arial"/>
                <w:b/>
                <w:kern w:val="0"/>
                <w:sz w:val="20"/>
                <w:szCs w:val="20"/>
              </w:rPr>
              <w:t>group</w:t>
            </w:r>
          </w:p>
        </w:tc>
        <w:tc>
          <w:tcPr>
            <w:tcW w:w="5912" w:type="dxa"/>
            <w:gridSpan w:val="3"/>
          </w:tcPr>
          <w:p w:rsidR="00795AE1" w:rsidRPr="002A6806" w:rsidRDefault="00795AE1" w:rsidP="008D330F">
            <w:pPr>
              <w:spacing w:after="0"/>
              <w:jc w:val="center"/>
              <w:rPr>
                <w:rFonts w:cs="Arial"/>
                <w:b/>
                <w:kern w:val="0"/>
                <w:sz w:val="20"/>
                <w:szCs w:val="20"/>
              </w:rPr>
            </w:pPr>
            <w:r w:rsidRPr="002A6806">
              <w:rPr>
                <w:rFonts w:cs="Arial"/>
                <w:b/>
                <w:kern w:val="0"/>
                <w:sz w:val="20"/>
                <w:szCs w:val="20"/>
              </w:rPr>
              <w:t>Stress in MPa</w:t>
            </w:r>
          </w:p>
        </w:tc>
      </w:tr>
      <w:tr w:rsidR="00795AE1" w:rsidRPr="002A6806" w:rsidTr="008D330F">
        <w:trPr>
          <w:trHeight w:val="20"/>
        </w:trPr>
        <w:tc>
          <w:tcPr>
            <w:tcW w:w="1418" w:type="dxa"/>
            <w:vMerge/>
          </w:tcPr>
          <w:p w:rsidR="00795AE1" w:rsidRPr="002A6806" w:rsidRDefault="00795AE1" w:rsidP="008D330F">
            <w:pPr>
              <w:spacing w:after="0"/>
              <w:jc w:val="center"/>
              <w:rPr>
                <w:rFonts w:cs="Arial"/>
                <w:kern w:val="0"/>
                <w:sz w:val="20"/>
                <w:szCs w:val="20"/>
              </w:rPr>
            </w:pPr>
          </w:p>
        </w:tc>
        <w:tc>
          <w:tcPr>
            <w:tcW w:w="2122" w:type="dxa"/>
          </w:tcPr>
          <w:p w:rsidR="0039268E" w:rsidRPr="002A6806" w:rsidRDefault="0039268E" w:rsidP="008D330F">
            <w:pPr>
              <w:spacing w:after="0"/>
              <w:jc w:val="center"/>
              <w:rPr>
                <w:rFonts w:cs="Arial"/>
                <w:b/>
                <w:kern w:val="0"/>
                <w:sz w:val="20"/>
                <w:szCs w:val="20"/>
              </w:rPr>
            </w:pPr>
          </w:p>
          <w:p w:rsidR="00795AE1" w:rsidRPr="002A6806" w:rsidRDefault="00795AE1" w:rsidP="008D330F">
            <w:pPr>
              <w:spacing w:after="0"/>
              <w:jc w:val="center"/>
              <w:rPr>
                <w:rFonts w:cs="Arial"/>
                <w:b/>
                <w:kern w:val="0"/>
                <w:sz w:val="20"/>
                <w:szCs w:val="20"/>
              </w:rPr>
            </w:pPr>
            <w:r w:rsidRPr="002A6806">
              <w:rPr>
                <w:rFonts w:cs="Arial"/>
                <w:b/>
                <w:kern w:val="0"/>
                <w:sz w:val="20"/>
                <w:szCs w:val="20"/>
              </w:rPr>
              <w:t>Austroads</w:t>
            </w:r>
          </w:p>
          <w:p w:rsidR="006B02A9" w:rsidRPr="002A6806" w:rsidRDefault="00F5699A" w:rsidP="008D330F">
            <w:pPr>
              <w:spacing w:after="0"/>
              <w:jc w:val="center"/>
              <w:rPr>
                <w:rFonts w:cs="Arial"/>
                <w:b/>
                <w:kern w:val="0"/>
                <w:sz w:val="20"/>
                <w:szCs w:val="20"/>
              </w:rPr>
            </w:pPr>
            <w:r w:rsidRPr="002A6806">
              <w:rPr>
                <w:rFonts w:cs="Arial"/>
                <w:b/>
                <w:kern w:val="0"/>
                <w:sz w:val="20"/>
                <w:szCs w:val="20"/>
              </w:rPr>
              <w:t>E</w:t>
            </w:r>
            <w:r w:rsidR="006B02A9" w:rsidRPr="002A6806">
              <w:rPr>
                <w:rFonts w:cs="Arial"/>
                <w:b/>
                <w:kern w:val="0"/>
                <w:sz w:val="20"/>
                <w:szCs w:val="20"/>
              </w:rPr>
              <w:t>quivalent</w:t>
            </w:r>
          </w:p>
          <w:p w:rsidR="006B02A9" w:rsidRPr="002A6806" w:rsidRDefault="006B02A9" w:rsidP="008D330F">
            <w:pPr>
              <w:spacing w:after="0"/>
              <w:jc w:val="center"/>
              <w:rPr>
                <w:rFonts w:cs="Arial"/>
                <w:b/>
                <w:kern w:val="0"/>
                <w:sz w:val="20"/>
                <w:szCs w:val="20"/>
              </w:rPr>
            </w:pPr>
            <w:r w:rsidRPr="002A6806">
              <w:rPr>
                <w:rFonts w:cs="Arial"/>
                <w:b/>
                <w:kern w:val="0"/>
                <w:sz w:val="20"/>
                <w:szCs w:val="20"/>
              </w:rPr>
              <w:t>stress</w:t>
            </w:r>
          </w:p>
        </w:tc>
        <w:tc>
          <w:tcPr>
            <w:tcW w:w="1895" w:type="dxa"/>
          </w:tcPr>
          <w:p w:rsidR="0039268E" w:rsidRPr="002A6806" w:rsidRDefault="0039268E" w:rsidP="008D330F">
            <w:pPr>
              <w:spacing w:after="0"/>
              <w:jc w:val="center"/>
              <w:rPr>
                <w:rFonts w:cs="Arial"/>
                <w:b/>
                <w:kern w:val="0"/>
                <w:sz w:val="20"/>
                <w:szCs w:val="20"/>
              </w:rPr>
            </w:pPr>
          </w:p>
          <w:p w:rsidR="0039268E" w:rsidRPr="002A6806" w:rsidRDefault="00795AE1" w:rsidP="008D330F">
            <w:pPr>
              <w:spacing w:after="0"/>
              <w:jc w:val="center"/>
              <w:rPr>
                <w:rFonts w:cs="Arial"/>
                <w:b/>
                <w:kern w:val="0"/>
                <w:sz w:val="20"/>
                <w:szCs w:val="20"/>
              </w:rPr>
            </w:pPr>
            <w:r w:rsidRPr="002A6806">
              <w:rPr>
                <w:rFonts w:cs="Arial"/>
                <w:b/>
                <w:kern w:val="0"/>
                <w:sz w:val="20"/>
                <w:szCs w:val="20"/>
              </w:rPr>
              <w:t>EverFE</w:t>
            </w:r>
          </w:p>
          <w:p w:rsidR="006B02A9" w:rsidRPr="002A6806" w:rsidRDefault="0039268E" w:rsidP="008D330F">
            <w:pPr>
              <w:spacing w:after="0"/>
              <w:jc w:val="center"/>
              <w:rPr>
                <w:rFonts w:cs="Arial"/>
                <w:b/>
                <w:kern w:val="0"/>
                <w:sz w:val="20"/>
                <w:szCs w:val="20"/>
              </w:rPr>
            </w:pPr>
            <w:r w:rsidRPr="002A6806">
              <w:rPr>
                <w:rFonts w:cs="Arial"/>
                <w:b/>
                <w:kern w:val="0"/>
                <w:sz w:val="20"/>
                <w:szCs w:val="20"/>
              </w:rPr>
              <w:t>(Bonded)</w:t>
            </w:r>
          </w:p>
          <w:p w:rsidR="008D330F" w:rsidRPr="002A6806" w:rsidRDefault="00F5699A" w:rsidP="008D330F">
            <w:pPr>
              <w:spacing w:after="0"/>
              <w:jc w:val="center"/>
              <w:rPr>
                <w:rFonts w:cs="Arial"/>
                <w:b/>
                <w:kern w:val="0"/>
                <w:sz w:val="20"/>
                <w:szCs w:val="20"/>
              </w:rPr>
            </w:pPr>
            <w:r w:rsidRPr="002A6806">
              <w:rPr>
                <w:rFonts w:cs="Arial"/>
                <w:b/>
                <w:kern w:val="0"/>
                <w:sz w:val="20"/>
                <w:szCs w:val="20"/>
              </w:rPr>
              <w:t>M</w:t>
            </w:r>
            <w:r w:rsidR="006B02A9" w:rsidRPr="002A6806">
              <w:rPr>
                <w:rFonts w:cs="Arial"/>
                <w:b/>
                <w:kern w:val="0"/>
                <w:sz w:val="20"/>
                <w:szCs w:val="20"/>
              </w:rPr>
              <w:t xml:space="preserve">aximum </w:t>
            </w:r>
            <w:r w:rsidR="008D330F" w:rsidRPr="002A6806">
              <w:rPr>
                <w:rFonts w:cs="Arial"/>
                <w:b/>
                <w:kern w:val="0"/>
                <w:sz w:val="20"/>
                <w:szCs w:val="20"/>
              </w:rPr>
              <w:t xml:space="preserve">tensile </w:t>
            </w:r>
            <w:r w:rsidR="006B02A9" w:rsidRPr="002A6806">
              <w:rPr>
                <w:rFonts w:cs="Arial"/>
                <w:b/>
                <w:kern w:val="0"/>
                <w:sz w:val="20"/>
                <w:szCs w:val="20"/>
              </w:rPr>
              <w:t>stress</w:t>
            </w:r>
          </w:p>
          <w:p w:rsidR="00795AE1" w:rsidRPr="002A6806" w:rsidRDefault="00795AE1" w:rsidP="008D330F">
            <w:pPr>
              <w:spacing w:after="0"/>
              <w:jc w:val="center"/>
              <w:rPr>
                <w:rFonts w:cs="Arial"/>
                <w:b/>
                <w:kern w:val="0"/>
                <w:sz w:val="20"/>
                <w:szCs w:val="20"/>
              </w:rPr>
            </w:pPr>
          </w:p>
        </w:tc>
        <w:tc>
          <w:tcPr>
            <w:tcW w:w="1895" w:type="dxa"/>
          </w:tcPr>
          <w:p w:rsidR="0039268E" w:rsidRPr="002A6806" w:rsidRDefault="0039268E" w:rsidP="008D330F">
            <w:pPr>
              <w:spacing w:after="0"/>
              <w:jc w:val="center"/>
              <w:rPr>
                <w:rFonts w:cs="Arial"/>
                <w:b/>
                <w:kern w:val="0"/>
                <w:sz w:val="20"/>
                <w:szCs w:val="20"/>
              </w:rPr>
            </w:pPr>
          </w:p>
          <w:p w:rsidR="0039268E" w:rsidRPr="002A6806" w:rsidRDefault="00795AE1" w:rsidP="008D330F">
            <w:pPr>
              <w:spacing w:after="0"/>
              <w:jc w:val="center"/>
              <w:rPr>
                <w:rFonts w:cs="Arial"/>
                <w:b/>
                <w:kern w:val="0"/>
                <w:sz w:val="20"/>
                <w:szCs w:val="20"/>
              </w:rPr>
            </w:pPr>
            <w:r w:rsidRPr="002A6806">
              <w:rPr>
                <w:rFonts w:cs="Arial"/>
                <w:b/>
                <w:kern w:val="0"/>
                <w:sz w:val="20"/>
                <w:szCs w:val="20"/>
              </w:rPr>
              <w:t>EverFE</w:t>
            </w:r>
          </w:p>
          <w:p w:rsidR="006B02A9" w:rsidRPr="002A6806" w:rsidRDefault="0039268E" w:rsidP="008D330F">
            <w:pPr>
              <w:spacing w:after="0"/>
              <w:jc w:val="center"/>
              <w:rPr>
                <w:rFonts w:cs="Arial"/>
                <w:b/>
                <w:kern w:val="0"/>
                <w:sz w:val="20"/>
                <w:szCs w:val="20"/>
              </w:rPr>
            </w:pPr>
            <w:r w:rsidRPr="002A6806">
              <w:rPr>
                <w:rFonts w:cs="Arial"/>
                <w:b/>
                <w:kern w:val="0"/>
                <w:sz w:val="20"/>
                <w:szCs w:val="20"/>
              </w:rPr>
              <w:t>(Unbonded)</w:t>
            </w:r>
          </w:p>
          <w:p w:rsidR="006B02A9" w:rsidRPr="002A6806" w:rsidRDefault="00F5699A" w:rsidP="008D330F">
            <w:pPr>
              <w:spacing w:after="0"/>
              <w:jc w:val="center"/>
              <w:rPr>
                <w:rFonts w:cs="Arial"/>
                <w:b/>
                <w:kern w:val="0"/>
                <w:sz w:val="20"/>
                <w:szCs w:val="20"/>
              </w:rPr>
            </w:pPr>
            <w:r w:rsidRPr="002A6806">
              <w:rPr>
                <w:rFonts w:cs="Arial"/>
                <w:b/>
                <w:kern w:val="0"/>
                <w:sz w:val="20"/>
                <w:szCs w:val="20"/>
              </w:rPr>
              <w:t>M</w:t>
            </w:r>
            <w:r w:rsidR="006B02A9" w:rsidRPr="002A6806">
              <w:rPr>
                <w:rFonts w:cs="Arial"/>
                <w:b/>
                <w:kern w:val="0"/>
                <w:sz w:val="20"/>
                <w:szCs w:val="20"/>
              </w:rPr>
              <w:t>aximum</w:t>
            </w:r>
            <w:r w:rsidR="008D330F" w:rsidRPr="002A6806">
              <w:rPr>
                <w:rFonts w:cs="Arial"/>
                <w:b/>
                <w:kern w:val="0"/>
                <w:sz w:val="20"/>
                <w:szCs w:val="20"/>
              </w:rPr>
              <w:t xml:space="preserve"> tensile</w:t>
            </w:r>
          </w:p>
          <w:p w:rsidR="00795AE1" w:rsidRPr="002A6806" w:rsidRDefault="006B02A9" w:rsidP="0039268E">
            <w:pPr>
              <w:spacing w:after="0"/>
              <w:jc w:val="center"/>
              <w:rPr>
                <w:rFonts w:cs="Arial"/>
                <w:b/>
                <w:kern w:val="0"/>
                <w:sz w:val="20"/>
                <w:szCs w:val="20"/>
              </w:rPr>
            </w:pPr>
            <w:r w:rsidRPr="002A6806">
              <w:rPr>
                <w:rFonts w:cs="Arial"/>
                <w:b/>
                <w:kern w:val="0"/>
                <w:sz w:val="20"/>
                <w:szCs w:val="20"/>
              </w:rPr>
              <w:t xml:space="preserve">stress </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SAST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0.627</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0.521</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0.904</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TAST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0.627</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0.448</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0.759</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SADT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0.957</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0.705</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1.230</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TADT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0.802</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0.603</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1.036</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TRDT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0.633</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0.363</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0.644</w:t>
            </w:r>
          </w:p>
        </w:tc>
      </w:tr>
      <w:tr w:rsidR="00795AE1" w:rsidRPr="002A6806" w:rsidTr="008D330F">
        <w:trPr>
          <w:trHeight w:val="20"/>
        </w:trPr>
        <w:tc>
          <w:tcPr>
            <w:tcW w:w="1418" w:type="dxa"/>
          </w:tcPr>
          <w:p w:rsidR="00795AE1" w:rsidRPr="002A6806" w:rsidRDefault="00795AE1" w:rsidP="008D330F">
            <w:pPr>
              <w:spacing w:after="0"/>
              <w:jc w:val="center"/>
              <w:rPr>
                <w:rFonts w:cs="Arial"/>
                <w:kern w:val="0"/>
                <w:sz w:val="20"/>
                <w:szCs w:val="20"/>
              </w:rPr>
            </w:pPr>
            <w:r w:rsidRPr="002A6806">
              <w:rPr>
                <w:rFonts w:cs="Arial"/>
                <w:kern w:val="0"/>
                <w:sz w:val="20"/>
                <w:szCs w:val="20"/>
              </w:rPr>
              <w:t>QADT</w:t>
            </w:r>
          </w:p>
        </w:tc>
        <w:tc>
          <w:tcPr>
            <w:tcW w:w="2122" w:type="dxa"/>
          </w:tcPr>
          <w:p w:rsidR="00795AE1" w:rsidRPr="002A6806" w:rsidRDefault="00795AE1" w:rsidP="008D330F">
            <w:pPr>
              <w:spacing w:after="0"/>
              <w:jc w:val="center"/>
              <w:rPr>
                <w:rFonts w:cs="Arial"/>
                <w:kern w:val="0"/>
                <w:sz w:val="20"/>
                <w:szCs w:val="20"/>
              </w:rPr>
            </w:pPr>
            <w:r w:rsidRPr="002A6806">
              <w:rPr>
                <w:rFonts w:cs="Arial"/>
                <w:kern w:val="0"/>
                <w:sz w:val="20"/>
                <w:szCs w:val="20"/>
              </w:rPr>
              <w:t>0.633</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0.437</w:t>
            </w:r>
          </w:p>
        </w:tc>
        <w:tc>
          <w:tcPr>
            <w:tcW w:w="1895" w:type="dxa"/>
          </w:tcPr>
          <w:p w:rsidR="00795AE1" w:rsidRPr="002A6806" w:rsidRDefault="00795AE1" w:rsidP="008D330F">
            <w:pPr>
              <w:spacing w:after="0"/>
              <w:jc w:val="center"/>
              <w:rPr>
                <w:rFonts w:cs="Arial"/>
                <w:kern w:val="0"/>
                <w:sz w:val="20"/>
                <w:szCs w:val="20"/>
              </w:rPr>
            </w:pPr>
            <w:r w:rsidRPr="002A6806">
              <w:rPr>
                <w:rFonts w:cs="Arial"/>
                <w:kern w:val="0"/>
                <w:sz w:val="20"/>
                <w:szCs w:val="20"/>
              </w:rPr>
              <w:t>0.765</w:t>
            </w:r>
          </w:p>
        </w:tc>
      </w:tr>
    </w:tbl>
    <w:p w:rsidR="00795AE1" w:rsidRPr="002A6806" w:rsidRDefault="00795AE1" w:rsidP="007017D3">
      <w:pPr>
        <w:spacing w:after="0"/>
        <w:jc w:val="both"/>
        <w:rPr>
          <w:rFonts w:cs="Arial"/>
        </w:rPr>
      </w:pPr>
    </w:p>
    <w:p w:rsidR="00795AE1" w:rsidRPr="002A6806" w:rsidRDefault="00795AE1" w:rsidP="007017D3">
      <w:pPr>
        <w:spacing w:after="0"/>
        <w:jc w:val="both"/>
      </w:pPr>
      <w:r w:rsidRPr="002A6806">
        <w:t xml:space="preserve">It can be seen that </w:t>
      </w:r>
      <w:r w:rsidR="00D73570" w:rsidRPr="002A6806">
        <w:t xml:space="preserve">EverFE for </w:t>
      </w:r>
      <w:r w:rsidRPr="002A6806">
        <w:t xml:space="preserve">an </w:t>
      </w:r>
      <w:proofErr w:type="spellStart"/>
      <w:r w:rsidRPr="002A6806">
        <w:t>unbonded</w:t>
      </w:r>
      <w:proofErr w:type="spellEnd"/>
      <w:r w:rsidRPr="002A6806">
        <w:t xml:space="preserve"> boundary condition results in higher</w:t>
      </w:r>
      <w:r w:rsidR="00D73570" w:rsidRPr="002A6806">
        <w:t>,</w:t>
      </w:r>
      <w:r w:rsidRPr="002A6806">
        <w:t xml:space="preserve"> and </w:t>
      </w:r>
      <w:r w:rsidR="00D73570" w:rsidRPr="002A6806">
        <w:t xml:space="preserve">for </w:t>
      </w:r>
      <w:r w:rsidRPr="002A6806">
        <w:t xml:space="preserve">bonded condition produces lower </w:t>
      </w:r>
      <w:r w:rsidR="00D73570" w:rsidRPr="002A6806">
        <w:t xml:space="preserve">maximum tensile </w:t>
      </w:r>
      <w:r w:rsidR="008D330F" w:rsidRPr="002A6806">
        <w:t xml:space="preserve">stresses </w:t>
      </w:r>
      <w:r w:rsidRPr="002A6806">
        <w:t xml:space="preserve">than the Austroads equivalent stress. </w:t>
      </w:r>
      <w:r w:rsidR="0018567A" w:rsidRPr="002A6806">
        <w:rPr>
          <w:rFonts w:cs="Arial"/>
        </w:rPr>
        <w:t xml:space="preserve">The differences </w:t>
      </w:r>
      <w:r w:rsidR="0039268E" w:rsidRPr="002A6806">
        <w:rPr>
          <w:rFonts w:cs="Arial"/>
        </w:rPr>
        <w:t>between Austroads and EverFE (</w:t>
      </w:r>
      <w:proofErr w:type="spellStart"/>
      <w:r w:rsidR="0039268E" w:rsidRPr="002A6806">
        <w:rPr>
          <w:rFonts w:cs="Arial"/>
        </w:rPr>
        <w:t>unbonded</w:t>
      </w:r>
      <w:proofErr w:type="spellEnd"/>
      <w:r w:rsidR="0039268E" w:rsidRPr="002A6806">
        <w:rPr>
          <w:rFonts w:cs="Arial"/>
        </w:rPr>
        <w:t>) a</w:t>
      </w:r>
      <w:r w:rsidR="0018567A" w:rsidRPr="002A6806">
        <w:rPr>
          <w:rFonts w:cs="Arial"/>
        </w:rPr>
        <w:t xml:space="preserve">re to be expected due to the fact that the </w:t>
      </w:r>
      <w:r w:rsidR="0039268E" w:rsidRPr="002A6806">
        <w:rPr>
          <w:rFonts w:cs="Arial"/>
        </w:rPr>
        <w:t xml:space="preserve">former </w:t>
      </w:r>
      <w:r w:rsidR="0018567A" w:rsidRPr="002A6806">
        <w:t>considers the distribution of wheel truck in transverse direction</w:t>
      </w:r>
      <w:r w:rsidR="0039268E" w:rsidRPr="002A6806">
        <w:t>.</w:t>
      </w:r>
      <w:r w:rsidR="0018567A" w:rsidRPr="002A6806">
        <w:t xml:space="preserve"> </w:t>
      </w:r>
      <w:r w:rsidRPr="002A6806">
        <w:t xml:space="preserve">As Austroads </w:t>
      </w:r>
      <w:r w:rsidR="008D330F" w:rsidRPr="002A6806">
        <w:t>(2012) assumes</w:t>
      </w:r>
      <w:r w:rsidRPr="002A6806">
        <w:t xml:space="preserve"> </w:t>
      </w:r>
      <w:proofErr w:type="spellStart"/>
      <w:r w:rsidRPr="002A6806">
        <w:t>unbonded</w:t>
      </w:r>
      <w:proofErr w:type="spellEnd"/>
      <w:r w:rsidRPr="002A6806">
        <w:t xml:space="preserve"> boundary condition between base and subbase,</w:t>
      </w:r>
      <w:r w:rsidR="008D330F" w:rsidRPr="002A6806">
        <w:t xml:space="preserve"> the subsequent </w:t>
      </w:r>
      <w:r w:rsidR="00BC2ABA" w:rsidRPr="002A6806">
        <w:t xml:space="preserve">discussions on the effects of wheel loading and wheel positions </w:t>
      </w:r>
      <w:r w:rsidR="008D330F" w:rsidRPr="002A6806">
        <w:t>will focus on t</w:t>
      </w:r>
      <w:r w:rsidRPr="002A6806">
        <w:t>he EverFE results for</w:t>
      </w:r>
      <w:r w:rsidR="008D330F" w:rsidRPr="002A6806">
        <w:t xml:space="preserve"> an </w:t>
      </w:r>
      <w:proofErr w:type="spellStart"/>
      <w:r w:rsidR="008D330F" w:rsidRPr="002A6806">
        <w:t>unbonded</w:t>
      </w:r>
      <w:proofErr w:type="spellEnd"/>
      <w:r w:rsidR="008D330F" w:rsidRPr="002A6806">
        <w:t xml:space="preserve"> boundary condition.</w:t>
      </w:r>
    </w:p>
    <w:p w:rsidR="006B02A9" w:rsidRPr="002A6806" w:rsidRDefault="006B02A9" w:rsidP="007017D3">
      <w:pPr>
        <w:spacing w:after="0"/>
        <w:jc w:val="both"/>
      </w:pPr>
    </w:p>
    <w:p w:rsidR="00ED2BB5" w:rsidRPr="002A6806" w:rsidRDefault="00DF6749" w:rsidP="007017D3">
      <w:pPr>
        <w:spacing w:after="0"/>
        <w:jc w:val="both"/>
      </w:pPr>
      <w:r w:rsidRPr="002A6806">
        <w:t>The r</w:t>
      </w:r>
      <w:r w:rsidR="00795AE1" w:rsidRPr="002A6806">
        <w:t xml:space="preserve">esults shown </w:t>
      </w:r>
      <w:r w:rsidR="001D16EE" w:rsidRPr="002A6806">
        <w:t>previously were based on</w:t>
      </w:r>
      <w:r w:rsidR="00795AE1" w:rsidRPr="002A6806">
        <w:t xml:space="preserve"> a finite element mesh structure of 12 elements. To determine the significance of meshing on</w:t>
      </w:r>
      <w:r w:rsidRPr="002A6806">
        <w:t xml:space="preserve"> the</w:t>
      </w:r>
      <w:r w:rsidR="00795AE1" w:rsidRPr="002A6806">
        <w:t xml:space="preserve"> results and to </w:t>
      </w:r>
      <w:r w:rsidRPr="002A6806">
        <w:t>minimise the differences</w:t>
      </w:r>
      <w:r w:rsidR="00795AE1" w:rsidRPr="002A6806">
        <w:t>, finite element meshing was increased. It was found that meshing of 13 elements presented results closer to</w:t>
      </w:r>
      <w:r w:rsidRPr="002A6806">
        <w:t xml:space="preserve"> those</w:t>
      </w:r>
      <w:r w:rsidR="00795AE1" w:rsidRPr="002A6806">
        <w:t xml:space="preserve"> of Austroads</w:t>
      </w:r>
      <w:r w:rsidRPr="002A6806">
        <w:t xml:space="preserve"> (Table 6)</w:t>
      </w:r>
      <w:r w:rsidR="00795AE1" w:rsidRPr="002A6806">
        <w:t>.</w:t>
      </w:r>
      <w:r w:rsidR="00ED2BB5" w:rsidRPr="002A6806">
        <w:t xml:space="preserve"> It can also be seen that on the average, the Austroads equivalent stress is about 11% lower than the maximum stress obtained from EverFE.</w:t>
      </w:r>
    </w:p>
    <w:p w:rsidR="00B97A2A" w:rsidRPr="002A6806" w:rsidRDefault="00B97A2A" w:rsidP="007017D3">
      <w:pPr>
        <w:spacing w:after="0"/>
        <w:jc w:val="both"/>
      </w:pPr>
    </w:p>
    <w:p w:rsidR="00DF6749" w:rsidRPr="002A6806" w:rsidRDefault="00DF6749" w:rsidP="007017D3">
      <w:pPr>
        <w:spacing w:after="0"/>
        <w:jc w:val="both"/>
        <w:rPr>
          <w:rFonts w:cs="Arial"/>
          <w:b/>
          <w:bCs/>
          <w:i/>
        </w:rPr>
      </w:pPr>
      <w:r w:rsidRPr="002A6806">
        <w:rPr>
          <w:rFonts w:cs="Arial"/>
          <w:b/>
          <w:bCs/>
          <w:i/>
        </w:rPr>
        <w:t>Table 6: Comparison between 12 elements and 13 elements in EverFE for current traffic loading</w:t>
      </w:r>
    </w:p>
    <w:p w:rsidR="00B97A2A" w:rsidRPr="002A6806" w:rsidRDefault="00B97A2A" w:rsidP="007017D3">
      <w:pPr>
        <w:spacing w:after="0"/>
        <w:jc w:val="both"/>
        <w:rPr>
          <w:rFonts w:cs="Arial"/>
        </w:rPr>
      </w:pPr>
    </w:p>
    <w:tbl>
      <w:tblPr>
        <w:tblW w:w="0" w:type="auto"/>
        <w:tblInd w:w="108" w:type="dxa"/>
        <w:tblLook w:val="04A0" w:firstRow="1" w:lastRow="0" w:firstColumn="1" w:lastColumn="0" w:noHBand="0" w:noVBand="1"/>
      </w:tblPr>
      <w:tblGrid>
        <w:gridCol w:w="816"/>
        <w:gridCol w:w="1206"/>
        <w:gridCol w:w="1394"/>
        <w:gridCol w:w="1417"/>
        <w:gridCol w:w="1362"/>
        <w:gridCol w:w="1417"/>
      </w:tblGrid>
      <w:tr w:rsidR="00B97A2A" w:rsidRPr="002A6806" w:rsidTr="0039268E">
        <w:trPr>
          <w:trHeight w:val="20"/>
        </w:trPr>
        <w:tc>
          <w:tcPr>
            <w:tcW w:w="0" w:type="auto"/>
            <w:tcBorders>
              <w:top w:val="single" w:sz="4" w:space="0" w:color="auto"/>
              <w:left w:val="single" w:sz="4" w:space="0" w:color="auto"/>
              <w:bottom w:val="single" w:sz="4" w:space="0" w:color="auto"/>
              <w:right w:val="single" w:sz="4" w:space="0" w:color="auto"/>
            </w:tcBorders>
          </w:tcPr>
          <w:p w:rsidR="00B97A2A" w:rsidRPr="002A6806" w:rsidRDefault="00B97A2A" w:rsidP="001D16EE">
            <w:pPr>
              <w:spacing w:after="0"/>
              <w:jc w:val="center"/>
              <w:rPr>
                <w:rFonts w:cs="Arial"/>
                <w:b/>
                <w:bCs/>
                <w:color w:val="000000"/>
                <w:kern w:val="0"/>
              </w:rPr>
            </w:pPr>
          </w:p>
          <w:p w:rsidR="0039268E" w:rsidRPr="002A6806" w:rsidRDefault="0039268E" w:rsidP="001D16EE">
            <w:pPr>
              <w:spacing w:after="0"/>
              <w:jc w:val="center"/>
              <w:rPr>
                <w:rFonts w:cs="Arial"/>
                <w:b/>
                <w:bCs/>
                <w:color w:val="000000"/>
                <w:kern w:val="0"/>
              </w:rPr>
            </w:pPr>
            <w:r w:rsidRPr="002A6806">
              <w:rPr>
                <w:rFonts w:cs="Arial"/>
                <w:b/>
                <w:bCs/>
                <w:color w:val="000000"/>
                <w:kern w:val="0"/>
              </w:rPr>
              <w:t xml:space="preserve">Axle </w:t>
            </w:r>
          </w:p>
          <w:p w:rsidR="0039268E" w:rsidRPr="002A6806" w:rsidRDefault="0039268E" w:rsidP="001D16EE">
            <w:pPr>
              <w:spacing w:after="0"/>
              <w:jc w:val="center"/>
              <w:rPr>
                <w:rFonts w:cs="Arial"/>
                <w:b/>
                <w:bCs/>
                <w:color w:val="000000"/>
                <w:kern w:val="0"/>
              </w:rPr>
            </w:pPr>
            <w:r w:rsidRPr="002A6806">
              <w:rPr>
                <w:rFonts w:cs="Arial"/>
                <w:b/>
                <w:bCs/>
                <w:color w:val="000000"/>
                <w:kern w:val="0"/>
              </w:rPr>
              <w:t>Group</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B02A9" w:rsidRPr="002A6806" w:rsidRDefault="006B02A9" w:rsidP="001D16EE">
            <w:pPr>
              <w:spacing w:after="0"/>
              <w:jc w:val="center"/>
              <w:rPr>
                <w:rFonts w:cs="Arial"/>
                <w:b/>
                <w:bCs/>
                <w:color w:val="000000"/>
                <w:kern w:val="0"/>
              </w:rPr>
            </w:pPr>
          </w:p>
          <w:p w:rsidR="00DF6749" w:rsidRPr="002A6806" w:rsidRDefault="00B97A2A" w:rsidP="001D16EE">
            <w:pPr>
              <w:spacing w:after="0"/>
              <w:jc w:val="center"/>
              <w:rPr>
                <w:rFonts w:cs="Arial"/>
                <w:b/>
                <w:bCs/>
                <w:color w:val="000000"/>
                <w:kern w:val="0"/>
              </w:rPr>
            </w:pPr>
            <w:r w:rsidRPr="002A6806">
              <w:rPr>
                <w:rFonts w:cs="Arial"/>
                <w:b/>
                <w:bCs/>
                <w:color w:val="000000"/>
                <w:kern w:val="0"/>
              </w:rPr>
              <w:t>Austroads</w:t>
            </w:r>
          </w:p>
          <w:p w:rsidR="006B02A9" w:rsidRPr="002A6806" w:rsidRDefault="006B02A9" w:rsidP="001D16EE">
            <w:pPr>
              <w:spacing w:after="0"/>
              <w:jc w:val="center"/>
              <w:rPr>
                <w:rFonts w:cs="Arial"/>
                <w:b/>
                <w:bCs/>
                <w:color w:val="000000"/>
                <w:kern w:val="0"/>
              </w:rPr>
            </w:pPr>
            <w:r w:rsidRPr="002A6806">
              <w:rPr>
                <w:rFonts w:cs="Arial"/>
                <w:b/>
                <w:bCs/>
                <w:color w:val="000000"/>
                <w:kern w:val="0"/>
              </w:rPr>
              <w:t>equivalent</w:t>
            </w:r>
          </w:p>
          <w:p w:rsidR="006B02A9" w:rsidRPr="002A6806" w:rsidRDefault="006B02A9" w:rsidP="001D16EE">
            <w:pPr>
              <w:spacing w:after="0"/>
              <w:jc w:val="center"/>
              <w:rPr>
                <w:rFonts w:cs="Arial"/>
                <w:b/>
                <w:bCs/>
                <w:color w:val="000000"/>
                <w:kern w:val="0"/>
              </w:rPr>
            </w:pPr>
            <w:r w:rsidRPr="002A6806">
              <w:rPr>
                <w:rFonts w:cs="Arial"/>
                <w:b/>
                <w:bCs/>
                <w:color w:val="000000"/>
                <w:kern w:val="0"/>
              </w:rPr>
              <w:t>stress</w:t>
            </w:r>
          </w:p>
          <w:p w:rsidR="00DF6749" w:rsidRPr="002A6806" w:rsidRDefault="0039268E" w:rsidP="001D16EE">
            <w:pPr>
              <w:spacing w:after="0"/>
              <w:jc w:val="center"/>
              <w:rPr>
                <w:rFonts w:cs="Arial"/>
                <w:b/>
                <w:bCs/>
                <w:color w:val="000000"/>
                <w:kern w:val="0"/>
              </w:rPr>
            </w:pPr>
            <w:r w:rsidRPr="002A6806">
              <w:rPr>
                <w:rFonts w:cs="Arial"/>
                <w:b/>
                <w:bCs/>
                <w:color w:val="000000"/>
                <w:kern w:val="0"/>
              </w:rPr>
              <w:t>(MPa)</w:t>
            </w:r>
          </w:p>
          <w:p w:rsidR="00B97A2A" w:rsidRPr="002A6806" w:rsidRDefault="00B97A2A" w:rsidP="001D16EE">
            <w:pPr>
              <w:spacing w:after="0"/>
              <w:jc w:val="center"/>
              <w:rPr>
                <w:rFonts w:cs="Arial"/>
                <w:b/>
                <w:bCs/>
                <w:color w:val="000000"/>
                <w:kern w:val="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F5699A" w:rsidRPr="002A6806" w:rsidRDefault="00F5699A" w:rsidP="001D16EE">
            <w:pPr>
              <w:spacing w:after="0"/>
              <w:jc w:val="center"/>
              <w:rPr>
                <w:rFonts w:cs="Arial"/>
                <w:b/>
                <w:bCs/>
                <w:color w:val="000000"/>
                <w:kern w:val="0"/>
              </w:rPr>
            </w:pPr>
          </w:p>
          <w:p w:rsidR="00B97A2A" w:rsidRPr="002A6806" w:rsidRDefault="00B97A2A" w:rsidP="001D16EE">
            <w:pPr>
              <w:spacing w:after="0"/>
              <w:jc w:val="center"/>
              <w:rPr>
                <w:rFonts w:cs="Arial"/>
                <w:b/>
                <w:bCs/>
                <w:color w:val="000000"/>
                <w:kern w:val="0"/>
              </w:rPr>
            </w:pPr>
            <w:r w:rsidRPr="002A6806">
              <w:rPr>
                <w:rFonts w:cs="Arial"/>
                <w:b/>
                <w:bCs/>
                <w:color w:val="000000"/>
                <w:kern w:val="0"/>
              </w:rPr>
              <w:t>EverFE</w:t>
            </w:r>
          </w:p>
          <w:p w:rsidR="00B97A2A" w:rsidRPr="002A6806" w:rsidRDefault="0039268E" w:rsidP="001D16EE">
            <w:pPr>
              <w:spacing w:after="0"/>
              <w:jc w:val="center"/>
              <w:rPr>
                <w:rFonts w:cs="Arial"/>
                <w:b/>
                <w:bCs/>
                <w:color w:val="000000"/>
                <w:kern w:val="0"/>
              </w:rPr>
            </w:pPr>
            <w:r w:rsidRPr="002A6806">
              <w:rPr>
                <w:rFonts w:cs="Arial"/>
                <w:b/>
                <w:bCs/>
                <w:color w:val="000000"/>
                <w:kern w:val="0"/>
              </w:rPr>
              <w:t xml:space="preserve"> </w:t>
            </w:r>
            <w:r w:rsidR="00F5699A" w:rsidRPr="002A6806">
              <w:rPr>
                <w:rFonts w:cs="Arial"/>
                <w:b/>
                <w:bCs/>
                <w:color w:val="000000"/>
                <w:kern w:val="0"/>
              </w:rPr>
              <w:t>(U</w:t>
            </w:r>
            <w:r w:rsidR="00B97A2A" w:rsidRPr="002A6806">
              <w:rPr>
                <w:rFonts w:cs="Arial"/>
                <w:b/>
                <w:bCs/>
                <w:color w:val="000000"/>
                <w:kern w:val="0"/>
              </w:rPr>
              <w:t>nbonded</w:t>
            </w:r>
            <w:r w:rsidR="00F5699A" w:rsidRPr="002A6806">
              <w:rPr>
                <w:rFonts w:cs="Arial"/>
                <w:b/>
                <w:bCs/>
                <w:color w:val="000000"/>
                <w:kern w:val="0"/>
              </w:rPr>
              <w:t>)</w:t>
            </w:r>
          </w:p>
          <w:p w:rsidR="00B97A2A" w:rsidRPr="002A6806" w:rsidRDefault="00B97A2A" w:rsidP="001D16EE">
            <w:pPr>
              <w:spacing w:after="0"/>
              <w:jc w:val="center"/>
              <w:rPr>
                <w:rFonts w:cs="Arial"/>
                <w:b/>
                <w:bCs/>
                <w:color w:val="000000"/>
                <w:kern w:val="0"/>
              </w:rPr>
            </w:pPr>
            <w:r w:rsidRPr="002A6806">
              <w:rPr>
                <w:rFonts w:cs="Arial"/>
                <w:b/>
                <w:bCs/>
                <w:color w:val="000000"/>
                <w:kern w:val="0"/>
              </w:rPr>
              <w:t>12 elements</w:t>
            </w:r>
          </w:p>
          <w:p w:rsidR="00DD3A8B" w:rsidRPr="002A6806" w:rsidRDefault="00DD3A8B" w:rsidP="0039268E">
            <w:pPr>
              <w:spacing w:after="0"/>
              <w:jc w:val="center"/>
              <w:rPr>
                <w:rFonts w:cs="Arial"/>
                <w:b/>
                <w:bCs/>
                <w:color w:val="000000"/>
                <w:kern w:val="0"/>
              </w:rPr>
            </w:pPr>
          </w:p>
          <w:p w:rsidR="0039268E" w:rsidRPr="002A6806" w:rsidRDefault="0039268E" w:rsidP="0039268E">
            <w:pPr>
              <w:spacing w:after="0"/>
              <w:jc w:val="center"/>
              <w:rPr>
                <w:rFonts w:cs="Arial"/>
                <w:b/>
                <w:bCs/>
                <w:color w:val="000000"/>
                <w:kern w:val="0"/>
              </w:rPr>
            </w:pPr>
            <w:r w:rsidRPr="002A6806">
              <w:rPr>
                <w:rFonts w:cs="Arial"/>
                <w:b/>
                <w:bCs/>
                <w:color w:val="000000"/>
                <w:kern w:val="0"/>
              </w:rPr>
              <w:t>Maximum</w:t>
            </w:r>
          </w:p>
          <w:p w:rsidR="0039268E" w:rsidRPr="002A6806" w:rsidRDefault="0039268E" w:rsidP="0039268E">
            <w:pPr>
              <w:spacing w:after="0"/>
              <w:jc w:val="center"/>
              <w:rPr>
                <w:rFonts w:cs="Arial"/>
                <w:b/>
                <w:bCs/>
                <w:color w:val="000000"/>
                <w:kern w:val="0"/>
              </w:rPr>
            </w:pPr>
            <w:r w:rsidRPr="002A6806">
              <w:rPr>
                <w:rFonts w:cs="Arial"/>
                <w:b/>
                <w:bCs/>
                <w:color w:val="000000"/>
                <w:kern w:val="0"/>
              </w:rPr>
              <w:t xml:space="preserve">tensile </w:t>
            </w:r>
          </w:p>
          <w:p w:rsidR="0039268E" w:rsidRPr="002A6806" w:rsidRDefault="0039268E" w:rsidP="0039268E">
            <w:pPr>
              <w:spacing w:after="0"/>
              <w:jc w:val="center"/>
              <w:rPr>
                <w:rFonts w:cs="Arial"/>
                <w:b/>
                <w:bCs/>
                <w:color w:val="000000"/>
                <w:kern w:val="0"/>
              </w:rPr>
            </w:pPr>
            <w:r w:rsidRPr="002A6806">
              <w:rPr>
                <w:rFonts w:cs="Arial"/>
                <w:b/>
                <w:bCs/>
                <w:color w:val="000000"/>
                <w:kern w:val="0"/>
              </w:rPr>
              <w:t>stress</w:t>
            </w:r>
          </w:p>
          <w:p w:rsidR="0039268E" w:rsidRPr="002A6806" w:rsidRDefault="0039268E" w:rsidP="0039268E">
            <w:pPr>
              <w:spacing w:after="0"/>
              <w:jc w:val="center"/>
              <w:rPr>
                <w:rFonts w:cs="Arial"/>
                <w:b/>
                <w:bCs/>
                <w:color w:val="000000"/>
                <w:kern w:val="0"/>
              </w:rPr>
            </w:pPr>
            <w:r w:rsidRPr="002A6806">
              <w:rPr>
                <w:rFonts w:cs="Arial"/>
                <w:b/>
                <w:bCs/>
                <w:color w:val="000000"/>
                <w:kern w:val="0"/>
              </w:rPr>
              <w:t>(MPa)</w:t>
            </w:r>
          </w:p>
          <w:p w:rsidR="002743AD" w:rsidRPr="002A6806" w:rsidRDefault="002743AD" w:rsidP="001D16EE">
            <w:pPr>
              <w:spacing w:after="0"/>
              <w:jc w:val="center"/>
              <w:rPr>
                <w:rFonts w:cs="Arial"/>
                <w:b/>
                <w:bCs/>
                <w:color w:val="000000"/>
                <w:kern w:val="0"/>
              </w:rPr>
            </w:pP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2743AD" w:rsidRPr="002A6806" w:rsidRDefault="002743AD" w:rsidP="0039268E">
            <w:pPr>
              <w:spacing w:after="0"/>
              <w:jc w:val="center"/>
              <w:rPr>
                <w:rFonts w:cs="Arial"/>
                <w:b/>
                <w:bCs/>
                <w:color w:val="000000"/>
                <w:kern w:val="0"/>
              </w:rPr>
            </w:pPr>
            <w:r w:rsidRPr="002A6806">
              <w:rPr>
                <w:rFonts w:cs="Arial"/>
                <w:b/>
                <w:bCs/>
                <w:color w:val="000000"/>
                <w:kern w:val="0"/>
              </w:rPr>
              <w:t>Austroads</w:t>
            </w:r>
          </w:p>
          <w:p w:rsidR="00B97A2A" w:rsidRPr="002A6806" w:rsidRDefault="00B97A2A" w:rsidP="0039268E">
            <w:pPr>
              <w:spacing w:after="0"/>
              <w:jc w:val="center"/>
              <w:rPr>
                <w:rFonts w:cs="Arial"/>
                <w:b/>
                <w:bCs/>
                <w:color w:val="000000"/>
                <w:kern w:val="0"/>
              </w:rPr>
            </w:pPr>
            <w:r w:rsidRPr="002A6806">
              <w:rPr>
                <w:rFonts w:cs="Arial"/>
                <w:b/>
                <w:bCs/>
                <w:color w:val="000000"/>
                <w:kern w:val="0"/>
              </w:rPr>
              <w:t xml:space="preserve">% </w:t>
            </w:r>
            <w:r w:rsidR="002743AD" w:rsidRPr="002A6806">
              <w:rPr>
                <w:rFonts w:cs="Arial"/>
                <w:b/>
                <w:bCs/>
                <w:color w:val="000000"/>
                <w:kern w:val="0"/>
              </w:rPr>
              <w:t>l</w:t>
            </w:r>
            <w:r w:rsidR="00DF6749" w:rsidRPr="002A6806">
              <w:rPr>
                <w:rFonts w:cs="Arial"/>
                <w:b/>
                <w:bCs/>
                <w:color w:val="000000"/>
                <w:kern w:val="0"/>
              </w:rPr>
              <w:t>ower</w:t>
            </w:r>
          </w:p>
          <w:p w:rsidR="002743AD" w:rsidRPr="002A6806" w:rsidRDefault="002743AD" w:rsidP="0039268E">
            <w:pPr>
              <w:spacing w:after="0"/>
              <w:jc w:val="center"/>
              <w:rPr>
                <w:rFonts w:cs="Arial"/>
                <w:b/>
                <w:bCs/>
                <w:color w:val="000000"/>
                <w:kern w:val="0"/>
              </w:rPr>
            </w:pPr>
            <w:r w:rsidRPr="002A6806">
              <w:rPr>
                <w:rFonts w:cs="Arial"/>
                <w:b/>
                <w:bCs/>
                <w:color w:val="000000"/>
                <w:kern w:val="0"/>
              </w:rPr>
              <w:t>compared to</w:t>
            </w:r>
          </w:p>
          <w:p w:rsidR="00B97A2A" w:rsidRPr="002A6806" w:rsidRDefault="002743AD" w:rsidP="0039268E">
            <w:pPr>
              <w:spacing w:after="0"/>
              <w:jc w:val="center"/>
              <w:rPr>
                <w:rFonts w:cs="Arial"/>
                <w:b/>
                <w:bCs/>
                <w:color w:val="000000"/>
                <w:kern w:val="0"/>
              </w:rPr>
            </w:pPr>
            <w:r w:rsidRPr="002A6806">
              <w:rPr>
                <w:rFonts w:cs="Arial"/>
                <w:b/>
                <w:bCs/>
                <w:color w:val="000000"/>
                <w:kern w:val="0"/>
              </w:rPr>
              <w:t>EverFE</w:t>
            </w:r>
          </w:p>
          <w:p w:rsidR="0039268E" w:rsidRPr="002A6806" w:rsidRDefault="0039268E" w:rsidP="0039268E">
            <w:pPr>
              <w:spacing w:after="0"/>
              <w:jc w:val="center"/>
              <w:rPr>
                <w:rFonts w:cs="Arial"/>
                <w:b/>
                <w:bCs/>
                <w:color w:val="000000"/>
                <w:kern w:val="0"/>
              </w:rPr>
            </w:pPr>
            <w:r w:rsidRPr="002A6806">
              <w:rPr>
                <w:rFonts w:cs="Arial"/>
                <w:b/>
                <w:bCs/>
                <w:color w:val="000000"/>
                <w:kern w:val="0"/>
              </w:rPr>
              <w:t>(Unbonded)</w:t>
            </w:r>
          </w:p>
          <w:p w:rsidR="00F5699A" w:rsidRPr="002A6806" w:rsidRDefault="00F5699A" w:rsidP="0039268E">
            <w:pPr>
              <w:spacing w:after="0"/>
              <w:jc w:val="center"/>
              <w:rPr>
                <w:rFonts w:cs="Arial"/>
                <w:b/>
                <w:bCs/>
                <w:color w:val="000000"/>
                <w:kern w:val="0"/>
              </w:rPr>
            </w:pPr>
            <w:r w:rsidRPr="002A6806">
              <w:rPr>
                <w:rFonts w:cs="Arial"/>
                <w:b/>
                <w:bCs/>
                <w:color w:val="000000"/>
                <w:kern w:val="0"/>
              </w:rPr>
              <w:t>12 elements</w:t>
            </w:r>
          </w:p>
          <w:p w:rsidR="00F5699A" w:rsidRPr="002A6806" w:rsidRDefault="00F5699A" w:rsidP="0039268E">
            <w:pPr>
              <w:spacing w:after="0"/>
              <w:jc w:val="center"/>
              <w:rPr>
                <w:rFonts w:cs="Arial"/>
                <w:b/>
                <w:bCs/>
                <w:color w:val="000000"/>
                <w:kern w:val="0"/>
              </w:rPr>
            </w:pPr>
          </w:p>
        </w:tc>
        <w:tc>
          <w:tcPr>
            <w:tcW w:w="0" w:type="auto"/>
            <w:tcBorders>
              <w:top w:val="single" w:sz="4" w:space="0" w:color="auto"/>
              <w:left w:val="nil"/>
              <w:bottom w:val="single" w:sz="4" w:space="0" w:color="auto"/>
              <w:right w:val="single" w:sz="4" w:space="0" w:color="auto"/>
            </w:tcBorders>
          </w:tcPr>
          <w:p w:rsidR="0039268E" w:rsidRPr="002A6806" w:rsidRDefault="0039268E" w:rsidP="0039268E">
            <w:pPr>
              <w:spacing w:after="0"/>
              <w:jc w:val="center"/>
              <w:rPr>
                <w:rFonts w:cs="Arial"/>
                <w:b/>
                <w:bCs/>
                <w:color w:val="000000"/>
                <w:kern w:val="0"/>
              </w:rPr>
            </w:pPr>
          </w:p>
          <w:p w:rsidR="0039268E" w:rsidRPr="002A6806" w:rsidRDefault="00B97A2A" w:rsidP="0039268E">
            <w:pPr>
              <w:spacing w:after="0"/>
              <w:jc w:val="center"/>
              <w:rPr>
                <w:rFonts w:cs="Arial"/>
                <w:b/>
                <w:bCs/>
                <w:color w:val="000000"/>
                <w:kern w:val="0"/>
              </w:rPr>
            </w:pPr>
            <w:r w:rsidRPr="002A6806">
              <w:rPr>
                <w:rFonts w:cs="Arial"/>
                <w:b/>
                <w:bCs/>
                <w:color w:val="000000"/>
                <w:kern w:val="0"/>
              </w:rPr>
              <w:t>EverFE</w:t>
            </w:r>
          </w:p>
          <w:p w:rsidR="0039268E" w:rsidRPr="002A6806" w:rsidRDefault="0039268E" w:rsidP="0039268E">
            <w:pPr>
              <w:spacing w:after="0"/>
              <w:jc w:val="center"/>
              <w:rPr>
                <w:rFonts w:cs="Arial"/>
                <w:b/>
                <w:bCs/>
                <w:color w:val="000000"/>
                <w:kern w:val="0"/>
              </w:rPr>
            </w:pPr>
            <w:r w:rsidRPr="002A6806">
              <w:rPr>
                <w:rFonts w:cs="Arial"/>
                <w:b/>
                <w:bCs/>
                <w:color w:val="000000"/>
                <w:kern w:val="0"/>
              </w:rPr>
              <w:t>(Unbonded)</w:t>
            </w:r>
          </w:p>
          <w:p w:rsidR="00B97A2A" w:rsidRPr="002A6806" w:rsidRDefault="0039268E" w:rsidP="0039268E">
            <w:pPr>
              <w:spacing w:after="0"/>
              <w:jc w:val="center"/>
              <w:rPr>
                <w:rFonts w:cs="Arial"/>
                <w:b/>
                <w:bCs/>
                <w:color w:val="000000"/>
                <w:kern w:val="0"/>
              </w:rPr>
            </w:pPr>
            <w:r w:rsidRPr="002A6806">
              <w:rPr>
                <w:rFonts w:cs="Arial"/>
                <w:b/>
                <w:bCs/>
                <w:color w:val="000000"/>
                <w:kern w:val="0"/>
              </w:rPr>
              <w:t>13 elements</w:t>
            </w:r>
          </w:p>
          <w:p w:rsidR="00DD3A8B" w:rsidRPr="002A6806" w:rsidRDefault="00DD3A8B" w:rsidP="0039268E">
            <w:pPr>
              <w:spacing w:after="0"/>
              <w:jc w:val="center"/>
              <w:rPr>
                <w:rFonts w:cs="Arial"/>
                <w:b/>
                <w:bCs/>
                <w:color w:val="000000"/>
                <w:kern w:val="0"/>
              </w:rPr>
            </w:pPr>
          </w:p>
          <w:p w:rsidR="00F5699A" w:rsidRPr="002A6806" w:rsidRDefault="00F5699A" w:rsidP="0039268E">
            <w:pPr>
              <w:spacing w:after="0"/>
              <w:jc w:val="center"/>
              <w:rPr>
                <w:rFonts w:cs="Arial"/>
                <w:b/>
                <w:bCs/>
                <w:color w:val="000000"/>
                <w:kern w:val="0"/>
              </w:rPr>
            </w:pPr>
            <w:r w:rsidRPr="002A6806">
              <w:rPr>
                <w:rFonts w:cs="Arial"/>
                <w:b/>
                <w:bCs/>
                <w:color w:val="000000"/>
                <w:kern w:val="0"/>
              </w:rPr>
              <w:t>Maximum</w:t>
            </w:r>
          </w:p>
          <w:p w:rsidR="0039268E" w:rsidRPr="002A6806" w:rsidRDefault="00CD23D0" w:rsidP="0039268E">
            <w:pPr>
              <w:spacing w:after="0"/>
              <w:jc w:val="center"/>
              <w:rPr>
                <w:rFonts w:cs="Arial"/>
                <w:b/>
                <w:bCs/>
                <w:color w:val="000000"/>
                <w:kern w:val="0"/>
              </w:rPr>
            </w:pPr>
            <w:r w:rsidRPr="002A6806">
              <w:rPr>
                <w:rFonts w:cs="Arial"/>
                <w:b/>
                <w:bCs/>
                <w:color w:val="000000"/>
                <w:kern w:val="0"/>
              </w:rPr>
              <w:t>t</w:t>
            </w:r>
            <w:r w:rsidR="0039268E" w:rsidRPr="002A6806">
              <w:rPr>
                <w:rFonts w:cs="Arial"/>
                <w:b/>
                <w:bCs/>
                <w:color w:val="000000"/>
                <w:kern w:val="0"/>
              </w:rPr>
              <w:t xml:space="preserve">ensile </w:t>
            </w:r>
          </w:p>
          <w:p w:rsidR="00F5699A" w:rsidRPr="002A6806" w:rsidRDefault="00CD23D0" w:rsidP="0039268E">
            <w:pPr>
              <w:spacing w:after="0"/>
              <w:jc w:val="center"/>
              <w:rPr>
                <w:rFonts w:cs="Arial"/>
                <w:b/>
                <w:bCs/>
                <w:color w:val="000000"/>
                <w:kern w:val="0"/>
              </w:rPr>
            </w:pPr>
            <w:r w:rsidRPr="002A6806">
              <w:rPr>
                <w:rFonts w:cs="Arial"/>
                <w:b/>
                <w:bCs/>
                <w:color w:val="000000"/>
                <w:kern w:val="0"/>
              </w:rPr>
              <w:t>s</w:t>
            </w:r>
            <w:r w:rsidR="00F5699A" w:rsidRPr="002A6806">
              <w:rPr>
                <w:rFonts w:cs="Arial"/>
                <w:b/>
                <w:bCs/>
                <w:color w:val="000000"/>
                <w:kern w:val="0"/>
              </w:rPr>
              <w:t>tress</w:t>
            </w:r>
          </w:p>
          <w:p w:rsidR="0039268E" w:rsidRPr="002A6806" w:rsidRDefault="0039268E" w:rsidP="0039268E">
            <w:pPr>
              <w:spacing w:after="0"/>
              <w:jc w:val="center"/>
              <w:rPr>
                <w:rFonts w:cs="Arial"/>
                <w:b/>
                <w:bCs/>
                <w:color w:val="000000"/>
                <w:kern w:val="0"/>
              </w:rPr>
            </w:pPr>
            <w:r w:rsidRPr="002A6806">
              <w:rPr>
                <w:rFonts w:cs="Arial"/>
                <w:b/>
                <w:bCs/>
                <w:color w:val="000000"/>
                <w:kern w:val="0"/>
              </w:rPr>
              <w:t>(MPa)</w:t>
            </w:r>
          </w:p>
          <w:p w:rsidR="00B97A2A" w:rsidRPr="002A6806" w:rsidRDefault="00B97A2A" w:rsidP="0039268E">
            <w:pPr>
              <w:spacing w:after="0"/>
              <w:jc w:val="center"/>
              <w:rPr>
                <w:rFonts w:cs="Arial"/>
                <w:b/>
                <w:bCs/>
                <w:color w:val="000000"/>
                <w:kern w:val="0"/>
              </w:rPr>
            </w:pPr>
          </w:p>
        </w:tc>
        <w:tc>
          <w:tcPr>
            <w:tcW w:w="0" w:type="auto"/>
            <w:tcBorders>
              <w:top w:val="single" w:sz="4" w:space="0" w:color="auto"/>
              <w:left w:val="nil"/>
              <w:bottom w:val="single" w:sz="4" w:space="0" w:color="auto"/>
              <w:right w:val="single" w:sz="4" w:space="0" w:color="auto"/>
            </w:tcBorders>
          </w:tcPr>
          <w:p w:rsidR="0039268E" w:rsidRPr="002A6806" w:rsidRDefault="0039268E" w:rsidP="0039268E">
            <w:pPr>
              <w:spacing w:after="0"/>
              <w:jc w:val="center"/>
              <w:rPr>
                <w:rFonts w:cs="Arial"/>
                <w:b/>
                <w:bCs/>
                <w:color w:val="000000"/>
                <w:kern w:val="0"/>
              </w:rPr>
            </w:pPr>
          </w:p>
          <w:p w:rsidR="0039268E" w:rsidRPr="002A6806" w:rsidRDefault="0039268E" w:rsidP="0039268E">
            <w:pPr>
              <w:spacing w:after="0"/>
              <w:jc w:val="center"/>
              <w:rPr>
                <w:rFonts w:cs="Arial"/>
                <w:b/>
                <w:bCs/>
                <w:color w:val="000000"/>
                <w:kern w:val="0"/>
              </w:rPr>
            </w:pPr>
          </w:p>
          <w:p w:rsidR="00DD3A8B" w:rsidRPr="002A6806" w:rsidRDefault="00DD3A8B" w:rsidP="0039268E">
            <w:pPr>
              <w:spacing w:after="0"/>
              <w:jc w:val="center"/>
              <w:rPr>
                <w:rFonts w:cs="Arial"/>
                <w:b/>
                <w:bCs/>
                <w:color w:val="000000"/>
                <w:kern w:val="0"/>
              </w:rPr>
            </w:pPr>
          </w:p>
          <w:p w:rsidR="002743AD" w:rsidRPr="002A6806" w:rsidRDefault="002743AD" w:rsidP="0039268E">
            <w:pPr>
              <w:spacing w:after="0"/>
              <w:jc w:val="center"/>
              <w:rPr>
                <w:rFonts w:cs="Arial"/>
                <w:b/>
                <w:bCs/>
                <w:color w:val="000000"/>
                <w:kern w:val="0"/>
              </w:rPr>
            </w:pPr>
            <w:r w:rsidRPr="002A6806">
              <w:rPr>
                <w:rFonts w:cs="Arial"/>
                <w:b/>
                <w:bCs/>
                <w:color w:val="000000"/>
                <w:kern w:val="0"/>
              </w:rPr>
              <w:t>Austroads</w:t>
            </w:r>
          </w:p>
          <w:p w:rsidR="002743AD" w:rsidRPr="002A6806" w:rsidRDefault="002743AD" w:rsidP="0039268E">
            <w:pPr>
              <w:spacing w:after="0"/>
              <w:jc w:val="center"/>
              <w:rPr>
                <w:rFonts w:cs="Arial"/>
                <w:b/>
                <w:bCs/>
                <w:color w:val="000000"/>
                <w:kern w:val="0"/>
              </w:rPr>
            </w:pPr>
            <w:r w:rsidRPr="002A6806">
              <w:rPr>
                <w:rFonts w:cs="Arial"/>
                <w:b/>
                <w:bCs/>
                <w:color w:val="000000"/>
                <w:kern w:val="0"/>
              </w:rPr>
              <w:t xml:space="preserve">% </w:t>
            </w:r>
            <w:r w:rsidR="00DF6749" w:rsidRPr="002A6806">
              <w:rPr>
                <w:rFonts w:cs="Arial"/>
                <w:b/>
                <w:bCs/>
                <w:color w:val="000000"/>
                <w:kern w:val="0"/>
              </w:rPr>
              <w:t>lower</w:t>
            </w:r>
          </w:p>
          <w:p w:rsidR="002743AD" w:rsidRPr="002A6806" w:rsidRDefault="002743AD" w:rsidP="0039268E">
            <w:pPr>
              <w:spacing w:after="0"/>
              <w:jc w:val="center"/>
              <w:rPr>
                <w:rFonts w:cs="Arial"/>
                <w:b/>
                <w:bCs/>
                <w:color w:val="000000"/>
                <w:kern w:val="0"/>
              </w:rPr>
            </w:pPr>
            <w:r w:rsidRPr="002A6806">
              <w:rPr>
                <w:rFonts w:cs="Arial"/>
                <w:b/>
                <w:bCs/>
                <w:color w:val="000000"/>
                <w:kern w:val="0"/>
              </w:rPr>
              <w:t>compared to</w:t>
            </w:r>
          </w:p>
          <w:p w:rsidR="00B97A2A" w:rsidRPr="002A6806" w:rsidRDefault="002743AD" w:rsidP="0039268E">
            <w:pPr>
              <w:spacing w:after="0"/>
              <w:jc w:val="center"/>
              <w:rPr>
                <w:rFonts w:cs="Arial"/>
                <w:b/>
                <w:bCs/>
                <w:color w:val="000000"/>
                <w:kern w:val="0"/>
              </w:rPr>
            </w:pPr>
            <w:r w:rsidRPr="002A6806">
              <w:rPr>
                <w:rFonts w:cs="Arial"/>
                <w:b/>
                <w:bCs/>
                <w:color w:val="000000"/>
                <w:kern w:val="0"/>
              </w:rPr>
              <w:t>EverFE</w:t>
            </w:r>
          </w:p>
          <w:p w:rsidR="0039268E" w:rsidRPr="002A6806" w:rsidRDefault="0039268E" w:rsidP="0039268E">
            <w:pPr>
              <w:spacing w:after="0"/>
              <w:jc w:val="center"/>
              <w:rPr>
                <w:rFonts w:cs="Arial"/>
                <w:b/>
                <w:bCs/>
                <w:color w:val="000000"/>
                <w:kern w:val="0"/>
              </w:rPr>
            </w:pPr>
            <w:r w:rsidRPr="002A6806">
              <w:rPr>
                <w:rFonts w:cs="Arial"/>
                <w:b/>
                <w:bCs/>
                <w:color w:val="000000"/>
                <w:kern w:val="0"/>
              </w:rPr>
              <w:t>(Unbonded)</w:t>
            </w:r>
          </w:p>
          <w:p w:rsidR="00F5699A" w:rsidRPr="002A6806" w:rsidRDefault="00F5699A" w:rsidP="0039268E">
            <w:pPr>
              <w:spacing w:after="0"/>
              <w:jc w:val="center"/>
              <w:rPr>
                <w:rFonts w:cs="Arial"/>
                <w:b/>
                <w:bCs/>
                <w:color w:val="000000"/>
                <w:kern w:val="0"/>
              </w:rPr>
            </w:pPr>
            <w:r w:rsidRPr="002A6806">
              <w:rPr>
                <w:rFonts w:cs="Arial"/>
                <w:b/>
                <w:bCs/>
                <w:color w:val="000000"/>
                <w:kern w:val="0"/>
              </w:rPr>
              <w:t>13 elements</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SAST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0.627</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0.904</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30.68</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0.744</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15.73</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TAST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0.627</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0.759</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17.40</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0.695</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9.78</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SADT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0.957</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1.230</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22.18</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1.021</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6.27</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2743AD" w:rsidP="001D16EE">
            <w:pPr>
              <w:spacing w:after="0"/>
              <w:jc w:val="center"/>
              <w:rPr>
                <w:rFonts w:cs="Arial"/>
                <w:color w:val="000000"/>
                <w:kern w:val="0"/>
              </w:rPr>
            </w:pPr>
            <w:r w:rsidRPr="002A6806">
              <w:rPr>
                <w:rFonts w:cs="Arial"/>
                <w:color w:val="000000"/>
                <w:kern w:val="0"/>
              </w:rPr>
              <w:t>TADT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0.802</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1.036</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22.60</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0.941</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14.77</w:t>
            </w:r>
          </w:p>
        </w:tc>
      </w:tr>
      <w:tr w:rsidR="002743AD" w:rsidRPr="002A6806" w:rsidTr="00ED2BB5">
        <w:trPr>
          <w:trHeight w:val="20"/>
        </w:trPr>
        <w:tc>
          <w:tcPr>
            <w:tcW w:w="0" w:type="auto"/>
            <w:tcBorders>
              <w:top w:val="nil"/>
              <w:left w:val="single" w:sz="4" w:space="0" w:color="auto"/>
              <w:bottom w:val="single" w:sz="4" w:space="0" w:color="auto"/>
              <w:right w:val="single" w:sz="4" w:space="0" w:color="auto"/>
            </w:tcBorders>
            <w:vAlign w:val="bottom"/>
          </w:tcPr>
          <w:p w:rsidR="00B97A2A" w:rsidRPr="002A6806" w:rsidRDefault="002743AD" w:rsidP="001D16EE">
            <w:pPr>
              <w:spacing w:after="0"/>
              <w:jc w:val="center"/>
              <w:rPr>
                <w:rFonts w:cs="Arial"/>
                <w:color w:val="000000"/>
                <w:kern w:val="0"/>
              </w:rPr>
            </w:pPr>
            <w:r w:rsidRPr="002A6806">
              <w:rPr>
                <w:rFonts w:cs="Arial"/>
                <w:color w:val="000000"/>
                <w:kern w:val="0"/>
              </w:rPr>
              <w:t>TRDT</w:t>
            </w:r>
          </w:p>
        </w:tc>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0.633</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0.644</w:t>
            </w:r>
          </w:p>
        </w:tc>
        <w:tc>
          <w:tcPr>
            <w:tcW w:w="0" w:type="auto"/>
            <w:tcBorders>
              <w:top w:val="nil"/>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1.72</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0.671</w:t>
            </w:r>
          </w:p>
        </w:tc>
        <w:tc>
          <w:tcPr>
            <w:tcW w:w="0" w:type="auto"/>
            <w:tcBorders>
              <w:top w:val="nil"/>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5.66</w:t>
            </w:r>
          </w:p>
        </w:tc>
      </w:tr>
      <w:tr w:rsidR="002743AD" w:rsidRPr="002A6806" w:rsidTr="00ED2BB5">
        <w:trPr>
          <w:trHeight w:val="20"/>
        </w:trPr>
        <w:tc>
          <w:tcPr>
            <w:tcW w:w="0" w:type="auto"/>
            <w:tcBorders>
              <w:top w:val="single" w:sz="4" w:space="0" w:color="auto"/>
              <w:left w:val="single" w:sz="4" w:space="0" w:color="auto"/>
              <w:bottom w:val="single" w:sz="4" w:space="0" w:color="auto"/>
              <w:right w:val="single" w:sz="4" w:space="0" w:color="auto"/>
            </w:tcBorders>
            <w:vAlign w:val="bottom"/>
          </w:tcPr>
          <w:p w:rsidR="00B97A2A" w:rsidRPr="002A6806" w:rsidRDefault="002743AD" w:rsidP="001D16EE">
            <w:pPr>
              <w:spacing w:after="0"/>
              <w:jc w:val="center"/>
              <w:rPr>
                <w:rFonts w:cs="Arial"/>
                <w:color w:val="000000"/>
                <w:kern w:val="0"/>
              </w:rPr>
            </w:pPr>
            <w:r w:rsidRPr="002A6806">
              <w:rPr>
                <w:rFonts w:cs="Arial"/>
                <w:color w:val="000000"/>
                <w:kern w:val="0"/>
              </w:rPr>
              <w:t>QADT</w:t>
            </w: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0.633</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0.765</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B97A2A" w:rsidRPr="002A6806" w:rsidRDefault="00B97A2A" w:rsidP="001D16EE">
            <w:pPr>
              <w:spacing w:after="0"/>
              <w:jc w:val="center"/>
              <w:rPr>
                <w:rFonts w:cs="Arial"/>
                <w:color w:val="000000"/>
                <w:kern w:val="0"/>
              </w:rPr>
            </w:pPr>
            <w:r w:rsidRPr="002A6806">
              <w:rPr>
                <w:rFonts w:cs="Arial"/>
                <w:color w:val="000000"/>
                <w:kern w:val="0"/>
              </w:rPr>
              <w:t>17.21</w:t>
            </w:r>
          </w:p>
        </w:tc>
        <w:tc>
          <w:tcPr>
            <w:tcW w:w="0" w:type="auto"/>
            <w:tcBorders>
              <w:top w:val="single" w:sz="4" w:space="0" w:color="auto"/>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0.745</w:t>
            </w:r>
          </w:p>
        </w:tc>
        <w:tc>
          <w:tcPr>
            <w:tcW w:w="0" w:type="auto"/>
            <w:tcBorders>
              <w:top w:val="single" w:sz="4" w:space="0" w:color="auto"/>
              <w:left w:val="nil"/>
              <w:bottom w:val="single" w:sz="4" w:space="0" w:color="auto"/>
              <w:right w:val="single" w:sz="4" w:space="0" w:color="auto"/>
            </w:tcBorders>
            <w:vAlign w:val="bottom"/>
          </w:tcPr>
          <w:p w:rsidR="00B97A2A" w:rsidRPr="002A6806" w:rsidRDefault="00B97A2A" w:rsidP="001D16EE">
            <w:pPr>
              <w:spacing w:after="0"/>
              <w:jc w:val="center"/>
              <w:rPr>
                <w:rFonts w:cs="Arial"/>
                <w:color w:val="000000"/>
                <w:kern w:val="0"/>
              </w:rPr>
            </w:pPr>
            <w:r w:rsidRPr="002A6806">
              <w:rPr>
                <w:rFonts w:cs="Arial"/>
                <w:color w:val="000000"/>
                <w:kern w:val="0"/>
              </w:rPr>
              <w:t>15.03</w:t>
            </w:r>
          </w:p>
        </w:tc>
      </w:tr>
      <w:tr w:rsidR="00F5699A" w:rsidRPr="002A6806" w:rsidTr="00ED2BB5">
        <w:trPr>
          <w:trHeight w:val="20"/>
        </w:trPr>
        <w:tc>
          <w:tcPr>
            <w:tcW w:w="0" w:type="auto"/>
            <w:tcBorders>
              <w:top w:val="single" w:sz="4" w:space="0" w:color="auto"/>
            </w:tcBorders>
            <w:vAlign w:val="bottom"/>
          </w:tcPr>
          <w:p w:rsidR="00F5699A" w:rsidRPr="002A6806" w:rsidRDefault="00F5699A" w:rsidP="001D16EE">
            <w:pPr>
              <w:spacing w:after="0"/>
              <w:jc w:val="center"/>
              <w:rPr>
                <w:rFonts w:cs="Arial"/>
                <w:color w:val="000000"/>
                <w:kern w:val="0"/>
              </w:rPr>
            </w:pPr>
          </w:p>
        </w:tc>
        <w:tc>
          <w:tcPr>
            <w:tcW w:w="0" w:type="auto"/>
            <w:tcBorders>
              <w:top w:val="single" w:sz="4" w:space="0" w:color="auto"/>
            </w:tcBorders>
            <w:shd w:val="clear" w:color="auto" w:fill="auto"/>
            <w:noWrap/>
            <w:vAlign w:val="bottom"/>
          </w:tcPr>
          <w:p w:rsidR="00F5699A" w:rsidRPr="002A6806" w:rsidRDefault="00F5699A" w:rsidP="001D16EE">
            <w:pPr>
              <w:spacing w:after="0"/>
              <w:jc w:val="center"/>
              <w:rPr>
                <w:rFonts w:cs="Arial"/>
                <w:color w:val="000000"/>
                <w:kern w:val="0"/>
              </w:rPr>
            </w:pPr>
          </w:p>
        </w:tc>
        <w:tc>
          <w:tcPr>
            <w:tcW w:w="0" w:type="auto"/>
            <w:tcBorders>
              <w:top w:val="single" w:sz="4" w:space="0" w:color="auto"/>
              <w:right w:val="single" w:sz="4" w:space="0" w:color="auto"/>
            </w:tcBorders>
            <w:shd w:val="clear" w:color="auto" w:fill="auto"/>
            <w:noWrap/>
            <w:vAlign w:val="bottom"/>
          </w:tcPr>
          <w:p w:rsidR="00F5699A" w:rsidRPr="002A6806" w:rsidRDefault="00F5699A" w:rsidP="001D16EE">
            <w:pPr>
              <w:spacing w:after="0"/>
              <w:jc w:val="center"/>
              <w:rPr>
                <w:rFonts w:cs="Arial"/>
                <w:color w:val="000000"/>
                <w:kern w:val="0"/>
              </w:rPr>
            </w:pPr>
          </w:p>
        </w:tc>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F5699A" w:rsidRPr="002A6806" w:rsidRDefault="00F5699A" w:rsidP="001D16EE">
            <w:pPr>
              <w:spacing w:after="0"/>
              <w:jc w:val="center"/>
              <w:rPr>
                <w:rFonts w:cs="Arial"/>
                <w:color w:val="000000"/>
                <w:kern w:val="0"/>
              </w:rPr>
            </w:pPr>
            <w:r w:rsidRPr="002A6806">
              <w:rPr>
                <w:rFonts w:cs="Arial"/>
                <w:color w:val="000000"/>
                <w:kern w:val="0"/>
              </w:rPr>
              <w:t>Ave = 18.6%</w:t>
            </w:r>
          </w:p>
        </w:tc>
        <w:tc>
          <w:tcPr>
            <w:tcW w:w="0" w:type="auto"/>
            <w:tcBorders>
              <w:top w:val="single" w:sz="4" w:space="0" w:color="auto"/>
              <w:left w:val="single" w:sz="4" w:space="0" w:color="auto"/>
              <w:right w:val="single" w:sz="4" w:space="0" w:color="auto"/>
            </w:tcBorders>
            <w:vAlign w:val="bottom"/>
          </w:tcPr>
          <w:p w:rsidR="00F5699A" w:rsidRPr="002A6806" w:rsidRDefault="00F5699A" w:rsidP="001D16EE">
            <w:pPr>
              <w:spacing w:after="0"/>
              <w:jc w:val="center"/>
              <w:rPr>
                <w:rFonts w:cs="Arial"/>
                <w:color w:val="000000"/>
                <w:kern w:val="0"/>
              </w:rPr>
            </w:pPr>
          </w:p>
        </w:tc>
        <w:tc>
          <w:tcPr>
            <w:tcW w:w="0" w:type="auto"/>
            <w:tcBorders>
              <w:top w:val="single" w:sz="4" w:space="0" w:color="auto"/>
              <w:left w:val="single" w:sz="4" w:space="0" w:color="auto"/>
              <w:bottom w:val="single" w:sz="4" w:space="0" w:color="auto"/>
              <w:right w:val="single" w:sz="4" w:space="0" w:color="auto"/>
            </w:tcBorders>
            <w:vAlign w:val="bottom"/>
          </w:tcPr>
          <w:p w:rsidR="00F5699A" w:rsidRPr="002A6806" w:rsidRDefault="00F5699A" w:rsidP="001D16EE">
            <w:pPr>
              <w:spacing w:after="0"/>
              <w:jc w:val="center"/>
              <w:rPr>
                <w:rFonts w:cs="Arial"/>
                <w:color w:val="000000"/>
                <w:kern w:val="0"/>
              </w:rPr>
            </w:pPr>
            <w:r w:rsidRPr="002A6806">
              <w:rPr>
                <w:rFonts w:cs="Arial"/>
                <w:color w:val="000000"/>
                <w:kern w:val="0"/>
              </w:rPr>
              <w:t>Ave = 11.2%</w:t>
            </w:r>
          </w:p>
        </w:tc>
      </w:tr>
    </w:tbl>
    <w:p w:rsidR="00856199" w:rsidRPr="002A6806" w:rsidRDefault="00856199" w:rsidP="007017D3">
      <w:pPr>
        <w:spacing w:after="0"/>
        <w:jc w:val="both"/>
        <w:rPr>
          <w:rFonts w:cs="Arial"/>
        </w:rPr>
      </w:pPr>
    </w:p>
    <w:p w:rsidR="00DF3584" w:rsidRPr="002A6806" w:rsidRDefault="00DF3584" w:rsidP="007017D3">
      <w:pPr>
        <w:spacing w:after="0"/>
        <w:jc w:val="both"/>
      </w:pPr>
      <w:r w:rsidRPr="002A6806">
        <w:lastRenderedPageBreak/>
        <w:t>As a further check, the</w:t>
      </w:r>
      <w:r w:rsidR="00DF6749" w:rsidRPr="002A6806">
        <w:t xml:space="preserve"> </w:t>
      </w:r>
      <w:r w:rsidR="00805612" w:rsidRPr="002A6806">
        <w:t>maximum</w:t>
      </w:r>
      <w:r w:rsidR="006338A0" w:rsidRPr="002A6806">
        <w:t xml:space="preserve"> </w:t>
      </w:r>
      <w:r w:rsidR="001D16EE" w:rsidRPr="002A6806">
        <w:t>tensile</w:t>
      </w:r>
      <w:r w:rsidR="00DF6749" w:rsidRPr="002A6806">
        <w:t xml:space="preserve"> stress values from EverFE for the current traffic loading were i</w:t>
      </w:r>
      <w:r w:rsidRPr="002A6806">
        <w:t>nput</w:t>
      </w:r>
      <w:r w:rsidR="00DF6749" w:rsidRPr="002A6806">
        <w:t xml:space="preserve"> into the Austroads design spreadsheet to determine influence on allowable axle repetitions. </w:t>
      </w:r>
      <w:r w:rsidRPr="002A6806">
        <w:t>It was found that the</w:t>
      </w:r>
      <w:r w:rsidR="00DF6749" w:rsidRPr="002A6806">
        <w:t xml:space="preserve"> allowable axle load repetitions for fatigue analysis remaining unchanged at infinite repetitions for the </w:t>
      </w:r>
      <w:r w:rsidRPr="002A6806">
        <w:t>adopted</w:t>
      </w:r>
      <w:r w:rsidR="00DF6749" w:rsidRPr="002A6806">
        <w:t xml:space="preserve"> thickness. Under erosion analysis, </w:t>
      </w:r>
      <w:r w:rsidRPr="002A6806">
        <w:t xml:space="preserve">the </w:t>
      </w:r>
      <w:r w:rsidR="00DF6749" w:rsidRPr="002A6806">
        <w:t>allowable repetitions also remain unchanged</w:t>
      </w:r>
      <w:r w:rsidRPr="002A6806">
        <w:t>.</w:t>
      </w:r>
      <w:r w:rsidR="00DF6749" w:rsidRPr="002A6806">
        <w:t xml:space="preserve"> This indicates that the difference</w:t>
      </w:r>
      <w:r w:rsidRPr="002A6806">
        <w:t>s</w:t>
      </w:r>
      <w:r w:rsidR="00DF6749" w:rsidRPr="002A6806">
        <w:t xml:space="preserve"> in stress values </w:t>
      </w:r>
      <w:r w:rsidRPr="002A6806">
        <w:t xml:space="preserve">between Austroads and </w:t>
      </w:r>
      <w:r w:rsidR="00DF6749" w:rsidRPr="002A6806">
        <w:t xml:space="preserve">EverFE do not influence allowable axle repetitions </w:t>
      </w:r>
      <w:r w:rsidR="00CD23D0" w:rsidRPr="002A6806">
        <w:t>of the model pavement</w:t>
      </w:r>
      <w:r w:rsidR="00DF6749" w:rsidRPr="002A6806">
        <w:t xml:space="preserve">. </w:t>
      </w:r>
    </w:p>
    <w:p w:rsidR="00DF3584" w:rsidRPr="002A6806" w:rsidRDefault="00DF3584" w:rsidP="007017D3">
      <w:pPr>
        <w:spacing w:after="0"/>
        <w:jc w:val="both"/>
      </w:pPr>
    </w:p>
    <w:p w:rsidR="00D85487" w:rsidRPr="002A6806" w:rsidRDefault="00DF3584" w:rsidP="007017D3">
      <w:pPr>
        <w:spacing w:after="0"/>
        <w:jc w:val="both"/>
      </w:pPr>
      <w:r w:rsidRPr="002A6806">
        <w:t>From these results it can be concluded that EverFE provides adequate capability in modelling of Austroads equivalent stresses for</w:t>
      </w:r>
      <w:r w:rsidR="00246C3B" w:rsidRPr="002A6806">
        <w:t xml:space="preserve"> any</w:t>
      </w:r>
      <w:r w:rsidRPr="002A6806">
        <w:t xml:space="preserve"> loading </w:t>
      </w:r>
      <w:r w:rsidR="00246C3B" w:rsidRPr="002A6806">
        <w:t>and pavement conditions. The</w:t>
      </w:r>
      <w:r w:rsidRPr="002A6806">
        <w:t xml:space="preserve"> </w:t>
      </w:r>
      <w:r w:rsidR="00246C3B" w:rsidRPr="002A6806">
        <w:t xml:space="preserve">maximum tensile </w:t>
      </w:r>
      <w:r w:rsidRPr="002A6806">
        <w:t xml:space="preserve">stress values obtained from EverFE </w:t>
      </w:r>
      <w:r w:rsidR="00246C3B" w:rsidRPr="002A6806">
        <w:t>can</w:t>
      </w:r>
      <w:r w:rsidRPr="002A6806">
        <w:t xml:space="preserve"> be used </w:t>
      </w:r>
      <w:r w:rsidR="00246C3B" w:rsidRPr="002A6806">
        <w:t xml:space="preserve">to determine </w:t>
      </w:r>
      <w:r w:rsidR="00BB43B8" w:rsidRPr="002A6806">
        <w:t>the allowable</w:t>
      </w:r>
      <w:r w:rsidR="004D5F27" w:rsidRPr="002A6806">
        <w:t xml:space="preserve"> load repetitions for </w:t>
      </w:r>
      <w:r w:rsidRPr="002A6806">
        <w:t>damage</w:t>
      </w:r>
      <w:r w:rsidR="00657760" w:rsidRPr="002A6806">
        <w:t xml:space="preserve"> analysi</w:t>
      </w:r>
      <w:r w:rsidR="00187D50" w:rsidRPr="002A6806">
        <w:t>s</w:t>
      </w:r>
      <w:r w:rsidR="00246C3B" w:rsidRPr="002A6806">
        <w:t xml:space="preserve"> </w:t>
      </w:r>
      <w:r w:rsidR="004D5F27" w:rsidRPr="002A6806">
        <w:t>as per Austroads (2012).</w:t>
      </w:r>
    </w:p>
    <w:p w:rsidR="00DD3A8B" w:rsidRPr="002A6806" w:rsidRDefault="00DD3A8B" w:rsidP="007017D3">
      <w:pPr>
        <w:spacing w:after="0"/>
        <w:jc w:val="both"/>
      </w:pPr>
    </w:p>
    <w:p w:rsidR="00D85487" w:rsidRPr="002A6806" w:rsidRDefault="00C820D2" w:rsidP="007017D3">
      <w:pPr>
        <w:pStyle w:val="Heading2"/>
        <w:ind w:left="0" w:firstLine="0"/>
        <w:jc w:val="both"/>
        <w:rPr>
          <w:lang w:val="en-US"/>
        </w:rPr>
      </w:pPr>
      <w:r w:rsidRPr="002A6806">
        <w:t>Effects of f</w:t>
      </w:r>
      <w:r w:rsidR="00D85487" w:rsidRPr="002A6806">
        <w:t>uture traffic loading</w:t>
      </w:r>
    </w:p>
    <w:p w:rsidR="00270B4C" w:rsidRDefault="00246C3B" w:rsidP="006F12C6">
      <w:pPr>
        <w:spacing w:after="0"/>
        <w:jc w:val="both"/>
      </w:pPr>
      <w:r w:rsidRPr="002A6806">
        <w:t xml:space="preserve">The </w:t>
      </w:r>
      <w:r w:rsidR="00D85487" w:rsidRPr="002A6806">
        <w:t>Technical Basis to the Austroads Design Guide (Austroads, 2008) describes that an upper limit of 65</w:t>
      </w:r>
      <w:r w:rsidR="00DD3A8B" w:rsidRPr="002A6806">
        <w:t xml:space="preserve"> </w:t>
      </w:r>
      <w:proofErr w:type="gramStart"/>
      <w:r w:rsidR="00D85487" w:rsidRPr="002A6806">
        <w:t>kN</w:t>
      </w:r>
      <w:proofErr w:type="gramEnd"/>
      <w:r w:rsidR="00D85487" w:rsidRPr="002A6806">
        <w:t xml:space="preserve"> </w:t>
      </w:r>
      <w:r w:rsidR="00B63271" w:rsidRPr="002A6806">
        <w:t xml:space="preserve">wheel </w:t>
      </w:r>
      <w:r w:rsidR="00D85487" w:rsidRPr="002A6806">
        <w:t xml:space="preserve">load is </w:t>
      </w:r>
      <w:r w:rsidR="00C24AC5" w:rsidRPr="002A6806">
        <w:t>assumed in</w:t>
      </w:r>
      <w:r w:rsidR="00D85487" w:rsidRPr="002A6806">
        <w:t xml:space="preserve"> the design guide. It is stated </w:t>
      </w:r>
      <w:r w:rsidR="00DD3A8B" w:rsidRPr="002A6806">
        <w:t xml:space="preserve">in the document </w:t>
      </w:r>
      <w:r w:rsidR="00D85487" w:rsidRPr="002A6806">
        <w:t>that</w:t>
      </w:r>
      <w:r w:rsidR="00021F4E" w:rsidRPr="002A6806">
        <w:t xml:space="preserve"> while</w:t>
      </w:r>
      <w:r w:rsidR="00D85487" w:rsidRPr="002A6806">
        <w:t xml:space="preserve"> there are no sighted references to justify the use of this limit</w:t>
      </w:r>
      <w:r w:rsidR="00021F4E" w:rsidRPr="002A6806">
        <w:t>,</w:t>
      </w:r>
      <w:r w:rsidR="00D85487" w:rsidRPr="002A6806">
        <w:t xml:space="preserve"> the limit is </w:t>
      </w:r>
      <w:r w:rsidR="00021F4E" w:rsidRPr="002A6806">
        <w:t xml:space="preserve">considered </w:t>
      </w:r>
      <w:r w:rsidR="00D85487" w:rsidRPr="002A6806">
        <w:t xml:space="preserve">sufficient for coverage of </w:t>
      </w:r>
      <w:r w:rsidR="00021F4E" w:rsidRPr="002A6806">
        <w:t xml:space="preserve">the </w:t>
      </w:r>
      <w:r w:rsidR="00D85487" w:rsidRPr="002A6806">
        <w:t xml:space="preserve">current Australian legal axle limits. </w:t>
      </w:r>
      <w:r w:rsidR="006F12C6">
        <w:t>On the other hand, the axle loads have been forecast (Table 4) in excess of this upper maximum load limit. Although these forecast increases have yet to occur, if such axle loads increases do occur in the future the Austroads method would need to be revised to predict responses to these high loads and hence concrete pavement performance.</w:t>
      </w:r>
    </w:p>
    <w:p w:rsidR="006F12C6" w:rsidRPr="002A6806" w:rsidRDefault="006F12C6" w:rsidP="006F12C6">
      <w:pPr>
        <w:spacing w:after="0"/>
        <w:jc w:val="both"/>
      </w:pPr>
    </w:p>
    <w:p w:rsidR="00F524F7" w:rsidRPr="002A6806" w:rsidRDefault="00F524F7" w:rsidP="007017D3">
      <w:pPr>
        <w:spacing w:after="0"/>
        <w:jc w:val="both"/>
      </w:pPr>
      <w:r w:rsidRPr="002A6806">
        <w:t xml:space="preserve">EverFE </w:t>
      </w:r>
      <w:r w:rsidR="00BB43B8" w:rsidRPr="002A6806">
        <w:t xml:space="preserve">can </w:t>
      </w:r>
      <w:r w:rsidR="00270B4C" w:rsidRPr="002A6806">
        <w:t xml:space="preserve">in this case </w:t>
      </w:r>
      <w:r w:rsidR="00BB43B8" w:rsidRPr="002A6806">
        <w:t>be</w:t>
      </w:r>
      <w:r w:rsidRPr="002A6806">
        <w:t xml:space="preserve"> used to obtain the maximum</w:t>
      </w:r>
      <w:r w:rsidR="00270B4C" w:rsidRPr="002A6806">
        <w:t xml:space="preserve"> tensile </w:t>
      </w:r>
      <w:r w:rsidRPr="002A6806">
        <w:t>stress</w:t>
      </w:r>
      <w:r w:rsidR="00DF7961" w:rsidRPr="002A6806">
        <w:t>es</w:t>
      </w:r>
      <w:r w:rsidRPr="002A6806">
        <w:t xml:space="preserve"> under future loading conditions </w:t>
      </w:r>
      <w:r w:rsidR="00FC5DE4" w:rsidRPr="002A6806">
        <w:t>which</w:t>
      </w:r>
      <w:r w:rsidR="00BB43B8" w:rsidRPr="002A6806">
        <w:t xml:space="preserve"> may</w:t>
      </w:r>
      <w:r w:rsidRPr="002A6806">
        <w:t xml:space="preserve"> subsequently be used for </w:t>
      </w:r>
      <w:r w:rsidR="00BB43B8" w:rsidRPr="002A6806">
        <w:t xml:space="preserve">damage </w:t>
      </w:r>
      <w:r w:rsidRPr="002A6806">
        <w:t>analysis by assuming</w:t>
      </w:r>
      <w:r w:rsidR="00FC5DE4" w:rsidRPr="002A6806">
        <w:t xml:space="preserve"> the applicability of </w:t>
      </w:r>
      <w:r w:rsidRPr="002A6806">
        <w:t xml:space="preserve">the </w:t>
      </w:r>
      <w:r w:rsidR="00FC5DE4" w:rsidRPr="002A6806">
        <w:t xml:space="preserve">current </w:t>
      </w:r>
      <w:r w:rsidRPr="002A6806">
        <w:t>formulas for calculating allowable load repetitions</w:t>
      </w:r>
      <w:r w:rsidR="00FC5DE4" w:rsidRPr="002A6806">
        <w:t>.</w:t>
      </w:r>
      <w:r w:rsidRPr="002A6806">
        <w:t xml:space="preserve"> </w:t>
      </w:r>
      <w:r w:rsidR="00BB43B8" w:rsidRPr="002A6806">
        <w:t>However, since the erosion analysis of the Austroads method does not take into consideration the pavement stress, only fatigue failure will be subsequently discussed.</w:t>
      </w:r>
    </w:p>
    <w:p w:rsidR="00DF7961" w:rsidRPr="002A6806" w:rsidRDefault="00DF7961" w:rsidP="007017D3">
      <w:pPr>
        <w:spacing w:after="0"/>
        <w:jc w:val="both"/>
      </w:pPr>
    </w:p>
    <w:p w:rsidR="00DF7961" w:rsidRPr="002A6806" w:rsidRDefault="00DF7961" w:rsidP="007017D3">
      <w:pPr>
        <w:spacing w:after="0"/>
        <w:jc w:val="both"/>
      </w:pPr>
      <w:r w:rsidRPr="002A6806">
        <w:t xml:space="preserve">EverFE </w:t>
      </w:r>
      <w:r w:rsidR="00FC5DE4" w:rsidRPr="002A6806">
        <w:t>was</w:t>
      </w:r>
      <w:r w:rsidRPr="002A6806">
        <w:t xml:space="preserve"> </w:t>
      </w:r>
      <w:r w:rsidR="00270B4C" w:rsidRPr="002A6806">
        <w:t xml:space="preserve">then </w:t>
      </w:r>
      <w:r w:rsidRPr="002A6806">
        <w:t xml:space="preserve">used to </w:t>
      </w:r>
      <w:r w:rsidR="00FC5DE4" w:rsidRPr="002A6806">
        <w:t>obtain</w:t>
      </w:r>
      <w:r w:rsidRPr="002A6806">
        <w:t xml:space="preserve"> the response of </w:t>
      </w:r>
      <w:r w:rsidR="00FC5DE4" w:rsidRPr="002A6806">
        <w:t>the model</w:t>
      </w:r>
      <w:r w:rsidRPr="002A6806">
        <w:t xml:space="preserve"> pavement to</w:t>
      </w:r>
      <w:r w:rsidR="00B17C5D" w:rsidRPr="002A6806">
        <w:t xml:space="preserve"> the</w:t>
      </w:r>
      <w:r w:rsidRPr="002A6806">
        <w:t xml:space="preserve"> </w:t>
      </w:r>
      <w:r w:rsidR="006165BC" w:rsidRPr="002A6806">
        <w:t>hypothetical</w:t>
      </w:r>
      <w:r w:rsidRPr="002A6806">
        <w:t xml:space="preserve"> </w:t>
      </w:r>
      <w:r w:rsidR="00B17C5D" w:rsidRPr="002A6806">
        <w:t xml:space="preserve">future </w:t>
      </w:r>
      <w:r w:rsidR="001F3B76" w:rsidRPr="002A6806">
        <w:t>loadings</w:t>
      </w:r>
      <w:r w:rsidRPr="002A6806">
        <w:t xml:space="preserve"> for the axle configurations specified (</w:t>
      </w:r>
      <w:r w:rsidR="00137AB6" w:rsidRPr="002A6806">
        <w:t xml:space="preserve">see </w:t>
      </w:r>
      <w:r w:rsidRPr="002A6806">
        <w:t>Table 4). Axle loading was positioned in the centre of the loaded slab, 600</w:t>
      </w:r>
      <w:r w:rsidR="00E27D5F" w:rsidRPr="002A6806">
        <w:t xml:space="preserve"> </w:t>
      </w:r>
      <w:r w:rsidRPr="002A6806">
        <w:t xml:space="preserve">mm from the edge line as per the previous modelling conditions. Thirteen elements were used for FE meshing. The following results shown in Table </w:t>
      </w:r>
      <w:r w:rsidR="00137AB6" w:rsidRPr="002A6806">
        <w:t>7</w:t>
      </w:r>
      <w:r w:rsidRPr="002A6806">
        <w:t xml:space="preserve"> were obtained for</w:t>
      </w:r>
      <w:r w:rsidR="00137AB6" w:rsidRPr="002A6806">
        <w:t xml:space="preserve"> the</w:t>
      </w:r>
      <w:r w:rsidRPr="002A6806">
        <w:t xml:space="preserve"> </w:t>
      </w:r>
      <w:r w:rsidR="00E27D5F" w:rsidRPr="002A6806">
        <w:t xml:space="preserve">maximum tensile </w:t>
      </w:r>
      <w:r w:rsidRPr="002A6806">
        <w:t>stresses in the pavement.</w:t>
      </w:r>
      <w:r w:rsidR="00137AB6" w:rsidRPr="002A6806">
        <w:t xml:space="preserve"> A comparison between the</w:t>
      </w:r>
      <w:r w:rsidR="00B17C5D" w:rsidRPr="002A6806">
        <w:t xml:space="preserve"> </w:t>
      </w:r>
      <w:r w:rsidR="00544381" w:rsidRPr="002A6806">
        <w:t xml:space="preserve">pavement maximum </w:t>
      </w:r>
      <w:r w:rsidR="00137AB6" w:rsidRPr="002A6806">
        <w:t xml:space="preserve">stresses </w:t>
      </w:r>
      <w:r w:rsidR="00B17C5D" w:rsidRPr="002A6806">
        <w:t xml:space="preserve">under the hypothetical loadings </w:t>
      </w:r>
      <w:r w:rsidR="00137AB6" w:rsidRPr="002A6806">
        <w:t>and the current stresses (as calculated by Austroads and EverFE)</w:t>
      </w:r>
      <w:r w:rsidR="00544381" w:rsidRPr="002A6806">
        <w:t xml:space="preserve"> is presented</w:t>
      </w:r>
      <w:r w:rsidR="00137AB6" w:rsidRPr="002A6806">
        <w:t xml:space="preserve"> in</w:t>
      </w:r>
      <w:r w:rsidRPr="002A6806">
        <w:t xml:space="preserve"> Figure </w:t>
      </w:r>
      <w:r w:rsidR="00FC5DE4" w:rsidRPr="002A6806">
        <w:t>1</w:t>
      </w:r>
      <w:r w:rsidRPr="002A6806">
        <w:t xml:space="preserve"> for comparison</w:t>
      </w:r>
      <w:r w:rsidR="00137AB6" w:rsidRPr="002A6806">
        <w:t>.</w:t>
      </w:r>
    </w:p>
    <w:p w:rsidR="00DF7961" w:rsidRPr="002A6806" w:rsidRDefault="00DF7961" w:rsidP="007017D3">
      <w:pPr>
        <w:spacing w:after="0"/>
        <w:jc w:val="both"/>
      </w:pPr>
    </w:p>
    <w:p w:rsidR="00137AB6" w:rsidRPr="002A6806" w:rsidRDefault="00137AB6" w:rsidP="007017D3">
      <w:pPr>
        <w:spacing w:after="0"/>
        <w:jc w:val="both"/>
        <w:rPr>
          <w:b/>
          <w:bCs/>
          <w:i/>
        </w:rPr>
      </w:pPr>
      <w:bookmarkStart w:id="4" w:name="_Ref432503537"/>
      <w:bookmarkStart w:id="5" w:name="_Toc306885358"/>
      <w:r w:rsidRPr="002A6806">
        <w:rPr>
          <w:b/>
          <w:bCs/>
          <w:i/>
        </w:rPr>
        <w:t>Table 7:</w:t>
      </w:r>
      <w:bookmarkEnd w:id="4"/>
      <w:r w:rsidRPr="002A6806">
        <w:rPr>
          <w:b/>
          <w:bCs/>
          <w:i/>
        </w:rPr>
        <w:t xml:space="preserve">  EverFE maximum </w:t>
      </w:r>
      <w:r w:rsidR="00F57F37" w:rsidRPr="002A6806">
        <w:rPr>
          <w:b/>
          <w:bCs/>
          <w:i/>
        </w:rPr>
        <w:t xml:space="preserve">tensile </w:t>
      </w:r>
      <w:r w:rsidRPr="002A6806">
        <w:rPr>
          <w:b/>
          <w:bCs/>
          <w:i/>
        </w:rPr>
        <w:t>stress for</w:t>
      </w:r>
      <w:r w:rsidR="00B17C5D" w:rsidRPr="002A6806">
        <w:rPr>
          <w:b/>
          <w:bCs/>
          <w:i/>
        </w:rPr>
        <w:t xml:space="preserve"> the hypothetical</w:t>
      </w:r>
      <w:r w:rsidRPr="002A6806">
        <w:rPr>
          <w:b/>
          <w:bCs/>
          <w:i/>
        </w:rPr>
        <w:t xml:space="preserve"> future load</w:t>
      </w:r>
      <w:bookmarkEnd w:id="5"/>
      <w:r w:rsidRPr="002A6806">
        <w:rPr>
          <w:b/>
          <w:bCs/>
          <w:i/>
        </w:rPr>
        <w:t>ing</w:t>
      </w:r>
    </w:p>
    <w:p w:rsidR="00137AB6" w:rsidRPr="002A6806" w:rsidRDefault="00137AB6" w:rsidP="007017D3">
      <w:pPr>
        <w:spacing w:after="0"/>
        <w:jc w:val="both"/>
        <w:rPr>
          <w:b/>
          <w:bCs/>
        </w:rPr>
      </w:pPr>
    </w:p>
    <w:tbl>
      <w:tblPr>
        <w:tblW w:w="4536" w:type="dxa"/>
        <w:tblInd w:w="250" w:type="dxa"/>
        <w:tblLayout w:type="fixed"/>
        <w:tblLook w:val="04A0" w:firstRow="1" w:lastRow="0" w:firstColumn="1" w:lastColumn="0" w:noHBand="0" w:noVBand="1"/>
      </w:tblPr>
      <w:tblGrid>
        <w:gridCol w:w="1843"/>
        <w:gridCol w:w="2693"/>
      </w:tblGrid>
      <w:tr w:rsidR="00137AB6" w:rsidRPr="002A6806" w:rsidTr="00FC5DE4">
        <w:trPr>
          <w:trHeight w:val="300"/>
        </w:trPr>
        <w:tc>
          <w:tcPr>
            <w:tcW w:w="18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
              </w:rPr>
            </w:pPr>
            <w:r w:rsidRPr="002A6806">
              <w:rPr>
                <w:b/>
              </w:rPr>
              <w:t>Axle Group Type</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FC5DE4" w:rsidRPr="002A6806" w:rsidRDefault="00137AB6" w:rsidP="00FC5DE4">
            <w:pPr>
              <w:spacing w:after="0"/>
              <w:jc w:val="center"/>
              <w:rPr>
                <w:b/>
              </w:rPr>
            </w:pPr>
            <w:r w:rsidRPr="002A6806">
              <w:rPr>
                <w:b/>
              </w:rPr>
              <w:t xml:space="preserve">EverFE </w:t>
            </w:r>
            <w:r w:rsidR="00FC5DE4" w:rsidRPr="002A6806">
              <w:rPr>
                <w:b/>
              </w:rPr>
              <w:t xml:space="preserve">maximum </w:t>
            </w:r>
          </w:p>
          <w:p w:rsidR="00137AB6" w:rsidRPr="002A6806" w:rsidRDefault="00FC5DE4" w:rsidP="00FC5DE4">
            <w:pPr>
              <w:spacing w:after="0"/>
              <w:jc w:val="center"/>
              <w:rPr>
                <w:b/>
              </w:rPr>
            </w:pPr>
            <w:r w:rsidRPr="002A6806">
              <w:rPr>
                <w:b/>
              </w:rPr>
              <w:t xml:space="preserve">tensile </w:t>
            </w:r>
            <w:r w:rsidR="00137AB6" w:rsidRPr="002A6806">
              <w:rPr>
                <w:b/>
              </w:rPr>
              <w:t>stress</w:t>
            </w:r>
          </w:p>
          <w:p w:rsidR="00137AB6" w:rsidRPr="002A6806" w:rsidRDefault="00137AB6" w:rsidP="00FC5DE4">
            <w:pPr>
              <w:spacing w:after="0"/>
              <w:jc w:val="center"/>
              <w:rPr>
                <w:b/>
              </w:rPr>
            </w:pPr>
            <w:r w:rsidRPr="002A6806">
              <w:rPr>
                <w:b/>
              </w:rPr>
              <w:t>13 elements (MPa)</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SAST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2.059</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TAST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1.952</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SADT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2.891</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TADT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2.654</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TRDT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2.560</w:t>
            </w:r>
          </w:p>
        </w:tc>
      </w:tr>
      <w:tr w:rsidR="00137AB6" w:rsidRPr="002A6806" w:rsidTr="00FC5DE4">
        <w:trPr>
          <w:trHeight w:val="300"/>
        </w:trPr>
        <w:tc>
          <w:tcPr>
            <w:tcW w:w="1843" w:type="dxa"/>
            <w:tcBorders>
              <w:top w:val="nil"/>
              <w:left w:val="single" w:sz="4" w:space="0" w:color="auto"/>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rPr>
                <w:bCs/>
              </w:rPr>
            </w:pPr>
            <w:r w:rsidRPr="002A6806">
              <w:rPr>
                <w:bCs/>
              </w:rPr>
              <w:t>QADT</w:t>
            </w:r>
          </w:p>
        </w:tc>
        <w:tc>
          <w:tcPr>
            <w:tcW w:w="2693" w:type="dxa"/>
            <w:tcBorders>
              <w:top w:val="nil"/>
              <w:left w:val="nil"/>
              <w:bottom w:val="single" w:sz="4" w:space="0" w:color="auto"/>
              <w:right w:val="single" w:sz="4" w:space="0" w:color="auto"/>
            </w:tcBorders>
            <w:shd w:val="clear" w:color="auto" w:fill="auto"/>
            <w:noWrap/>
            <w:vAlign w:val="bottom"/>
            <w:hideMark/>
          </w:tcPr>
          <w:p w:rsidR="00137AB6" w:rsidRPr="002A6806" w:rsidRDefault="00137AB6" w:rsidP="00FC5DE4">
            <w:pPr>
              <w:spacing w:after="0"/>
              <w:jc w:val="center"/>
            </w:pPr>
            <w:r w:rsidRPr="002A6806">
              <w:t>2.044</w:t>
            </w:r>
          </w:p>
        </w:tc>
      </w:tr>
    </w:tbl>
    <w:p w:rsidR="00FC5DE4" w:rsidRPr="002A6806" w:rsidRDefault="00FC5DE4" w:rsidP="007017D3">
      <w:pPr>
        <w:spacing w:after="0"/>
        <w:jc w:val="both"/>
      </w:pPr>
    </w:p>
    <w:p w:rsidR="00FC5DE4" w:rsidRPr="002A6806" w:rsidRDefault="00FC5DE4" w:rsidP="00FC5DE4">
      <w:pPr>
        <w:spacing w:after="0"/>
        <w:jc w:val="both"/>
      </w:pPr>
      <w:r w:rsidRPr="002A6806">
        <w:t xml:space="preserve">It is seen that the average concrete </w:t>
      </w:r>
      <w:r w:rsidR="00270B4C" w:rsidRPr="002A6806">
        <w:t xml:space="preserve">tensile </w:t>
      </w:r>
      <w:r w:rsidRPr="002A6806">
        <w:t xml:space="preserve">stress for the future loading is much larger than the average stress for the current loading condition. For the EverFE results, the </w:t>
      </w:r>
      <w:r w:rsidR="00270B4C" w:rsidRPr="002A6806">
        <w:t xml:space="preserve">increase from Austroads </w:t>
      </w:r>
      <w:r w:rsidRPr="002A6806">
        <w:t xml:space="preserve">stress </w:t>
      </w:r>
      <w:r w:rsidR="00270B4C" w:rsidRPr="002A6806">
        <w:t>values</w:t>
      </w:r>
      <w:r w:rsidRPr="002A6806">
        <w:t xml:space="preserve"> varies with the loading types and is particularly greater for SADT, TADT and TRDT; however, on</w:t>
      </w:r>
      <w:r w:rsidR="004441C3" w:rsidRPr="002A6806">
        <w:t xml:space="preserve"> the</w:t>
      </w:r>
      <w:r w:rsidRPr="002A6806">
        <w:t xml:space="preserve"> average the maximum </w:t>
      </w:r>
      <w:r w:rsidR="00270B4C" w:rsidRPr="002A6806">
        <w:t xml:space="preserve">tensile </w:t>
      </w:r>
      <w:r w:rsidRPr="002A6806">
        <w:t>stress under the future loading conditions</w:t>
      </w:r>
      <w:r w:rsidR="004441C3" w:rsidRPr="002A6806">
        <w:t xml:space="preserve"> increases threefold from</w:t>
      </w:r>
      <w:r w:rsidRPr="002A6806">
        <w:t xml:space="preserve"> the average </w:t>
      </w:r>
      <w:r w:rsidR="00270B4C" w:rsidRPr="002A6806">
        <w:t xml:space="preserve">tensile </w:t>
      </w:r>
      <w:r w:rsidRPr="002A6806">
        <w:t>stress of the current loading. Under such high stresses it was found that future loading conditions will result in early</w:t>
      </w:r>
      <w:r w:rsidR="00F10151" w:rsidRPr="002A6806">
        <w:t xml:space="preserve"> fatigue</w:t>
      </w:r>
      <w:r w:rsidRPr="002A6806">
        <w:t xml:space="preserve"> failure of the 240 mm thick model concrete pavement. While it would be possible to increase the concrete thickness to cater for the future loading conditions, such an iterative procedure would be time consuming and</w:t>
      </w:r>
      <w:r w:rsidR="00270B4C" w:rsidRPr="002A6806">
        <w:t xml:space="preserve"> hence,</w:t>
      </w:r>
      <w:r w:rsidRPr="002A6806">
        <w:t xml:space="preserve"> was not attempted in the current study.</w:t>
      </w:r>
    </w:p>
    <w:p w:rsidR="00D85487" w:rsidRPr="002A6806" w:rsidRDefault="00F57F37" w:rsidP="007017D3">
      <w:pPr>
        <w:spacing w:after="0"/>
        <w:jc w:val="both"/>
      </w:pPr>
      <w:r w:rsidRPr="002A6806">
        <w:rPr>
          <w:noProof/>
          <w:lang w:eastAsia="en-AU"/>
        </w:rPr>
        <w:lastRenderedPageBreak/>
        <w:drawing>
          <wp:inline distT="0" distB="0" distL="0" distR="0" wp14:anchorId="04D03437" wp14:editId="426FC280">
            <wp:extent cx="4018209" cy="2957685"/>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8209" cy="2957685"/>
                    </a:xfrm>
                    <a:prstGeom prst="rect">
                      <a:avLst/>
                    </a:prstGeom>
                    <a:noFill/>
                    <a:ln>
                      <a:noFill/>
                    </a:ln>
                  </pic:spPr>
                </pic:pic>
              </a:graphicData>
            </a:graphic>
          </wp:inline>
        </w:drawing>
      </w:r>
    </w:p>
    <w:p w:rsidR="00544381" w:rsidRPr="002A6806" w:rsidRDefault="00544381" w:rsidP="007017D3">
      <w:pPr>
        <w:spacing w:after="0"/>
        <w:jc w:val="both"/>
        <w:rPr>
          <w:b/>
          <w:bCs/>
        </w:rPr>
      </w:pPr>
      <w:r w:rsidRPr="002A6806">
        <w:rPr>
          <w:b/>
          <w:bCs/>
        </w:rPr>
        <w:t xml:space="preserve"> </w:t>
      </w:r>
    </w:p>
    <w:p w:rsidR="00544381" w:rsidRPr="002A6806" w:rsidRDefault="00544381" w:rsidP="007017D3">
      <w:pPr>
        <w:spacing w:after="0"/>
        <w:jc w:val="both"/>
        <w:rPr>
          <w:b/>
          <w:bCs/>
          <w:i/>
        </w:rPr>
      </w:pPr>
      <w:r w:rsidRPr="002A6806">
        <w:rPr>
          <w:b/>
          <w:bCs/>
          <w:i/>
        </w:rPr>
        <w:t xml:space="preserve">Figure </w:t>
      </w:r>
      <w:r w:rsidR="00FC5DE4" w:rsidRPr="002A6806">
        <w:rPr>
          <w:b/>
          <w:bCs/>
          <w:i/>
        </w:rPr>
        <w:t>1</w:t>
      </w:r>
      <w:r w:rsidRPr="002A6806">
        <w:rPr>
          <w:b/>
          <w:bCs/>
          <w:i/>
        </w:rPr>
        <w:t xml:space="preserve">: Comparison of concrete </w:t>
      </w:r>
      <w:r w:rsidR="00F57F37" w:rsidRPr="002A6806">
        <w:rPr>
          <w:b/>
          <w:bCs/>
          <w:i/>
        </w:rPr>
        <w:t xml:space="preserve">tensile </w:t>
      </w:r>
      <w:r w:rsidRPr="002A6806">
        <w:rPr>
          <w:b/>
          <w:bCs/>
          <w:i/>
        </w:rPr>
        <w:t>stresses under different loading conditions</w:t>
      </w:r>
    </w:p>
    <w:p w:rsidR="00544381" w:rsidRPr="002A6806" w:rsidRDefault="00544381" w:rsidP="007017D3">
      <w:pPr>
        <w:spacing w:after="0"/>
        <w:jc w:val="both"/>
      </w:pPr>
    </w:p>
    <w:p w:rsidR="00C820D2" w:rsidRPr="002A6806" w:rsidRDefault="00C820D2" w:rsidP="007017D3">
      <w:pPr>
        <w:pStyle w:val="Heading2"/>
        <w:ind w:left="0" w:firstLine="0"/>
        <w:jc w:val="both"/>
        <w:rPr>
          <w:lang w:val="en-US"/>
        </w:rPr>
      </w:pPr>
      <w:r w:rsidRPr="002A6806">
        <w:t>Effects of wheel position</w:t>
      </w:r>
    </w:p>
    <w:p w:rsidR="00544381" w:rsidRPr="002A6806" w:rsidRDefault="000B7857" w:rsidP="007017D3">
      <w:pPr>
        <w:spacing w:after="0"/>
        <w:jc w:val="both"/>
      </w:pPr>
      <w:r w:rsidRPr="002A6806">
        <w:t xml:space="preserve">As previously described, </w:t>
      </w:r>
      <w:r w:rsidR="00FC5DE4" w:rsidRPr="002A6806">
        <w:t>past</w:t>
      </w:r>
      <w:r w:rsidRPr="002A6806">
        <w:t xml:space="preserve"> studies</w:t>
      </w:r>
      <w:r w:rsidR="00FC5DE4" w:rsidRPr="002A6806">
        <w:t xml:space="preserve"> suggested that</w:t>
      </w:r>
      <w:r w:rsidRPr="002A6806">
        <w:t xml:space="preserve"> commercial vehicles tend to travel closer to the edge pf pavement</w:t>
      </w:r>
      <w:r w:rsidR="00250A5D" w:rsidRPr="002A6806">
        <w:t xml:space="preserve"> (see Table 2)</w:t>
      </w:r>
      <w:r w:rsidRPr="002A6806">
        <w:t xml:space="preserve">. </w:t>
      </w:r>
      <w:r w:rsidR="00C820D2" w:rsidRPr="002A6806">
        <w:t>EverFE was</w:t>
      </w:r>
      <w:r w:rsidR="00250A5D" w:rsidRPr="002A6806">
        <w:t xml:space="preserve"> therefore</w:t>
      </w:r>
      <w:r w:rsidR="00C820D2" w:rsidRPr="002A6806">
        <w:t xml:space="preserve"> used to model the response of </w:t>
      </w:r>
      <w:r w:rsidR="00FC5DE4" w:rsidRPr="002A6806">
        <w:t xml:space="preserve">the model </w:t>
      </w:r>
      <w:r w:rsidR="00C820D2" w:rsidRPr="002A6806">
        <w:t>rigid pavement to both the current allowable loading</w:t>
      </w:r>
      <w:r w:rsidR="001F3B76" w:rsidRPr="002A6806">
        <w:t>s</w:t>
      </w:r>
      <w:r w:rsidR="00C820D2" w:rsidRPr="002A6806">
        <w:t xml:space="preserve"> and the </w:t>
      </w:r>
      <w:r w:rsidR="006165BC" w:rsidRPr="002A6806">
        <w:t>hypothetical</w:t>
      </w:r>
      <w:r w:rsidR="00250A5D" w:rsidRPr="002A6806">
        <w:t xml:space="preserve"> future loading</w:t>
      </w:r>
      <w:r w:rsidR="001F3B76" w:rsidRPr="002A6806">
        <w:t>s</w:t>
      </w:r>
      <w:r w:rsidR="00C820D2" w:rsidRPr="002A6806">
        <w:t xml:space="preserve"> at two differ</w:t>
      </w:r>
      <w:r w:rsidR="00250A5D" w:rsidRPr="002A6806">
        <w:t>ent wheel</w:t>
      </w:r>
      <w:r w:rsidR="00C820D2" w:rsidRPr="002A6806">
        <w:t xml:space="preserve"> locations. </w:t>
      </w:r>
      <w:r w:rsidR="00250A5D" w:rsidRPr="002A6806">
        <w:t>The first was for an axle loading positioned at</w:t>
      </w:r>
      <w:r w:rsidR="00C820D2" w:rsidRPr="002A6806">
        <w:t xml:space="preserve"> the centre of the loaded slab a</w:t>
      </w:r>
      <w:r w:rsidR="00250A5D" w:rsidRPr="002A6806">
        <w:t>t a</w:t>
      </w:r>
      <w:r w:rsidR="00C820D2" w:rsidRPr="002A6806">
        <w:t xml:space="preserve"> location 600</w:t>
      </w:r>
      <w:r w:rsidR="00FC5DE4" w:rsidRPr="002A6806">
        <w:t xml:space="preserve"> </w:t>
      </w:r>
      <w:r w:rsidR="00C820D2" w:rsidRPr="002A6806">
        <w:t>mm from the edge line (</w:t>
      </w:r>
      <w:r w:rsidR="00270B4C" w:rsidRPr="002A6806">
        <w:t xml:space="preserve">i.e. </w:t>
      </w:r>
      <w:r w:rsidR="00C820D2" w:rsidRPr="002A6806">
        <w:t xml:space="preserve">Austroads condition), and </w:t>
      </w:r>
      <w:r w:rsidR="00250A5D" w:rsidRPr="002A6806">
        <w:t xml:space="preserve">the second involves a similar </w:t>
      </w:r>
      <w:r w:rsidR="00C820D2" w:rsidRPr="002A6806">
        <w:t xml:space="preserve">axle loading </w:t>
      </w:r>
      <w:r w:rsidR="00250A5D" w:rsidRPr="002A6806">
        <w:t xml:space="preserve">but </w:t>
      </w:r>
      <w:r w:rsidR="00C820D2" w:rsidRPr="002A6806">
        <w:t>positioned 100</w:t>
      </w:r>
      <w:r w:rsidR="00FC5DE4" w:rsidRPr="002A6806">
        <w:t xml:space="preserve"> </w:t>
      </w:r>
      <w:r w:rsidR="00C820D2" w:rsidRPr="002A6806">
        <w:t>mm from the</w:t>
      </w:r>
      <w:r w:rsidR="00250A5D" w:rsidRPr="002A6806">
        <w:t xml:space="preserve"> pavement </w:t>
      </w:r>
      <w:r w:rsidR="00C820D2" w:rsidRPr="002A6806">
        <w:t>edge</w:t>
      </w:r>
      <w:r w:rsidR="00250A5D" w:rsidRPr="002A6806">
        <w:t>.</w:t>
      </w:r>
      <w:r w:rsidR="00C820D2" w:rsidRPr="002A6806">
        <w:t xml:space="preserve"> For each case pavements were modelled</w:t>
      </w:r>
      <w:r w:rsidR="00250A5D" w:rsidRPr="002A6806">
        <w:t xml:space="preserve"> as</w:t>
      </w:r>
      <w:r w:rsidR="00C820D2" w:rsidRPr="002A6806">
        <w:t xml:space="preserve"> </w:t>
      </w:r>
      <w:proofErr w:type="spellStart"/>
      <w:r w:rsidR="00C820D2" w:rsidRPr="002A6806">
        <w:t>unbonded</w:t>
      </w:r>
      <w:proofErr w:type="spellEnd"/>
      <w:r w:rsidR="00250A5D" w:rsidRPr="002A6806">
        <w:t>.</w:t>
      </w:r>
      <w:r w:rsidR="00C820D2" w:rsidRPr="002A6806">
        <w:t xml:space="preserve"> The following results, shown in Table 8 were obtained f</w:t>
      </w:r>
      <w:r w:rsidR="00A635AA" w:rsidRPr="002A6806">
        <w:t>rom</w:t>
      </w:r>
      <w:r w:rsidR="00C820D2" w:rsidRPr="002A6806">
        <w:t xml:space="preserve"> EverFE.</w:t>
      </w:r>
    </w:p>
    <w:p w:rsidR="00A635AA" w:rsidRPr="002A6806" w:rsidRDefault="00A635AA" w:rsidP="007017D3">
      <w:pPr>
        <w:spacing w:after="0"/>
        <w:jc w:val="both"/>
      </w:pPr>
    </w:p>
    <w:p w:rsidR="00A635AA" w:rsidRPr="002A6806" w:rsidRDefault="001D373F" w:rsidP="007017D3">
      <w:pPr>
        <w:spacing w:after="0"/>
        <w:jc w:val="both"/>
        <w:rPr>
          <w:b/>
          <w:bCs/>
          <w:i/>
        </w:rPr>
      </w:pPr>
      <w:r w:rsidRPr="002A6806">
        <w:rPr>
          <w:b/>
          <w:bCs/>
          <w:i/>
        </w:rPr>
        <w:t>Table 8</w:t>
      </w:r>
      <w:r w:rsidR="00A635AA" w:rsidRPr="002A6806">
        <w:rPr>
          <w:b/>
          <w:bCs/>
          <w:i/>
        </w:rPr>
        <w:t xml:space="preserve">:  EverFE maximum </w:t>
      </w:r>
      <w:r w:rsidRPr="002A6806">
        <w:rPr>
          <w:b/>
          <w:bCs/>
          <w:i/>
        </w:rPr>
        <w:t xml:space="preserve">tensile </w:t>
      </w:r>
      <w:r w:rsidR="00A635AA" w:rsidRPr="002A6806">
        <w:rPr>
          <w:b/>
          <w:bCs/>
          <w:i/>
        </w:rPr>
        <w:t>stress at two different wheel positions (for current loading)</w:t>
      </w:r>
    </w:p>
    <w:p w:rsidR="00A635AA" w:rsidRPr="002A6806" w:rsidRDefault="00A635AA" w:rsidP="007017D3">
      <w:pPr>
        <w:spacing w:after="0"/>
        <w:jc w:val="both"/>
      </w:pPr>
    </w:p>
    <w:tbl>
      <w:tblPr>
        <w:tblW w:w="0" w:type="auto"/>
        <w:tblInd w:w="93" w:type="dxa"/>
        <w:tblLook w:val="04A0" w:firstRow="1" w:lastRow="0" w:firstColumn="1" w:lastColumn="0" w:noHBand="0" w:noVBand="1"/>
      </w:tblPr>
      <w:tblGrid>
        <w:gridCol w:w="1217"/>
        <w:gridCol w:w="1537"/>
        <w:gridCol w:w="1537"/>
        <w:gridCol w:w="1795"/>
      </w:tblGrid>
      <w:tr w:rsidR="00A635AA" w:rsidRPr="002A6806" w:rsidTr="00A635AA">
        <w:trPr>
          <w:trHeight w:val="300"/>
        </w:trPr>
        <w:tc>
          <w:tcPr>
            <w:tcW w:w="0" w:type="auto"/>
            <w:tcBorders>
              <w:bottom w:val="single" w:sz="4" w:space="0" w:color="auto"/>
              <w:right w:val="single" w:sz="4" w:space="0" w:color="auto"/>
            </w:tcBorders>
            <w:shd w:val="clear" w:color="auto" w:fill="auto"/>
            <w:noWrap/>
            <w:vAlign w:val="bottom"/>
          </w:tcPr>
          <w:p w:rsidR="00A635AA" w:rsidRPr="002A6806" w:rsidRDefault="00A635AA" w:rsidP="007017D3">
            <w:pPr>
              <w:spacing w:after="0"/>
              <w:jc w:val="both"/>
              <w:rPr>
                <w:b/>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rPr>
                <w:b/>
                <w:bCs/>
              </w:rPr>
            </w:pPr>
            <w:r w:rsidRPr="002A6806">
              <w:rPr>
                <w:b/>
                <w:bCs/>
              </w:rPr>
              <w:t xml:space="preserve">Maximum </w:t>
            </w:r>
            <w:r w:rsidR="001D373F" w:rsidRPr="002A6806">
              <w:rPr>
                <w:b/>
                <w:bCs/>
              </w:rPr>
              <w:t xml:space="preserve">tensile </w:t>
            </w:r>
            <w:r w:rsidRPr="002A6806">
              <w:rPr>
                <w:b/>
                <w:bCs/>
              </w:rPr>
              <w:t>stress (MPa)</w:t>
            </w:r>
          </w:p>
        </w:tc>
        <w:tc>
          <w:tcPr>
            <w:tcW w:w="0" w:type="auto"/>
            <w:tcBorders>
              <w:left w:val="nil"/>
              <w:bottom w:val="single" w:sz="4" w:space="0" w:color="auto"/>
            </w:tcBorders>
          </w:tcPr>
          <w:p w:rsidR="00A635AA" w:rsidRPr="002A6806" w:rsidRDefault="00A635AA" w:rsidP="007017D3">
            <w:pPr>
              <w:spacing w:after="0"/>
              <w:jc w:val="both"/>
              <w:rPr>
                <w:b/>
                <w:bCs/>
              </w:rPr>
            </w:pPr>
          </w:p>
        </w:tc>
      </w:tr>
      <w:tr w:rsidR="00A635AA" w:rsidRPr="002A6806" w:rsidTr="00A635AA">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
              </w:rPr>
            </w:pPr>
            <w:r w:rsidRPr="002A6806">
              <w:rPr>
                <w:b/>
              </w:rPr>
              <w:t>Axle types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
                <w:bCs/>
              </w:rPr>
            </w:pPr>
            <w:r w:rsidRPr="002A6806">
              <w:rPr>
                <w:b/>
                <w:bCs/>
              </w:rPr>
              <w:t>600</w:t>
            </w:r>
            <w:r w:rsidR="0080370A" w:rsidRPr="002A6806">
              <w:rPr>
                <w:b/>
                <w:bCs/>
              </w:rPr>
              <w:t xml:space="preserve"> </w:t>
            </w:r>
            <w:r w:rsidRPr="002A6806">
              <w:rPr>
                <w:b/>
                <w:bCs/>
              </w:rPr>
              <w:t>mm from</w:t>
            </w:r>
          </w:p>
          <w:p w:rsidR="00A635AA" w:rsidRPr="002A6806" w:rsidRDefault="00A635AA" w:rsidP="007017D3">
            <w:pPr>
              <w:spacing w:after="0"/>
              <w:jc w:val="both"/>
              <w:rPr>
                <w:b/>
                <w:bCs/>
              </w:rPr>
            </w:pPr>
            <w:r w:rsidRPr="002A6806">
              <w:rPr>
                <w:b/>
                <w:bCs/>
              </w:rPr>
              <w:t>edge line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
                <w:bCs/>
              </w:rPr>
            </w:pPr>
            <w:r w:rsidRPr="002A6806">
              <w:rPr>
                <w:b/>
                <w:bCs/>
              </w:rPr>
              <w:t>100</w:t>
            </w:r>
            <w:r w:rsidR="0080370A" w:rsidRPr="002A6806">
              <w:rPr>
                <w:b/>
                <w:bCs/>
              </w:rPr>
              <w:t xml:space="preserve"> </w:t>
            </w:r>
            <w:r w:rsidRPr="002A6806">
              <w:rPr>
                <w:b/>
                <w:bCs/>
              </w:rPr>
              <w:t>mm from</w:t>
            </w:r>
          </w:p>
          <w:p w:rsidR="00A635AA" w:rsidRPr="002A6806" w:rsidRDefault="00A635AA" w:rsidP="007017D3">
            <w:pPr>
              <w:spacing w:after="0"/>
              <w:jc w:val="both"/>
              <w:rPr>
                <w:b/>
                <w:bCs/>
              </w:rPr>
            </w:pPr>
            <w:r w:rsidRPr="002A6806">
              <w:rPr>
                <w:b/>
                <w:bCs/>
              </w:rPr>
              <w:t>edge line</w:t>
            </w:r>
          </w:p>
        </w:tc>
        <w:tc>
          <w:tcPr>
            <w:tcW w:w="0" w:type="auto"/>
            <w:tcBorders>
              <w:top w:val="single" w:sz="4" w:space="0" w:color="auto"/>
              <w:left w:val="nil"/>
              <w:bottom w:val="single" w:sz="4" w:space="0" w:color="auto"/>
              <w:right w:val="single" w:sz="4" w:space="0" w:color="auto"/>
            </w:tcBorders>
          </w:tcPr>
          <w:p w:rsidR="00A635AA" w:rsidRPr="002A6806" w:rsidRDefault="00A635AA" w:rsidP="007017D3">
            <w:pPr>
              <w:spacing w:after="0"/>
              <w:jc w:val="both"/>
              <w:rPr>
                <w:b/>
                <w:bCs/>
              </w:rPr>
            </w:pPr>
            <w:r w:rsidRPr="002A6806">
              <w:rPr>
                <w:b/>
                <w:bCs/>
              </w:rPr>
              <w:t>Stress</w:t>
            </w:r>
          </w:p>
          <w:p w:rsidR="00A635AA" w:rsidRPr="002A6806" w:rsidRDefault="00A635AA" w:rsidP="007017D3">
            <w:pPr>
              <w:spacing w:after="0"/>
              <w:jc w:val="both"/>
              <w:rPr>
                <w:b/>
                <w:bCs/>
              </w:rPr>
            </w:pPr>
            <w:r w:rsidRPr="002A6806">
              <w:rPr>
                <w:b/>
                <w:bCs/>
              </w:rPr>
              <w:t>Difference (MPa)</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SAST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0.744</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0.860</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0.116</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SADT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0.695</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1.121</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0.426</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TAST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1.021</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0.776</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-0.245</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TADT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0.941</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1.004</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0.063</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TRDT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0.671</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0.707</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0.036</w:t>
            </w:r>
          </w:p>
        </w:tc>
      </w:tr>
      <w:tr w:rsidR="00A635AA" w:rsidRPr="002A6806" w:rsidTr="00A635AA">
        <w:trPr>
          <w:trHeight w:val="2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rPr>
                <w:bCs/>
              </w:rPr>
            </w:pPr>
            <w:r w:rsidRPr="002A6806">
              <w:rPr>
                <w:bCs/>
              </w:rPr>
              <w:t>QADT</w:t>
            </w:r>
          </w:p>
        </w:tc>
        <w:tc>
          <w:tcPr>
            <w:tcW w:w="0" w:type="auto"/>
            <w:tcBorders>
              <w:top w:val="nil"/>
              <w:left w:val="nil"/>
              <w:bottom w:val="single" w:sz="4" w:space="0" w:color="auto"/>
              <w:right w:val="single" w:sz="4" w:space="0" w:color="auto"/>
            </w:tcBorders>
            <w:shd w:val="clear" w:color="auto" w:fill="auto"/>
            <w:noWrap/>
            <w:vAlign w:val="bottom"/>
          </w:tcPr>
          <w:p w:rsidR="00A635AA" w:rsidRPr="002A6806" w:rsidRDefault="00A635AA" w:rsidP="007017D3">
            <w:pPr>
              <w:spacing w:after="0"/>
              <w:jc w:val="both"/>
            </w:pPr>
            <w:r w:rsidRPr="002A6806">
              <w:t>0.745</w:t>
            </w:r>
          </w:p>
        </w:tc>
        <w:tc>
          <w:tcPr>
            <w:tcW w:w="0" w:type="auto"/>
            <w:tcBorders>
              <w:top w:val="nil"/>
              <w:left w:val="nil"/>
              <w:bottom w:val="single" w:sz="4" w:space="0" w:color="auto"/>
              <w:right w:val="single" w:sz="4" w:space="0" w:color="auto"/>
            </w:tcBorders>
            <w:shd w:val="clear" w:color="auto" w:fill="auto"/>
            <w:noWrap/>
            <w:vAlign w:val="bottom"/>
            <w:hideMark/>
          </w:tcPr>
          <w:p w:rsidR="00A635AA" w:rsidRPr="002A6806" w:rsidRDefault="00A635AA" w:rsidP="007017D3">
            <w:pPr>
              <w:spacing w:after="0"/>
              <w:jc w:val="both"/>
            </w:pPr>
            <w:r w:rsidRPr="002A6806">
              <w:t>0.730</w:t>
            </w:r>
          </w:p>
        </w:tc>
        <w:tc>
          <w:tcPr>
            <w:tcW w:w="0" w:type="auto"/>
            <w:tcBorders>
              <w:top w:val="nil"/>
              <w:left w:val="nil"/>
              <w:bottom w:val="single" w:sz="4" w:space="0" w:color="auto"/>
              <w:right w:val="single" w:sz="4" w:space="0" w:color="auto"/>
            </w:tcBorders>
          </w:tcPr>
          <w:p w:rsidR="00A635AA" w:rsidRPr="002A6806" w:rsidRDefault="00A635AA" w:rsidP="007017D3">
            <w:pPr>
              <w:spacing w:after="0"/>
              <w:jc w:val="both"/>
            </w:pPr>
            <w:r w:rsidRPr="002A6806">
              <w:t>-0.015</w:t>
            </w:r>
          </w:p>
        </w:tc>
      </w:tr>
    </w:tbl>
    <w:p w:rsidR="00A635AA" w:rsidRPr="002A6806" w:rsidRDefault="00A635AA" w:rsidP="007017D3">
      <w:pPr>
        <w:spacing w:after="0"/>
        <w:jc w:val="both"/>
      </w:pPr>
    </w:p>
    <w:p w:rsidR="0097236A" w:rsidRPr="002A6806" w:rsidRDefault="00A635AA" w:rsidP="007017D3">
      <w:pPr>
        <w:spacing w:after="0"/>
        <w:jc w:val="both"/>
      </w:pPr>
      <w:r w:rsidRPr="002A6806">
        <w:t>Packard</w:t>
      </w:r>
      <w:r w:rsidR="006165BC" w:rsidRPr="002A6806">
        <w:t xml:space="preserve"> and </w:t>
      </w:r>
      <w:proofErr w:type="spellStart"/>
      <w:r w:rsidR="006165BC" w:rsidRPr="002A6806">
        <w:t>Tayabji</w:t>
      </w:r>
      <w:proofErr w:type="spellEnd"/>
      <w:r w:rsidRPr="002A6806">
        <w:t xml:space="preserve"> (1985) stated that vehicle axle loads placed at the outside edge of the pavement will result in more severe stress conditions than any other loading position; and as axle loads move inward these effects decrease substantially. From </w:t>
      </w:r>
      <w:r w:rsidR="0097236A" w:rsidRPr="002A6806">
        <w:t xml:space="preserve">Table </w:t>
      </w:r>
      <w:r w:rsidR="001D373F" w:rsidRPr="002A6806">
        <w:t>8</w:t>
      </w:r>
      <w:r w:rsidR="0097236A" w:rsidRPr="002A6806">
        <w:t xml:space="preserve"> i</w:t>
      </w:r>
      <w:r w:rsidRPr="002A6806">
        <w:t xml:space="preserve">t can be seen that </w:t>
      </w:r>
      <w:r w:rsidR="0097236A" w:rsidRPr="002A6806">
        <w:t>the maximum</w:t>
      </w:r>
      <w:r w:rsidRPr="002A6806">
        <w:t xml:space="preserve"> stress increases for a shift in load location to the edge line for all axle configurations except for TAST configuration with stress in this case decreas</w:t>
      </w:r>
      <w:r w:rsidR="001D373F" w:rsidRPr="002A6806">
        <w:t>es</w:t>
      </w:r>
      <w:r w:rsidRPr="002A6806">
        <w:t xml:space="preserve"> by approximately 0.25</w:t>
      </w:r>
      <w:r w:rsidR="001D373F" w:rsidRPr="002A6806">
        <w:t xml:space="preserve"> </w:t>
      </w:r>
      <w:r w:rsidRPr="002A6806">
        <w:t>MPa.  A maximum stress increase of 0.42</w:t>
      </w:r>
      <w:r w:rsidR="001D373F" w:rsidRPr="002A6806">
        <w:t xml:space="preserve"> </w:t>
      </w:r>
      <w:r w:rsidRPr="002A6806">
        <w:t xml:space="preserve">MPa was obtained for the SADT axle configuration. </w:t>
      </w:r>
    </w:p>
    <w:p w:rsidR="0097236A" w:rsidRPr="002A6806" w:rsidRDefault="0097236A" w:rsidP="007017D3">
      <w:pPr>
        <w:spacing w:after="0"/>
        <w:jc w:val="both"/>
      </w:pPr>
    </w:p>
    <w:p w:rsidR="006165BC" w:rsidRPr="002A6806" w:rsidRDefault="0097236A" w:rsidP="007017D3">
      <w:pPr>
        <w:spacing w:after="0"/>
        <w:jc w:val="both"/>
      </w:pPr>
      <w:r w:rsidRPr="002A6806">
        <w:t xml:space="preserve">To quantify the impact of a changed load location under current loading conditions; </w:t>
      </w:r>
      <w:r w:rsidR="00356F48" w:rsidRPr="002A6806">
        <w:t xml:space="preserve">maximum tensile </w:t>
      </w:r>
      <w:r w:rsidRPr="002A6806">
        <w:t>stress results from EverFE were input the Austroads spreadsheet to determine its influence on the allowable axle repetitions for concrete fatigue. It was subsequently found that while changing the load location to the edge line of pavement</w:t>
      </w:r>
      <w:r w:rsidR="00D6616E" w:rsidRPr="002A6806">
        <w:t xml:space="preserve"> tends to increase the</w:t>
      </w:r>
      <w:r w:rsidRPr="002A6806">
        <w:t xml:space="preserve"> </w:t>
      </w:r>
      <w:r w:rsidR="00D6616E" w:rsidRPr="002A6806">
        <w:t xml:space="preserve">concrete </w:t>
      </w:r>
      <w:r w:rsidRPr="002A6806">
        <w:t>stress</w:t>
      </w:r>
      <w:r w:rsidR="00D6616E" w:rsidRPr="002A6806">
        <w:t>es under different axle types</w:t>
      </w:r>
      <w:r w:rsidRPr="002A6806">
        <w:t xml:space="preserve">, for current loading conditions such changes </w:t>
      </w:r>
      <w:r w:rsidR="00D6616E" w:rsidRPr="002A6806">
        <w:t xml:space="preserve">does not significantly alter </w:t>
      </w:r>
      <w:r w:rsidRPr="002A6806">
        <w:t xml:space="preserve">the fatigue life of the </w:t>
      </w:r>
      <w:r w:rsidR="00D6616E" w:rsidRPr="002A6806">
        <w:t xml:space="preserve">model </w:t>
      </w:r>
      <w:r w:rsidRPr="002A6806">
        <w:t xml:space="preserve">pavement. </w:t>
      </w:r>
    </w:p>
    <w:p w:rsidR="006165BC" w:rsidRPr="002A6806" w:rsidRDefault="006165BC" w:rsidP="007017D3">
      <w:pPr>
        <w:spacing w:after="0"/>
        <w:jc w:val="both"/>
      </w:pPr>
    </w:p>
    <w:p w:rsidR="00C820D2" w:rsidRPr="002A6806" w:rsidRDefault="00EF52FF" w:rsidP="007017D3">
      <w:pPr>
        <w:spacing w:after="0"/>
        <w:jc w:val="both"/>
      </w:pPr>
      <w:r w:rsidRPr="002A6806">
        <w:t xml:space="preserve">The impact of shifting the load location for </w:t>
      </w:r>
      <w:r w:rsidR="009E1B58" w:rsidRPr="002A6806">
        <w:t xml:space="preserve">the </w:t>
      </w:r>
      <w:r w:rsidR="006165BC" w:rsidRPr="002A6806">
        <w:t>hypothetical</w:t>
      </w:r>
      <w:r w:rsidRPr="002A6806">
        <w:t xml:space="preserve"> axle load</w:t>
      </w:r>
      <w:r w:rsidR="001F3B76" w:rsidRPr="002A6806">
        <w:t>ing</w:t>
      </w:r>
      <w:r w:rsidR="009E1B58" w:rsidRPr="002A6806">
        <w:t xml:space="preserve">s </w:t>
      </w:r>
      <w:r w:rsidR="00CF62A6" w:rsidRPr="002A6806">
        <w:t>was also</w:t>
      </w:r>
      <w:r w:rsidRPr="002A6806">
        <w:t xml:space="preserve"> studied. The impact on pavement stress from the shift in l</w:t>
      </w:r>
      <w:r w:rsidR="001D373F" w:rsidRPr="002A6806">
        <w:t>oad location is shown in Table 9</w:t>
      </w:r>
      <w:r w:rsidR="006A435A" w:rsidRPr="002A6806">
        <w:t>.</w:t>
      </w:r>
    </w:p>
    <w:p w:rsidR="006A435A" w:rsidRPr="002A6806" w:rsidRDefault="006A435A" w:rsidP="007017D3">
      <w:pPr>
        <w:spacing w:after="0"/>
        <w:jc w:val="both"/>
      </w:pPr>
    </w:p>
    <w:p w:rsidR="006A435A" w:rsidRPr="002A6806" w:rsidRDefault="006A435A" w:rsidP="007017D3">
      <w:pPr>
        <w:spacing w:after="0"/>
        <w:jc w:val="both"/>
        <w:rPr>
          <w:b/>
          <w:bCs/>
          <w:i/>
        </w:rPr>
      </w:pPr>
      <w:r w:rsidRPr="002A6806">
        <w:rPr>
          <w:b/>
          <w:bCs/>
          <w:i/>
        </w:rPr>
        <w:t xml:space="preserve">Table </w:t>
      </w:r>
      <w:r w:rsidR="001D373F" w:rsidRPr="002A6806">
        <w:rPr>
          <w:b/>
          <w:bCs/>
          <w:i/>
        </w:rPr>
        <w:t>9</w:t>
      </w:r>
      <w:r w:rsidRPr="002A6806">
        <w:rPr>
          <w:b/>
          <w:bCs/>
          <w:i/>
        </w:rPr>
        <w:t xml:space="preserve">:  EverFE maximum </w:t>
      </w:r>
      <w:r w:rsidR="001D373F" w:rsidRPr="002A6806">
        <w:rPr>
          <w:b/>
          <w:bCs/>
          <w:i/>
        </w:rPr>
        <w:t xml:space="preserve">tensile </w:t>
      </w:r>
      <w:r w:rsidRPr="002A6806">
        <w:rPr>
          <w:b/>
          <w:bCs/>
          <w:i/>
        </w:rPr>
        <w:t>stress at two different wheel positions (for future loading)</w:t>
      </w:r>
    </w:p>
    <w:p w:rsidR="006A435A" w:rsidRPr="002A6806" w:rsidRDefault="006A435A" w:rsidP="007017D3">
      <w:pPr>
        <w:spacing w:after="0"/>
        <w:jc w:val="both"/>
      </w:pPr>
    </w:p>
    <w:tbl>
      <w:tblPr>
        <w:tblW w:w="0" w:type="auto"/>
        <w:tblInd w:w="93" w:type="dxa"/>
        <w:tblLook w:val="04A0" w:firstRow="1" w:lastRow="0" w:firstColumn="1" w:lastColumn="0" w:noHBand="0" w:noVBand="1"/>
      </w:tblPr>
      <w:tblGrid>
        <w:gridCol w:w="1217"/>
        <w:gridCol w:w="1537"/>
        <w:gridCol w:w="1537"/>
        <w:gridCol w:w="1795"/>
      </w:tblGrid>
      <w:tr w:rsidR="00CF62A6" w:rsidRPr="002A6806" w:rsidTr="00BF5553">
        <w:trPr>
          <w:trHeight w:val="300"/>
        </w:trPr>
        <w:tc>
          <w:tcPr>
            <w:tcW w:w="0" w:type="auto"/>
            <w:tcBorders>
              <w:bottom w:val="single" w:sz="4" w:space="0" w:color="auto"/>
              <w:right w:val="single" w:sz="4" w:space="0" w:color="auto"/>
            </w:tcBorders>
            <w:shd w:val="clear" w:color="auto" w:fill="auto"/>
            <w:noWrap/>
            <w:vAlign w:val="bottom"/>
          </w:tcPr>
          <w:p w:rsidR="00CF62A6" w:rsidRPr="002A6806" w:rsidRDefault="00CF62A6" w:rsidP="007017D3">
            <w:pPr>
              <w:spacing w:after="0"/>
              <w:jc w:val="both"/>
              <w:rPr>
                <w:b/>
              </w:rPr>
            </w:pPr>
          </w:p>
        </w:tc>
        <w:tc>
          <w:tcPr>
            <w:tcW w:w="0" w:type="auto"/>
            <w:gridSpan w:val="2"/>
            <w:tcBorders>
              <w:top w:val="single" w:sz="4" w:space="0" w:color="auto"/>
              <w:left w:val="nil"/>
              <w:bottom w:val="single" w:sz="4" w:space="0" w:color="auto"/>
              <w:right w:val="single" w:sz="4" w:space="0" w:color="auto"/>
            </w:tcBorders>
            <w:shd w:val="clear" w:color="auto" w:fill="auto"/>
            <w:noWrap/>
            <w:vAlign w:val="bottom"/>
          </w:tcPr>
          <w:p w:rsidR="00CF62A6" w:rsidRPr="002A6806" w:rsidRDefault="00CF62A6" w:rsidP="007017D3">
            <w:pPr>
              <w:spacing w:after="0"/>
              <w:jc w:val="both"/>
              <w:rPr>
                <w:b/>
                <w:bCs/>
              </w:rPr>
            </w:pPr>
            <w:r w:rsidRPr="002A6806">
              <w:rPr>
                <w:b/>
                <w:bCs/>
              </w:rPr>
              <w:t xml:space="preserve">Maximum </w:t>
            </w:r>
            <w:r w:rsidR="001D373F" w:rsidRPr="002A6806">
              <w:rPr>
                <w:b/>
                <w:bCs/>
              </w:rPr>
              <w:t xml:space="preserve">tensile </w:t>
            </w:r>
            <w:r w:rsidRPr="002A6806">
              <w:rPr>
                <w:b/>
                <w:bCs/>
              </w:rPr>
              <w:t>stress (MPa)</w:t>
            </w:r>
          </w:p>
        </w:tc>
        <w:tc>
          <w:tcPr>
            <w:tcW w:w="0" w:type="auto"/>
            <w:tcBorders>
              <w:left w:val="nil"/>
              <w:bottom w:val="single" w:sz="4" w:space="0" w:color="auto"/>
            </w:tcBorders>
          </w:tcPr>
          <w:p w:rsidR="00CF62A6" w:rsidRPr="002A6806" w:rsidRDefault="00CF62A6" w:rsidP="007017D3">
            <w:pPr>
              <w:spacing w:after="0"/>
              <w:jc w:val="both"/>
              <w:rPr>
                <w:b/>
                <w:bCs/>
              </w:rPr>
            </w:pPr>
          </w:p>
        </w:tc>
      </w:tr>
      <w:tr w:rsidR="00CF62A6" w:rsidRPr="002A6806" w:rsidTr="00BF5553">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2A6" w:rsidRPr="002A6806" w:rsidRDefault="00CF62A6" w:rsidP="007017D3">
            <w:pPr>
              <w:spacing w:after="0"/>
              <w:jc w:val="both"/>
              <w:rPr>
                <w:b/>
              </w:rPr>
            </w:pPr>
            <w:r w:rsidRPr="002A6806">
              <w:rPr>
                <w:b/>
              </w:rPr>
              <w:t>Axle types</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62A6" w:rsidRPr="002A6806" w:rsidRDefault="00CF62A6" w:rsidP="007017D3">
            <w:pPr>
              <w:spacing w:after="0"/>
              <w:jc w:val="both"/>
              <w:rPr>
                <w:b/>
                <w:bCs/>
              </w:rPr>
            </w:pPr>
            <w:r w:rsidRPr="002A6806">
              <w:rPr>
                <w:b/>
                <w:bCs/>
              </w:rPr>
              <w:t>600</w:t>
            </w:r>
            <w:r w:rsidR="0080370A" w:rsidRPr="002A6806">
              <w:rPr>
                <w:b/>
                <w:bCs/>
              </w:rPr>
              <w:t xml:space="preserve"> </w:t>
            </w:r>
            <w:r w:rsidRPr="002A6806">
              <w:rPr>
                <w:b/>
                <w:bCs/>
              </w:rPr>
              <w:t>mm from</w:t>
            </w:r>
          </w:p>
          <w:p w:rsidR="00CF62A6" w:rsidRPr="002A6806" w:rsidRDefault="00CF62A6" w:rsidP="007017D3">
            <w:pPr>
              <w:spacing w:after="0"/>
              <w:jc w:val="both"/>
              <w:rPr>
                <w:b/>
                <w:bCs/>
              </w:rPr>
            </w:pPr>
            <w:r w:rsidRPr="002A6806">
              <w:rPr>
                <w:b/>
                <w:bCs/>
              </w:rPr>
              <w:t>edge line</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CF62A6" w:rsidRPr="002A6806" w:rsidRDefault="00CF62A6" w:rsidP="007017D3">
            <w:pPr>
              <w:spacing w:after="0"/>
              <w:jc w:val="both"/>
              <w:rPr>
                <w:b/>
                <w:bCs/>
              </w:rPr>
            </w:pPr>
            <w:r w:rsidRPr="002A6806">
              <w:rPr>
                <w:b/>
                <w:bCs/>
              </w:rPr>
              <w:t>100</w:t>
            </w:r>
            <w:r w:rsidR="0080370A" w:rsidRPr="002A6806">
              <w:rPr>
                <w:b/>
                <w:bCs/>
              </w:rPr>
              <w:t xml:space="preserve"> </w:t>
            </w:r>
            <w:r w:rsidRPr="002A6806">
              <w:rPr>
                <w:b/>
                <w:bCs/>
              </w:rPr>
              <w:t>mm from</w:t>
            </w:r>
          </w:p>
          <w:p w:rsidR="00CF62A6" w:rsidRPr="002A6806" w:rsidRDefault="00CF62A6" w:rsidP="007017D3">
            <w:pPr>
              <w:spacing w:after="0"/>
              <w:jc w:val="both"/>
              <w:rPr>
                <w:b/>
                <w:bCs/>
              </w:rPr>
            </w:pPr>
            <w:r w:rsidRPr="002A6806">
              <w:rPr>
                <w:b/>
                <w:bCs/>
              </w:rPr>
              <w:t>edge line</w:t>
            </w:r>
          </w:p>
        </w:tc>
        <w:tc>
          <w:tcPr>
            <w:tcW w:w="0" w:type="auto"/>
            <w:tcBorders>
              <w:top w:val="single" w:sz="4" w:space="0" w:color="auto"/>
              <w:left w:val="nil"/>
              <w:bottom w:val="single" w:sz="4" w:space="0" w:color="auto"/>
              <w:right w:val="single" w:sz="4" w:space="0" w:color="auto"/>
            </w:tcBorders>
          </w:tcPr>
          <w:p w:rsidR="00CF62A6" w:rsidRPr="002A6806" w:rsidRDefault="00CF62A6" w:rsidP="007017D3">
            <w:pPr>
              <w:spacing w:after="0"/>
              <w:jc w:val="both"/>
              <w:rPr>
                <w:b/>
                <w:bCs/>
              </w:rPr>
            </w:pPr>
            <w:r w:rsidRPr="002A6806">
              <w:rPr>
                <w:b/>
                <w:bCs/>
              </w:rPr>
              <w:t>Stress</w:t>
            </w:r>
          </w:p>
          <w:p w:rsidR="00CF62A6" w:rsidRPr="002A6806" w:rsidRDefault="00CF62A6" w:rsidP="007017D3">
            <w:pPr>
              <w:spacing w:after="0"/>
              <w:jc w:val="both"/>
              <w:rPr>
                <w:b/>
                <w:bCs/>
              </w:rPr>
            </w:pPr>
            <w:r w:rsidRPr="002A6806">
              <w:rPr>
                <w:b/>
                <w:bCs/>
              </w:rPr>
              <w:t>Difference (MPa)</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SAST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2.059</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2.556</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0.497</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SADT</w:t>
            </w:r>
          </w:p>
        </w:tc>
        <w:tc>
          <w:tcPr>
            <w:tcW w:w="0" w:type="auto"/>
            <w:tcBorders>
              <w:top w:val="nil"/>
              <w:left w:val="nil"/>
              <w:bottom w:val="single" w:sz="4" w:space="0" w:color="auto"/>
              <w:right w:val="single" w:sz="4" w:space="0" w:color="auto"/>
            </w:tcBorders>
            <w:shd w:val="clear" w:color="auto" w:fill="auto"/>
            <w:noWrap/>
          </w:tcPr>
          <w:p w:rsidR="00CF62A6" w:rsidRPr="002A6806" w:rsidRDefault="00FF35E9" w:rsidP="007017D3">
            <w:pPr>
              <w:spacing w:after="0"/>
              <w:jc w:val="both"/>
            </w:pPr>
            <w:r w:rsidRPr="002A6806">
              <w:t>1.952</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3.295</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1.343</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TAST</w:t>
            </w:r>
          </w:p>
        </w:tc>
        <w:tc>
          <w:tcPr>
            <w:tcW w:w="0" w:type="auto"/>
            <w:tcBorders>
              <w:top w:val="nil"/>
              <w:left w:val="nil"/>
              <w:bottom w:val="single" w:sz="4" w:space="0" w:color="auto"/>
              <w:right w:val="single" w:sz="4" w:space="0" w:color="auto"/>
            </w:tcBorders>
            <w:shd w:val="clear" w:color="auto" w:fill="auto"/>
            <w:noWrap/>
          </w:tcPr>
          <w:p w:rsidR="00CF62A6" w:rsidRPr="002A6806" w:rsidRDefault="00FF35E9" w:rsidP="007017D3">
            <w:pPr>
              <w:spacing w:after="0"/>
              <w:jc w:val="both"/>
            </w:pPr>
            <w:r w:rsidRPr="002A6806">
              <w:t>2.891</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2.283</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-0.608</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TADT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2.654</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2.900</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0.246</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TRDT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2.560</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2.042</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-0.518</w:t>
            </w:r>
          </w:p>
        </w:tc>
      </w:tr>
      <w:tr w:rsidR="00CF62A6" w:rsidRPr="002A6806" w:rsidTr="00CF62A6">
        <w:trPr>
          <w:trHeight w:val="20"/>
        </w:trPr>
        <w:tc>
          <w:tcPr>
            <w:tcW w:w="0" w:type="auto"/>
            <w:tcBorders>
              <w:top w:val="nil"/>
              <w:left w:val="single" w:sz="4" w:space="0" w:color="auto"/>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QADT</w:t>
            </w:r>
          </w:p>
        </w:tc>
        <w:tc>
          <w:tcPr>
            <w:tcW w:w="0" w:type="auto"/>
            <w:tcBorders>
              <w:top w:val="nil"/>
              <w:left w:val="nil"/>
              <w:bottom w:val="single" w:sz="4" w:space="0" w:color="auto"/>
              <w:right w:val="single" w:sz="4" w:space="0" w:color="auto"/>
            </w:tcBorders>
            <w:shd w:val="clear" w:color="auto" w:fill="auto"/>
            <w:noWrap/>
          </w:tcPr>
          <w:p w:rsidR="00CF62A6" w:rsidRPr="002A6806" w:rsidRDefault="00CF62A6" w:rsidP="007017D3">
            <w:pPr>
              <w:spacing w:after="0"/>
              <w:jc w:val="both"/>
            </w:pPr>
            <w:r w:rsidRPr="002A6806">
              <w:t>2.044</w:t>
            </w:r>
          </w:p>
        </w:tc>
        <w:tc>
          <w:tcPr>
            <w:tcW w:w="0" w:type="auto"/>
            <w:tcBorders>
              <w:top w:val="nil"/>
              <w:left w:val="nil"/>
              <w:bottom w:val="single" w:sz="4" w:space="0" w:color="auto"/>
              <w:right w:val="single" w:sz="4" w:space="0" w:color="auto"/>
            </w:tcBorders>
            <w:shd w:val="clear" w:color="auto" w:fill="auto"/>
            <w:noWrap/>
            <w:hideMark/>
          </w:tcPr>
          <w:p w:rsidR="00CF62A6" w:rsidRPr="002A6806" w:rsidRDefault="00CF62A6" w:rsidP="007017D3">
            <w:pPr>
              <w:spacing w:after="0"/>
              <w:jc w:val="both"/>
            </w:pPr>
            <w:r w:rsidRPr="002A6806">
              <w:t>2.002</w:t>
            </w:r>
          </w:p>
        </w:tc>
        <w:tc>
          <w:tcPr>
            <w:tcW w:w="0" w:type="auto"/>
            <w:tcBorders>
              <w:top w:val="nil"/>
              <w:left w:val="nil"/>
              <w:bottom w:val="single" w:sz="4" w:space="0" w:color="auto"/>
              <w:right w:val="single" w:sz="4" w:space="0" w:color="auto"/>
            </w:tcBorders>
          </w:tcPr>
          <w:p w:rsidR="00CF62A6" w:rsidRPr="002A6806" w:rsidRDefault="00CF62A6" w:rsidP="007017D3">
            <w:pPr>
              <w:spacing w:after="0"/>
              <w:jc w:val="both"/>
            </w:pPr>
            <w:r w:rsidRPr="002A6806">
              <w:t>-0.042</w:t>
            </w:r>
          </w:p>
        </w:tc>
      </w:tr>
    </w:tbl>
    <w:p w:rsidR="00EF52FF" w:rsidRPr="002A6806" w:rsidRDefault="00EF52FF" w:rsidP="007017D3">
      <w:pPr>
        <w:spacing w:after="0"/>
        <w:jc w:val="both"/>
      </w:pPr>
    </w:p>
    <w:p w:rsidR="006A435A" w:rsidRPr="002A6806" w:rsidRDefault="006A435A" w:rsidP="007017D3">
      <w:pPr>
        <w:spacing w:after="0"/>
        <w:jc w:val="both"/>
      </w:pPr>
      <w:r w:rsidRPr="002A6806">
        <w:t xml:space="preserve">From Table </w:t>
      </w:r>
      <w:r w:rsidR="001D373F" w:rsidRPr="002A6806">
        <w:t>9</w:t>
      </w:r>
      <w:r w:rsidRPr="002A6806">
        <w:t xml:space="preserve"> it can be seen that maximum stress increases for a shift in load location to the edge line for axle configurations of SAST, SADT and TADT.  A maximum stress increase of 1.343</w:t>
      </w:r>
      <w:r w:rsidR="001D373F" w:rsidRPr="002A6806">
        <w:t xml:space="preserve"> </w:t>
      </w:r>
      <w:r w:rsidRPr="002A6806">
        <w:t>MPa was found for axle configuration of SADT. A maximum stress decrease of 0.608</w:t>
      </w:r>
      <w:r w:rsidR="001D373F" w:rsidRPr="002A6806">
        <w:t xml:space="preserve"> </w:t>
      </w:r>
      <w:r w:rsidRPr="002A6806">
        <w:t>MPa was obtained for the TAST axle configuration. The general trends of the stress results were similar to those results obtained for the</w:t>
      </w:r>
      <w:r w:rsidR="00B25AD5" w:rsidRPr="002A6806">
        <w:t xml:space="preserve"> current load limits albeit the higher stress difference for SADT and TAST which may </w:t>
      </w:r>
      <w:r w:rsidR="00BC2ABA" w:rsidRPr="002A6806">
        <w:t xml:space="preserve">aggravate the stress effect on </w:t>
      </w:r>
      <w:r w:rsidR="00B25AD5" w:rsidRPr="002A6806">
        <w:t>pavement life.</w:t>
      </w:r>
      <w:bookmarkStart w:id="6" w:name="_GoBack"/>
      <w:bookmarkEnd w:id="6"/>
    </w:p>
    <w:p w:rsidR="006A435A" w:rsidRPr="002A6806" w:rsidRDefault="006A435A" w:rsidP="007017D3">
      <w:pPr>
        <w:spacing w:after="0"/>
        <w:jc w:val="both"/>
      </w:pPr>
    </w:p>
    <w:p w:rsidR="0075502F" w:rsidRPr="002A6806" w:rsidRDefault="0075502F" w:rsidP="007017D3">
      <w:pPr>
        <w:pStyle w:val="Heading2"/>
        <w:ind w:left="0" w:firstLine="0"/>
        <w:jc w:val="both"/>
        <w:rPr>
          <w:lang w:val="en-US"/>
        </w:rPr>
      </w:pPr>
      <w:r w:rsidRPr="002A6806">
        <w:t>Effects of temperature gradient</w:t>
      </w:r>
    </w:p>
    <w:p w:rsidR="0075502F" w:rsidRPr="002A6806" w:rsidRDefault="0075502F" w:rsidP="007017D3">
      <w:pPr>
        <w:spacing w:after="0"/>
        <w:jc w:val="both"/>
      </w:pPr>
      <w:r w:rsidRPr="002A6806">
        <w:t xml:space="preserve">EverFE offers capability in modelling pavements subjected to axle loading and loading from temperature gradients and was therefore used to determine the change in pavement stress from inclusion of temperature differentials. A sensitivity analysis was performed on the results presented previously for both current and </w:t>
      </w:r>
      <w:r w:rsidR="00DC4CCB" w:rsidRPr="002A6806">
        <w:t xml:space="preserve">hypothetical </w:t>
      </w:r>
      <w:r w:rsidRPr="002A6806">
        <w:t>future loading conditions, including both loading locations (600</w:t>
      </w:r>
      <w:r w:rsidR="001D373F" w:rsidRPr="002A6806">
        <w:t xml:space="preserve"> </w:t>
      </w:r>
      <w:r w:rsidRPr="002A6806">
        <w:t>mm from edge line and 100</w:t>
      </w:r>
      <w:r w:rsidR="001D373F" w:rsidRPr="002A6806">
        <w:t xml:space="preserve"> </w:t>
      </w:r>
      <w:r w:rsidRPr="002A6806">
        <w:t xml:space="preserve">mm from edge line). </w:t>
      </w:r>
    </w:p>
    <w:p w:rsidR="0075502F" w:rsidRPr="002A6806" w:rsidRDefault="0075502F" w:rsidP="007017D3">
      <w:pPr>
        <w:spacing w:after="0"/>
        <w:jc w:val="both"/>
      </w:pPr>
    </w:p>
    <w:p w:rsidR="0075502F" w:rsidRPr="002A6806" w:rsidRDefault="0075502F" w:rsidP="007017D3">
      <w:pPr>
        <w:spacing w:after="0"/>
        <w:jc w:val="both"/>
      </w:pPr>
      <w:r w:rsidRPr="002A6806">
        <w:t xml:space="preserve">Four temperature differentials </w:t>
      </w:r>
      <w:r w:rsidR="00467DE0" w:rsidRPr="002A6806">
        <w:t xml:space="preserve">between the top and bottom surface layers of the concrete base </w:t>
      </w:r>
      <w:r w:rsidRPr="002A6806">
        <w:t>were analysed. These were positive and negative temperature differentials of 10</w:t>
      </w:r>
      <w:r w:rsidRPr="002A6806">
        <w:sym w:font="Symbol" w:char="F0B0"/>
      </w:r>
      <w:r w:rsidRPr="002A6806">
        <w:t>C, and positive and negative temperature differentials of 25</w:t>
      </w:r>
      <w:r w:rsidRPr="002A6806">
        <w:sym w:font="Symbol" w:char="F0B0"/>
      </w:r>
      <w:r w:rsidRPr="002A6806">
        <w:t xml:space="preserve">C. These values represent the average and the extreme values of temperature differentials, respectively. Boundary condition between base and subbase plays a significant role in pavement performance as this influences the ability of the pavement to curl freely.  As stated previously Austroads assumes an </w:t>
      </w:r>
      <w:proofErr w:type="spellStart"/>
      <w:r w:rsidRPr="002A6806">
        <w:t>unbonded</w:t>
      </w:r>
      <w:proofErr w:type="spellEnd"/>
      <w:r w:rsidRPr="002A6806">
        <w:t xml:space="preserve"> boundary condition, although temperature gradients are not considered in any detail as part of the design procedure. For the purpose of sensitivity analysis in this section pavements were modelled using both </w:t>
      </w:r>
      <w:proofErr w:type="spellStart"/>
      <w:r w:rsidRPr="002A6806">
        <w:t>unbonded</w:t>
      </w:r>
      <w:proofErr w:type="spellEnd"/>
      <w:r w:rsidRPr="002A6806">
        <w:t xml:space="preserve"> and bonded boundary conditions. </w:t>
      </w:r>
    </w:p>
    <w:p w:rsidR="0075502F" w:rsidRPr="002A6806" w:rsidRDefault="0075502F" w:rsidP="007017D3">
      <w:pPr>
        <w:spacing w:after="0"/>
        <w:jc w:val="both"/>
      </w:pPr>
    </w:p>
    <w:p w:rsidR="0075502F" w:rsidRPr="002A6806" w:rsidRDefault="0075502F" w:rsidP="007017D3">
      <w:pPr>
        <w:spacing w:after="0"/>
        <w:jc w:val="both"/>
      </w:pPr>
      <w:r w:rsidRPr="002A6806">
        <w:t xml:space="preserve">Sensitivity analysis for the impact of temperature gradients was conducted on current allowable axle loads under both loading conditions, </w:t>
      </w:r>
      <w:r w:rsidR="007F2235" w:rsidRPr="002A6806">
        <w:t xml:space="preserve">at </w:t>
      </w:r>
      <w:r w:rsidRPr="002A6806">
        <w:t>600</w:t>
      </w:r>
      <w:r w:rsidR="007B617A" w:rsidRPr="002A6806">
        <w:t xml:space="preserve"> </w:t>
      </w:r>
      <w:r w:rsidRPr="002A6806">
        <w:t>mm from edge line and 100</w:t>
      </w:r>
      <w:r w:rsidR="007B617A" w:rsidRPr="002A6806">
        <w:t xml:space="preserve"> </w:t>
      </w:r>
      <w:r w:rsidRPr="002A6806">
        <w:t>mm from edge line</w:t>
      </w:r>
      <w:r w:rsidR="00CC4505" w:rsidRPr="002A6806">
        <w:t xml:space="preserve"> (Figure 2 to Figure 5)</w:t>
      </w:r>
      <w:r w:rsidRPr="002A6806">
        <w:t xml:space="preserve">. From observation of results it can be seen that with consideration of temperature gradients, pavement stress is predominantly dictated by the temperature differential and not by the axle loading. This is evident in the graphs for both current-loading cases as they present almost linear results for all axle group types under each condition tested. Stress resultants are varied depending on each temperature differential and boundary condition, however in each case pavement stress does not vary to a large degree across all axle types. </w:t>
      </w:r>
    </w:p>
    <w:p w:rsidR="0075502F" w:rsidRPr="002A6806" w:rsidRDefault="0075502F" w:rsidP="007017D3">
      <w:pPr>
        <w:spacing w:after="0"/>
        <w:jc w:val="both"/>
      </w:pPr>
    </w:p>
    <w:p w:rsidR="0031531C" w:rsidRPr="002A6806" w:rsidRDefault="0075502F" w:rsidP="007017D3">
      <w:pPr>
        <w:spacing w:after="0"/>
        <w:jc w:val="both"/>
      </w:pPr>
      <w:r w:rsidRPr="002A6806">
        <w:t xml:space="preserve">It should also be noted that all temperature differential results returned stress values greater than the stress results obtained from modelling without temperature gradients for all conditions. This provides evidence that the dominating stress contribution is temperature differential with pavement stress not significantly influenced by a change in axle group type and axle loading. </w:t>
      </w:r>
    </w:p>
    <w:p w:rsidR="0031531C" w:rsidRPr="002A6806" w:rsidRDefault="0031531C" w:rsidP="007017D3">
      <w:pPr>
        <w:spacing w:after="0"/>
        <w:jc w:val="both"/>
      </w:pPr>
    </w:p>
    <w:p w:rsidR="00CF62A6" w:rsidRPr="002A6806" w:rsidRDefault="0031531C" w:rsidP="007017D3">
      <w:pPr>
        <w:spacing w:after="0"/>
        <w:jc w:val="both"/>
      </w:pPr>
      <w:r w:rsidRPr="002A6806">
        <w:t>Stress results for temperature gradient of 10</w:t>
      </w:r>
      <w:r w:rsidRPr="002A6806">
        <w:sym w:font="Symbol" w:char="F0B0"/>
      </w:r>
      <w:r w:rsidRPr="002A6806">
        <w:t xml:space="preserve">C (positive and negative differentials) presented lower stress values for </w:t>
      </w:r>
      <w:proofErr w:type="spellStart"/>
      <w:r w:rsidRPr="002A6806">
        <w:t>unbonded</w:t>
      </w:r>
      <w:proofErr w:type="spellEnd"/>
      <w:r w:rsidRPr="002A6806">
        <w:t xml:space="preserve"> boundary conditions</w:t>
      </w:r>
      <w:r w:rsidR="0002210E" w:rsidRPr="002A6806">
        <w:t>,</w:t>
      </w:r>
      <w:r w:rsidRPr="002A6806">
        <w:t xml:space="preserve"> with stress values for both conditions below the flexural strength of the concrete pavement. For temperature differential </w:t>
      </w:r>
      <w:r w:rsidR="00467DE0" w:rsidRPr="002A6806">
        <w:t>of 25</w:t>
      </w:r>
      <w:r w:rsidRPr="002A6806">
        <w:sym w:font="Symbol" w:char="F0B0"/>
      </w:r>
      <w:r w:rsidRPr="002A6806">
        <w:t>C these results were different</w:t>
      </w:r>
      <w:r w:rsidR="0002210E" w:rsidRPr="002A6806">
        <w:t>,</w:t>
      </w:r>
      <w:r w:rsidRPr="002A6806">
        <w:t xml:space="preserve"> with </w:t>
      </w:r>
      <w:proofErr w:type="spellStart"/>
      <w:r w:rsidRPr="002A6806">
        <w:t>unbonded</w:t>
      </w:r>
      <w:proofErr w:type="spellEnd"/>
      <w:r w:rsidRPr="002A6806">
        <w:t xml:space="preserve"> boundary condition</w:t>
      </w:r>
      <w:r w:rsidR="0002210E" w:rsidRPr="002A6806">
        <w:t xml:space="preserve"> showing higher</w:t>
      </w:r>
      <w:r w:rsidRPr="002A6806">
        <w:t xml:space="preserve"> pavement stress compared to</w:t>
      </w:r>
      <w:r w:rsidR="0002210E" w:rsidRPr="002A6806">
        <w:t xml:space="preserve"> </w:t>
      </w:r>
      <w:r w:rsidRPr="002A6806">
        <w:t xml:space="preserve">bonded condition. The increase in this condition resulted in stress levels above the </w:t>
      </w:r>
      <w:r w:rsidRPr="002A6806">
        <w:lastRenderedPageBreak/>
        <w:t>flexural strength of the concrete pavement</w:t>
      </w:r>
      <w:r w:rsidR="00467DE0" w:rsidRPr="002A6806">
        <w:t xml:space="preserve"> </w:t>
      </w:r>
      <w:r w:rsidRPr="002A6806">
        <w:t xml:space="preserve">(maximum </w:t>
      </w:r>
      <w:r w:rsidR="00467DE0" w:rsidRPr="002A6806">
        <w:t xml:space="preserve">tensile </w:t>
      </w:r>
      <w:r w:rsidRPr="002A6806">
        <w:t>stress value of 5.59</w:t>
      </w:r>
      <w:r w:rsidR="00467DE0" w:rsidRPr="002A6806">
        <w:t xml:space="preserve"> </w:t>
      </w:r>
      <w:r w:rsidRPr="002A6806">
        <w:t>MPa). In this extreme condition concrete strength adopted in design would have to be increased to allow for a large temperature induced stress in the pavement, as the concrete used in design is 4.5</w:t>
      </w:r>
      <w:r w:rsidR="00241A24" w:rsidRPr="002A6806">
        <w:t xml:space="preserve"> </w:t>
      </w:r>
      <w:r w:rsidRPr="002A6806">
        <w:t>MPa.</w:t>
      </w:r>
    </w:p>
    <w:p w:rsidR="00C32CAA" w:rsidRPr="002A6806" w:rsidRDefault="00C32CAA" w:rsidP="007017D3">
      <w:pPr>
        <w:spacing w:after="0"/>
        <w:jc w:val="both"/>
      </w:pPr>
    </w:p>
    <w:p w:rsidR="00C32CAA" w:rsidRPr="002A6806" w:rsidRDefault="006C3873" w:rsidP="007017D3">
      <w:pPr>
        <w:spacing w:after="0"/>
        <w:jc w:val="both"/>
      </w:pPr>
      <w:r w:rsidRPr="002A6806">
        <w:rPr>
          <w:noProof/>
          <w:lang w:eastAsia="en-AU"/>
        </w:rPr>
        <w:drawing>
          <wp:inline distT="0" distB="0" distL="0" distR="0" wp14:anchorId="54857BE5" wp14:editId="1FEEE067">
            <wp:extent cx="4932609" cy="2754785"/>
            <wp:effectExtent l="0" t="0" r="190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2696" cy="2754833"/>
                    </a:xfrm>
                    <a:prstGeom prst="rect">
                      <a:avLst/>
                    </a:prstGeom>
                    <a:noFill/>
                    <a:ln>
                      <a:noFill/>
                    </a:ln>
                  </pic:spPr>
                </pic:pic>
              </a:graphicData>
            </a:graphic>
          </wp:inline>
        </w:drawing>
      </w:r>
    </w:p>
    <w:p w:rsidR="006C3873" w:rsidRPr="002A6806" w:rsidRDefault="006C3873" w:rsidP="007017D3">
      <w:pPr>
        <w:spacing w:after="0"/>
        <w:jc w:val="both"/>
      </w:pPr>
    </w:p>
    <w:p w:rsidR="00C32CAA" w:rsidRPr="002A6806" w:rsidRDefault="00C32CAA" w:rsidP="007017D3">
      <w:pPr>
        <w:spacing w:after="0"/>
        <w:jc w:val="both"/>
        <w:rPr>
          <w:b/>
          <w:i/>
        </w:rPr>
      </w:pPr>
      <w:r w:rsidRPr="002A6806">
        <w:rPr>
          <w:b/>
          <w:i/>
        </w:rPr>
        <w:t xml:space="preserve">Figure 2: </w:t>
      </w:r>
      <w:r w:rsidR="00A80063" w:rsidRPr="002A6806">
        <w:rPr>
          <w:b/>
          <w:i/>
        </w:rPr>
        <w:t>Maximum tense stresses under the c</w:t>
      </w:r>
      <w:r w:rsidR="007F2235" w:rsidRPr="002A6806">
        <w:rPr>
          <w:b/>
          <w:i/>
        </w:rPr>
        <w:t>urrent load (600 mm from</w:t>
      </w:r>
      <w:r w:rsidRPr="002A6806">
        <w:rPr>
          <w:b/>
          <w:i/>
        </w:rPr>
        <w:t xml:space="preserve"> edge</w:t>
      </w:r>
      <w:r w:rsidR="007F2235" w:rsidRPr="002A6806">
        <w:rPr>
          <w:b/>
          <w:i/>
        </w:rPr>
        <w:t xml:space="preserve"> line</w:t>
      </w:r>
      <w:r w:rsidRPr="002A6806">
        <w:rPr>
          <w:b/>
          <w:i/>
        </w:rPr>
        <w:t>)</w:t>
      </w:r>
    </w:p>
    <w:p w:rsidR="00C32CAA" w:rsidRPr="002A6806" w:rsidRDefault="00C32CAA" w:rsidP="007017D3">
      <w:pPr>
        <w:spacing w:after="0"/>
        <w:jc w:val="both"/>
      </w:pPr>
    </w:p>
    <w:p w:rsidR="00CC4505" w:rsidRPr="002A6806" w:rsidRDefault="00CC4505" w:rsidP="007017D3">
      <w:pPr>
        <w:spacing w:after="0"/>
        <w:jc w:val="both"/>
      </w:pPr>
    </w:p>
    <w:p w:rsidR="0031531C" w:rsidRPr="002A6806" w:rsidRDefault="007163B2" w:rsidP="007017D3">
      <w:pPr>
        <w:spacing w:after="0"/>
        <w:jc w:val="both"/>
      </w:pPr>
      <w:r w:rsidRPr="002A6806">
        <w:rPr>
          <w:noProof/>
          <w:lang w:eastAsia="en-AU"/>
        </w:rPr>
        <w:drawing>
          <wp:inline distT="0" distB="0" distL="0" distR="0" wp14:anchorId="2A238B96" wp14:editId="30AECDDD">
            <wp:extent cx="4816699" cy="2787541"/>
            <wp:effectExtent l="0" t="0" r="317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16683" cy="2787532"/>
                    </a:xfrm>
                    <a:prstGeom prst="rect">
                      <a:avLst/>
                    </a:prstGeom>
                    <a:noFill/>
                    <a:ln>
                      <a:noFill/>
                    </a:ln>
                  </pic:spPr>
                </pic:pic>
              </a:graphicData>
            </a:graphic>
          </wp:inline>
        </w:drawing>
      </w:r>
    </w:p>
    <w:p w:rsidR="00CC4505" w:rsidRPr="002A6806" w:rsidRDefault="00CC4505" w:rsidP="007017D3">
      <w:pPr>
        <w:spacing w:after="0"/>
        <w:jc w:val="both"/>
      </w:pPr>
    </w:p>
    <w:p w:rsidR="00CC4505" w:rsidRPr="002A6806" w:rsidRDefault="00CC4505" w:rsidP="007017D3">
      <w:pPr>
        <w:spacing w:after="0"/>
        <w:jc w:val="both"/>
        <w:rPr>
          <w:b/>
          <w:i/>
        </w:rPr>
      </w:pPr>
      <w:r w:rsidRPr="002A6806">
        <w:rPr>
          <w:b/>
          <w:i/>
        </w:rPr>
        <w:t xml:space="preserve">Figure 3: </w:t>
      </w:r>
      <w:r w:rsidR="00A80063" w:rsidRPr="002A6806">
        <w:rPr>
          <w:b/>
          <w:i/>
        </w:rPr>
        <w:t>Maximum tensile stresses under the c</w:t>
      </w:r>
      <w:r w:rsidRPr="002A6806">
        <w:rPr>
          <w:b/>
          <w:i/>
        </w:rPr>
        <w:t>urrent load (100 mm from edge</w:t>
      </w:r>
      <w:r w:rsidR="007F2235" w:rsidRPr="002A6806">
        <w:rPr>
          <w:b/>
          <w:i/>
        </w:rPr>
        <w:t xml:space="preserve"> line</w:t>
      </w:r>
      <w:r w:rsidRPr="002A6806">
        <w:rPr>
          <w:b/>
          <w:i/>
        </w:rPr>
        <w:t>)</w:t>
      </w:r>
    </w:p>
    <w:p w:rsidR="00CC4505" w:rsidRPr="002A6806" w:rsidRDefault="00CC4505" w:rsidP="007017D3">
      <w:pPr>
        <w:spacing w:after="0"/>
        <w:jc w:val="both"/>
      </w:pPr>
    </w:p>
    <w:p w:rsidR="009F6677" w:rsidRPr="002A6806" w:rsidRDefault="009F6677" w:rsidP="009F6677">
      <w:pPr>
        <w:pStyle w:val="Heading1"/>
        <w:jc w:val="both"/>
      </w:pPr>
      <w:r w:rsidRPr="002A6806">
        <w:t xml:space="preserve">CONCLUSIONS </w:t>
      </w:r>
    </w:p>
    <w:p w:rsidR="009F6677" w:rsidRPr="002A6806" w:rsidRDefault="009F6677" w:rsidP="009F6677">
      <w:pPr>
        <w:spacing w:after="0"/>
        <w:jc w:val="both"/>
      </w:pPr>
      <w:r w:rsidRPr="002A6806">
        <w:t>The results of this study reveal that EverFE provides adequate capability in modelling of Austroads equivalent stresses for any loading and pavement conditions. The maximum tensile stress values obtained from EverFE can be used to determine the allowable load repetitions for fatigue damage as per Austroads (2012).</w:t>
      </w:r>
    </w:p>
    <w:p w:rsidR="009F6677" w:rsidRPr="002A6806" w:rsidRDefault="009F6677" w:rsidP="009F6677">
      <w:pPr>
        <w:spacing w:after="0"/>
        <w:jc w:val="both"/>
      </w:pPr>
    </w:p>
    <w:p w:rsidR="009F6677" w:rsidRPr="002A6806" w:rsidRDefault="009F6677" w:rsidP="009F6677">
      <w:pPr>
        <w:spacing w:after="0"/>
        <w:jc w:val="both"/>
      </w:pPr>
      <w:r w:rsidRPr="002A6806">
        <w:t xml:space="preserve">It was found that the average concrete stress for the </w:t>
      </w:r>
      <w:r w:rsidR="00DC4CCB" w:rsidRPr="002A6806">
        <w:t xml:space="preserve">hypothetical </w:t>
      </w:r>
      <w:r w:rsidRPr="002A6806">
        <w:t>future loading is much larger than the average stress for the current loading condition. It was also discovered that that while changing the load location to the edge line of pavement tends to increase the concrete stresses under different axle types, for current loading conditions such changes does not significantly alter the fatigue life of pavement. The general trends of the stress results under the</w:t>
      </w:r>
      <w:r w:rsidR="00DC4CCB" w:rsidRPr="002A6806">
        <w:t xml:space="preserve"> hypothetical</w:t>
      </w:r>
      <w:r w:rsidRPr="002A6806">
        <w:t xml:space="preserve"> </w:t>
      </w:r>
      <w:r w:rsidRPr="002A6806">
        <w:lastRenderedPageBreak/>
        <w:t>future loading are similar to those results obtained for the current load limits but the higher stress difference for SADT and TAST may adversely affect the pavement life</w:t>
      </w:r>
      <w:r w:rsidR="00BC2ABA" w:rsidRPr="002A6806">
        <w:t>.</w:t>
      </w:r>
    </w:p>
    <w:p w:rsidR="009F6677" w:rsidRPr="002A6806" w:rsidRDefault="009F6677" w:rsidP="009F6677">
      <w:pPr>
        <w:spacing w:after="0"/>
        <w:jc w:val="both"/>
      </w:pPr>
    </w:p>
    <w:p w:rsidR="009F6677" w:rsidRPr="002A6806" w:rsidRDefault="009F6677" w:rsidP="009F6677">
      <w:pPr>
        <w:spacing w:after="0"/>
        <w:jc w:val="both"/>
      </w:pPr>
      <w:r w:rsidRPr="002A6806">
        <w:t>For the assumed temperature differentials, results returned stress values greater than those obtained from vehicle landing only. This suggests that in some cases pavement stress may be governed by the temperature difference between the top and bottom pavement surfaces.</w:t>
      </w:r>
      <w:r w:rsidR="00BC2ABA" w:rsidRPr="002A6806">
        <w:t xml:space="preserve"> Moreover, the choice between bonded and </w:t>
      </w:r>
      <w:proofErr w:type="spellStart"/>
      <w:r w:rsidR="00BC2ABA" w:rsidRPr="002A6806">
        <w:t>unbonded</w:t>
      </w:r>
      <w:proofErr w:type="spellEnd"/>
      <w:r w:rsidRPr="002A6806">
        <w:t xml:space="preserve"> </w:t>
      </w:r>
      <w:r w:rsidR="0002210E" w:rsidRPr="002A6806">
        <w:t xml:space="preserve">will have to be </w:t>
      </w:r>
      <w:r w:rsidR="00583621" w:rsidRPr="002A6806">
        <w:t>carefully</w:t>
      </w:r>
      <w:r w:rsidR="0002210E" w:rsidRPr="002A6806">
        <w:t xml:space="preserve"> considered in order to minimise the effect of temperature gradients.</w:t>
      </w:r>
    </w:p>
    <w:p w:rsidR="009F6677" w:rsidRPr="002A6806" w:rsidRDefault="009F6677" w:rsidP="009F6677">
      <w:pPr>
        <w:spacing w:after="0"/>
        <w:jc w:val="both"/>
      </w:pPr>
    </w:p>
    <w:p w:rsidR="00DC4CCB" w:rsidRPr="002A6806" w:rsidRDefault="00DC4CCB" w:rsidP="00DC4CCB">
      <w:pPr>
        <w:spacing w:after="0"/>
        <w:jc w:val="both"/>
        <w:rPr>
          <w:rFonts w:cs="Arial"/>
        </w:rPr>
      </w:pPr>
      <w:r w:rsidRPr="002A6806">
        <w:rPr>
          <w:rFonts w:cs="Arial"/>
        </w:rPr>
        <w:t>The overall results therefore suggest that the Austroads concrete pavement design method is presently adequate, but there may be a need to revise the current design method if the traffic loading increases significantly in the future.</w:t>
      </w:r>
    </w:p>
    <w:p w:rsidR="00C32CAA" w:rsidRPr="002A6806" w:rsidRDefault="00C32CAA" w:rsidP="007017D3">
      <w:pPr>
        <w:spacing w:after="0"/>
        <w:jc w:val="both"/>
      </w:pPr>
    </w:p>
    <w:p w:rsidR="00C32CAA" w:rsidRPr="002A6806" w:rsidRDefault="00B97031" w:rsidP="007017D3">
      <w:pPr>
        <w:spacing w:after="0"/>
        <w:jc w:val="both"/>
      </w:pPr>
      <w:r w:rsidRPr="002A6806">
        <w:rPr>
          <w:noProof/>
          <w:lang w:eastAsia="en-AU"/>
        </w:rPr>
        <w:drawing>
          <wp:inline distT="0" distB="0" distL="0" distR="0" wp14:anchorId="3D1C5EFE" wp14:editId="04750999">
            <wp:extent cx="5045900" cy="278183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5883" cy="2781827"/>
                    </a:xfrm>
                    <a:prstGeom prst="rect">
                      <a:avLst/>
                    </a:prstGeom>
                    <a:noFill/>
                    <a:ln>
                      <a:noFill/>
                    </a:ln>
                  </pic:spPr>
                </pic:pic>
              </a:graphicData>
            </a:graphic>
          </wp:inline>
        </w:drawing>
      </w:r>
    </w:p>
    <w:p w:rsidR="00CC4505" w:rsidRPr="002A6806" w:rsidRDefault="00CC4505" w:rsidP="007017D3">
      <w:pPr>
        <w:spacing w:after="0"/>
        <w:jc w:val="both"/>
      </w:pPr>
    </w:p>
    <w:p w:rsidR="00C32CAA" w:rsidRPr="002A6806" w:rsidRDefault="00CC4505" w:rsidP="007017D3">
      <w:pPr>
        <w:spacing w:after="0"/>
        <w:jc w:val="both"/>
        <w:rPr>
          <w:b/>
          <w:i/>
        </w:rPr>
      </w:pPr>
      <w:r w:rsidRPr="002A6806">
        <w:rPr>
          <w:b/>
          <w:i/>
        </w:rPr>
        <w:t xml:space="preserve">Figure 4: </w:t>
      </w:r>
      <w:r w:rsidR="00A80063" w:rsidRPr="002A6806">
        <w:rPr>
          <w:b/>
          <w:i/>
        </w:rPr>
        <w:t>Maximum tensile stresses under the</w:t>
      </w:r>
      <w:r w:rsidR="00B17C5D" w:rsidRPr="002A6806">
        <w:rPr>
          <w:b/>
          <w:i/>
        </w:rPr>
        <w:t xml:space="preserve"> hypothetical</w:t>
      </w:r>
      <w:r w:rsidR="00A80063" w:rsidRPr="002A6806">
        <w:rPr>
          <w:b/>
          <w:i/>
        </w:rPr>
        <w:t xml:space="preserve"> </w:t>
      </w:r>
      <w:r w:rsidRPr="002A6806">
        <w:rPr>
          <w:b/>
          <w:i/>
        </w:rPr>
        <w:t>load (600</w:t>
      </w:r>
      <w:r w:rsidR="007F2235" w:rsidRPr="002A6806">
        <w:rPr>
          <w:b/>
          <w:i/>
        </w:rPr>
        <w:t xml:space="preserve"> mm from</w:t>
      </w:r>
      <w:r w:rsidRPr="002A6806">
        <w:rPr>
          <w:b/>
          <w:i/>
        </w:rPr>
        <w:t xml:space="preserve"> edge</w:t>
      </w:r>
      <w:r w:rsidR="007F2235" w:rsidRPr="002A6806">
        <w:rPr>
          <w:b/>
          <w:i/>
        </w:rPr>
        <w:t xml:space="preserve"> line</w:t>
      </w:r>
      <w:r w:rsidRPr="002A6806">
        <w:rPr>
          <w:b/>
          <w:i/>
        </w:rPr>
        <w:t>)</w:t>
      </w:r>
    </w:p>
    <w:p w:rsidR="00A80063" w:rsidRPr="002A6806" w:rsidRDefault="00A80063" w:rsidP="007017D3">
      <w:pPr>
        <w:spacing w:after="0"/>
        <w:jc w:val="both"/>
        <w:rPr>
          <w:b/>
          <w:i/>
        </w:rPr>
      </w:pPr>
    </w:p>
    <w:p w:rsidR="00C32CAA" w:rsidRPr="002A6806" w:rsidRDefault="004A1F42" w:rsidP="007017D3">
      <w:pPr>
        <w:spacing w:after="0"/>
        <w:jc w:val="both"/>
      </w:pPr>
      <w:r w:rsidRPr="002A6806">
        <w:rPr>
          <w:noProof/>
          <w:lang w:eastAsia="en-AU"/>
        </w:rPr>
        <w:drawing>
          <wp:inline distT="0" distB="0" distL="0" distR="0" wp14:anchorId="18FDE576" wp14:editId="5F58A027">
            <wp:extent cx="4903681" cy="2723882"/>
            <wp:effectExtent l="0" t="0" r="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08449" cy="2726530"/>
                    </a:xfrm>
                    <a:prstGeom prst="rect">
                      <a:avLst/>
                    </a:prstGeom>
                    <a:noFill/>
                    <a:ln>
                      <a:noFill/>
                    </a:ln>
                  </pic:spPr>
                </pic:pic>
              </a:graphicData>
            </a:graphic>
          </wp:inline>
        </w:drawing>
      </w:r>
    </w:p>
    <w:p w:rsidR="00CC4505" w:rsidRPr="002A6806" w:rsidRDefault="00CC4505" w:rsidP="007017D3">
      <w:pPr>
        <w:spacing w:after="0"/>
        <w:jc w:val="both"/>
      </w:pPr>
    </w:p>
    <w:p w:rsidR="00CC4505" w:rsidRPr="002A6806" w:rsidRDefault="00CC4505" w:rsidP="00CC4505">
      <w:pPr>
        <w:spacing w:after="0"/>
        <w:jc w:val="both"/>
        <w:rPr>
          <w:b/>
          <w:i/>
        </w:rPr>
      </w:pPr>
      <w:r w:rsidRPr="002A6806">
        <w:rPr>
          <w:b/>
          <w:i/>
        </w:rPr>
        <w:t xml:space="preserve">Figure 5: </w:t>
      </w:r>
      <w:r w:rsidR="00A80063" w:rsidRPr="002A6806">
        <w:rPr>
          <w:b/>
          <w:i/>
        </w:rPr>
        <w:t xml:space="preserve">Maximum tensile stresses under the </w:t>
      </w:r>
      <w:r w:rsidR="00B17C5D" w:rsidRPr="002A6806">
        <w:rPr>
          <w:b/>
          <w:i/>
        </w:rPr>
        <w:t xml:space="preserve">hypothetical </w:t>
      </w:r>
      <w:r w:rsidRPr="002A6806">
        <w:rPr>
          <w:b/>
          <w:i/>
        </w:rPr>
        <w:t>load (1</w:t>
      </w:r>
      <w:r w:rsidR="007F2235" w:rsidRPr="002A6806">
        <w:rPr>
          <w:b/>
          <w:i/>
        </w:rPr>
        <w:t>00 mm from</w:t>
      </w:r>
      <w:r w:rsidRPr="002A6806">
        <w:rPr>
          <w:b/>
          <w:i/>
        </w:rPr>
        <w:t xml:space="preserve"> edge</w:t>
      </w:r>
      <w:r w:rsidR="007F2235" w:rsidRPr="002A6806">
        <w:rPr>
          <w:b/>
          <w:i/>
        </w:rPr>
        <w:t xml:space="preserve"> line</w:t>
      </w:r>
      <w:r w:rsidRPr="002A6806">
        <w:rPr>
          <w:b/>
          <w:i/>
        </w:rPr>
        <w:t>)</w:t>
      </w:r>
    </w:p>
    <w:p w:rsidR="007F2235" w:rsidRPr="002A6806" w:rsidRDefault="007F2235" w:rsidP="00CC4505">
      <w:pPr>
        <w:spacing w:after="0"/>
        <w:jc w:val="both"/>
      </w:pPr>
    </w:p>
    <w:p w:rsidR="00D82D2A" w:rsidRPr="002A6806" w:rsidRDefault="00D82D2A" w:rsidP="007017D3">
      <w:pPr>
        <w:pStyle w:val="Heading1"/>
        <w:jc w:val="both"/>
      </w:pPr>
      <w:r w:rsidRPr="002A6806">
        <w:t xml:space="preserve">REFERENCES </w:t>
      </w:r>
    </w:p>
    <w:p w:rsidR="00241A24" w:rsidRPr="002A6806" w:rsidRDefault="00241A24" w:rsidP="00CC7D55">
      <w:pPr>
        <w:spacing w:after="0"/>
        <w:jc w:val="both"/>
        <w:rPr>
          <w:rFonts w:ascii="Helvetica" w:eastAsiaTheme="minorHAnsi" w:hAnsi="Helvetica"/>
          <w:szCs w:val="22"/>
        </w:rPr>
      </w:pPr>
      <w:proofErr w:type="gramStart"/>
      <w:r w:rsidRPr="002A6806">
        <w:rPr>
          <w:rFonts w:ascii="Helvetica" w:eastAsiaTheme="minorHAnsi" w:hAnsi="Helvetica"/>
          <w:szCs w:val="22"/>
        </w:rPr>
        <w:t xml:space="preserve">Austroads 2004, </w:t>
      </w:r>
      <w:r w:rsidR="007836F5" w:rsidRPr="002A6806">
        <w:rPr>
          <w:rFonts w:ascii="Helvetica" w:eastAsiaTheme="minorHAnsi" w:hAnsi="Helvetica"/>
          <w:szCs w:val="22"/>
        </w:rPr>
        <w:t>‘</w:t>
      </w:r>
      <w:r w:rsidRPr="002A6806">
        <w:rPr>
          <w:rFonts w:ascii="Helvetica" w:eastAsiaTheme="minorHAnsi" w:hAnsi="Helvetica"/>
          <w:szCs w:val="22"/>
        </w:rPr>
        <w:t>Technical Basis of Austroads</w:t>
      </w:r>
      <w:r w:rsidR="007836F5" w:rsidRPr="002A6806">
        <w:rPr>
          <w:rFonts w:ascii="Helvetica" w:eastAsiaTheme="minorHAnsi" w:hAnsi="Helvetica"/>
          <w:szCs w:val="22"/>
        </w:rPr>
        <w:t xml:space="preserve"> Pavement Design Guide’</w:t>
      </w:r>
      <w:r w:rsidRPr="002A6806">
        <w:rPr>
          <w:rFonts w:ascii="Helvetica" w:eastAsiaTheme="minorHAnsi" w:hAnsi="Helvetica"/>
          <w:szCs w:val="22"/>
        </w:rPr>
        <w:t xml:space="preserve"> Austroads Inc., Sydney, Australia</w:t>
      </w:r>
      <w:r w:rsidR="00CC7D55" w:rsidRPr="002A6806">
        <w:rPr>
          <w:rFonts w:ascii="Helvetica" w:eastAsiaTheme="minorHAnsi" w:hAnsi="Helvetica"/>
          <w:szCs w:val="22"/>
        </w:rPr>
        <w:t>.</w:t>
      </w:r>
      <w:proofErr w:type="gramEnd"/>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r w:rsidRPr="002A6806">
        <w:rPr>
          <w:rFonts w:ascii="Helvetica" w:eastAsiaTheme="minorHAnsi" w:hAnsi="Helvetica"/>
          <w:szCs w:val="22"/>
        </w:rPr>
        <w:lastRenderedPageBreak/>
        <w:t xml:space="preserve">Austroads 2012, </w:t>
      </w:r>
      <w:r w:rsidR="007836F5" w:rsidRPr="002A6806">
        <w:rPr>
          <w:rFonts w:ascii="Helvetica" w:eastAsiaTheme="minorHAnsi" w:hAnsi="Helvetica"/>
          <w:szCs w:val="22"/>
        </w:rPr>
        <w:t>‘</w:t>
      </w:r>
      <w:r w:rsidRPr="002A6806">
        <w:rPr>
          <w:rFonts w:ascii="Helvetica" w:eastAsiaTheme="minorHAnsi" w:hAnsi="Helvetica"/>
          <w:szCs w:val="22"/>
        </w:rPr>
        <w:t>Guide to Pavement Technology Part 2: Pavement Structural Design</w:t>
      </w:r>
      <w:r w:rsidR="007836F5" w:rsidRPr="002A6806">
        <w:rPr>
          <w:rFonts w:ascii="Helvetica" w:eastAsiaTheme="minorHAnsi" w:hAnsi="Helvetica"/>
          <w:szCs w:val="22"/>
        </w:rPr>
        <w:t>’</w:t>
      </w:r>
      <w:r w:rsidRPr="002A6806">
        <w:rPr>
          <w:rFonts w:ascii="Helvetica" w:eastAsiaTheme="minorHAnsi" w:hAnsi="Helvetica"/>
          <w:szCs w:val="22"/>
        </w:rPr>
        <w:t>, Austroads Inc., Sydney, Australia</w:t>
      </w:r>
      <w:r w:rsidR="00CC7D55" w:rsidRPr="002A6806">
        <w:rPr>
          <w:rFonts w:ascii="Helvetica" w:eastAsiaTheme="minorHAnsi" w:hAnsi="Helvetica"/>
          <w:szCs w:val="22"/>
        </w:rPr>
        <w:t>.</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r w:rsidRPr="002A6806">
        <w:rPr>
          <w:rFonts w:ascii="Helvetica" w:eastAsiaTheme="minorHAnsi" w:hAnsi="Helvetica"/>
          <w:szCs w:val="22"/>
        </w:rPr>
        <w:t>Bunker, J</w:t>
      </w:r>
      <w:r w:rsidR="008D399A" w:rsidRPr="002A6806">
        <w:rPr>
          <w:rFonts w:ascii="Helvetica" w:eastAsiaTheme="minorHAnsi" w:hAnsi="Helvetica"/>
          <w:szCs w:val="22"/>
        </w:rPr>
        <w:t>.</w:t>
      </w:r>
      <w:r w:rsidRPr="002A6806">
        <w:rPr>
          <w:rFonts w:ascii="Helvetica" w:eastAsiaTheme="minorHAnsi" w:hAnsi="Helvetica"/>
          <w:szCs w:val="22"/>
        </w:rPr>
        <w:t xml:space="preserve"> &amp; </w:t>
      </w:r>
      <w:proofErr w:type="spellStart"/>
      <w:r w:rsidRPr="002A6806">
        <w:rPr>
          <w:rFonts w:ascii="Helvetica" w:eastAsiaTheme="minorHAnsi" w:hAnsi="Helvetica"/>
          <w:szCs w:val="22"/>
        </w:rPr>
        <w:t>Parajuli</w:t>
      </w:r>
      <w:proofErr w:type="spellEnd"/>
      <w:r w:rsidRPr="002A6806">
        <w:rPr>
          <w:rFonts w:ascii="Helvetica" w:eastAsiaTheme="minorHAnsi" w:hAnsi="Helvetica"/>
          <w:szCs w:val="22"/>
        </w:rPr>
        <w:t>, A</w:t>
      </w:r>
      <w:r w:rsidR="008D399A" w:rsidRPr="002A6806">
        <w:rPr>
          <w:rFonts w:ascii="Helvetica" w:eastAsiaTheme="minorHAnsi" w:hAnsi="Helvetica"/>
          <w:szCs w:val="22"/>
        </w:rPr>
        <w:t>.</w:t>
      </w:r>
      <w:r w:rsidRPr="002A6806">
        <w:rPr>
          <w:rFonts w:ascii="Helvetica" w:eastAsiaTheme="minorHAnsi" w:hAnsi="Helvetica"/>
          <w:szCs w:val="22"/>
        </w:rPr>
        <w:t xml:space="preserve">, 2006, ‘Examining Lateral Positions of Cars and Heavy Vehicles on a Two Lane, Two Way Motorway’, Journal of Transport Engineering in Australia, vol. 10, no. 2, p. 1-11. </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proofErr w:type="spellStart"/>
      <w:proofErr w:type="gramStart"/>
      <w:r w:rsidRPr="002A6806">
        <w:rPr>
          <w:rFonts w:ascii="Helvetica" w:eastAsiaTheme="minorHAnsi" w:hAnsi="Helvetica"/>
          <w:szCs w:val="22"/>
        </w:rPr>
        <w:t>Darestani</w:t>
      </w:r>
      <w:proofErr w:type="spellEnd"/>
      <w:r w:rsidRPr="002A6806">
        <w:rPr>
          <w:rFonts w:ascii="Helvetica" w:eastAsiaTheme="minorHAnsi" w:hAnsi="Helvetica"/>
          <w:szCs w:val="22"/>
        </w:rPr>
        <w:t>, M</w:t>
      </w:r>
      <w:r w:rsidR="008D399A" w:rsidRPr="002A6806">
        <w:rPr>
          <w:rFonts w:ascii="Helvetica" w:eastAsiaTheme="minorHAnsi" w:hAnsi="Helvetica"/>
          <w:szCs w:val="22"/>
        </w:rPr>
        <w:t>.</w:t>
      </w:r>
      <w:r w:rsidRPr="002A6806">
        <w:rPr>
          <w:rFonts w:ascii="Helvetica" w:eastAsiaTheme="minorHAnsi" w:hAnsi="Helvetica"/>
          <w:szCs w:val="22"/>
        </w:rPr>
        <w:t>Y</w:t>
      </w:r>
      <w:r w:rsidR="008D399A" w:rsidRPr="002A6806">
        <w:rPr>
          <w:rFonts w:ascii="Helvetica" w:eastAsiaTheme="minorHAnsi" w:hAnsi="Helvetica"/>
          <w:szCs w:val="22"/>
        </w:rPr>
        <w:t>.</w:t>
      </w:r>
      <w:r w:rsidRPr="002A6806">
        <w:rPr>
          <w:rFonts w:ascii="Helvetica" w:eastAsiaTheme="minorHAnsi" w:hAnsi="Helvetica"/>
          <w:szCs w:val="22"/>
        </w:rPr>
        <w:t>, Nataatmadja, A</w:t>
      </w:r>
      <w:r w:rsidR="008D399A" w:rsidRPr="002A6806">
        <w:rPr>
          <w:rFonts w:ascii="Helvetica" w:eastAsiaTheme="minorHAnsi" w:hAnsi="Helvetica"/>
          <w:szCs w:val="22"/>
        </w:rPr>
        <w:t>.</w:t>
      </w:r>
      <w:r w:rsidRPr="002A6806">
        <w:rPr>
          <w:rFonts w:ascii="Helvetica" w:eastAsiaTheme="minorHAnsi" w:hAnsi="Helvetica"/>
          <w:szCs w:val="22"/>
        </w:rPr>
        <w:t>, Thambiratnam, D</w:t>
      </w:r>
      <w:r w:rsidR="008D399A" w:rsidRPr="002A6806">
        <w:rPr>
          <w:rFonts w:ascii="Helvetica" w:eastAsiaTheme="minorHAnsi" w:hAnsi="Helvetica"/>
          <w:szCs w:val="22"/>
        </w:rPr>
        <w:t>.</w:t>
      </w:r>
      <w:r w:rsidRPr="002A6806">
        <w:rPr>
          <w:rFonts w:ascii="Helvetica" w:eastAsiaTheme="minorHAnsi" w:hAnsi="Helvetica"/>
          <w:szCs w:val="22"/>
        </w:rPr>
        <w:t>P</w:t>
      </w:r>
      <w:r w:rsidR="008D399A" w:rsidRPr="002A6806">
        <w:rPr>
          <w:rFonts w:ascii="Helvetica" w:eastAsiaTheme="minorHAnsi" w:hAnsi="Helvetica"/>
          <w:szCs w:val="22"/>
        </w:rPr>
        <w:t>.</w:t>
      </w:r>
      <w:r w:rsidRPr="002A6806">
        <w:rPr>
          <w:rFonts w:ascii="Helvetica" w:eastAsiaTheme="minorHAnsi" w:hAnsi="Helvetica"/>
          <w:szCs w:val="22"/>
        </w:rPr>
        <w:t xml:space="preserve"> &amp; </w:t>
      </w:r>
      <w:proofErr w:type="spellStart"/>
      <w:r w:rsidRPr="002A6806">
        <w:rPr>
          <w:rFonts w:ascii="Helvetica" w:eastAsiaTheme="minorHAnsi" w:hAnsi="Helvetica"/>
          <w:szCs w:val="22"/>
        </w:rPr>
        <w:t>Baweja</w:t>
      </w:r>
      <w:proofErr w:type="spellEnd"/>
      <w:r w:rsidRPr="002A6806">
        <w:rPr>
          <w:rFonts w:ascii="Helvetica" w:eastAsiaTheme="minorHAnsi" w:hAnsi="Helvetica"/>
          <w:szCs w:val="22"/>
        </w:rPr>
        <w:t>, D</w:t>
      </w:r>
      <w:r w:rsidR="008D399A" w:rsidRPr="002A6806">
        <w:rPr>
          <w:rFonts w:ascii="Helvetica" w:eastAsiaTheme="minorHAnsi" w:hAnsi="Helvetica"/>
          <w:szCs w:val="22"/>
        </w:rPr>
        <w:t>.</w:t>
      </w:r>
      <w:r w:rsidRPr="002A6806">
        <w:rPr>
          <w:rFonts w:ascii="Helvetica" w:eastAsiaTheme="minorHAnsi" w:hAnsi="Helvetica"/>
          <w:szCs w:val="22"/>
        </w:rPr>
        <w:t xml:space="preserve"> 2006, ‘A review of 2004 Austroads Rigid Pavement Design’, </w:t>
      </w:r>
      <w:r w:rsidR="007836F5" w:rsidRPr="002A6806">
        <w:rPr>
          <w:rFonts w:ascii="Helvetica" w:eastAsiaTheme="minorHAnsi" w:hAnsi="Helvetica"/>
          <w:i/>
          <w:szCs w:val="22"/>
        </w:rPr>
        <w:t xml:space="preserve">Proceedings of the </w:t>
      </w:r>
      <w:r w:rsidRPr="002A6806">
        <w:rPr>
          <w:rFonts w:ascii="Helvetica" w:eastAsiaTheme="minorHAnsi" w:hAnsi="Helvetica"/>
          <w:i/>
          <w:szCs w:val="22"/>
        </w:rPr>
        <w:t>22nd ARRB Conference – Research into Practice,</w:t>
      </w:r>
      <w:r w:rsidRPr="002A6806">
        <w:rPr>
          <w:rFonts w:ascii="Helvetica" w:eastAsiaTheme="minorHAnsi" w:hAnsi="Helvetica"/>
          <w:szCs w:val="22"/>
        </w:rPr>
        <w:t xml:space="preserve"> Canberra, Australia.</w:t>
      </w:r>
      <w:proofErr w:type="gramEnd"/>
      <w:r w:rsidRPr="002A6806">
        <w:rPr>
          <w:rFonts w:ascii="Helvetica" w:eastAsiaTheme="minorHAnsi" w:hAnsi="Helvetica"/>
          <w:szCs w:val="22"/>
        </w:rPr>
        <w:t xml:space="preserve"> </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proofErr w:type="spellStart"/>
      <w:r w:rsidRPr="002A6806">
        <w:rPr>
          <w:rFonts w:ascii="Helvetica" w:eastAsiaTheme="minorHAnsi" w:hAnsi="Helvetica"/>
          <w:szCs w:val="22"/>
        </w:rPr>
        <w:t>Davids</w:t>
      </w:r>
      <w:proofErr w:type="spellEnd"/>
      <w:r w:rsidRPr="002A6806">
        <w:rPr>
          <w:rFonts w:ascii="Helvetica" w:eastAsiaTheme="minorHAnsi" w:hAnsi="Helvetica"/>
          <w:szCs w:val="22"/>
        </w:rPr>
        <w:t>, W</w:t>
      </w:r>
      <w:r w:rsidR="008D399A" w:rsidRPr="002A6806">
        <w:rPr>
          <w:rFonts w:ascii="Helvetica" w:eastAsiaTheme="minorHAnsi" w:hAnsi="Helvetica"/>
          <w:szCs w:val="22"/>
        </w:rPr>
        <w:t>.</w:t>
      </w:r>
      <w:r w:rsidRPr="002A6806">
        <w:rPr>
          <w:rFonts w:ascii="Helvetica" w:eastAsiaTheme="minorHAnsi" w:hAnsi="Helvetica"/>
          <w:szCs w:val="22"/>
        </w:rPr>
        <w:t>G</w:t>
      </w:r>
      <w:r w:rsidR="008D399A" w:rsidRPr="002A6806">
        <w:rPr>
          <w:rFonts w:ascii="Helvetica" w:eastAsiaTheme="minorHAnsi" w:hAnsi="Helvetica"/>
          <w:szCs w:val="22"/>
        </w:rPr>
        <w:t>.</w:t>
      </w:r>
      <w:r w:rsidRPr="002A6806">
        <w:rPr>
          <w:rFonts w:ascii="Helvetica" w:eastAsiaTheme="minorHAnsi" w:hAnsi="Helvetica"/>
          <w:szCs w:val="22"/>
        </w:rPr>
        <w:t xml:space="preserve">, </w:t>
      </w:r>
      <w:proofErr w:type="spellStart"/>
      <w:r w:rsidRPr="002A6806">
        <w:rPr>
          <w:rFonts w:ascii="Helvetica" w:eastAsiaTheme="minorHAnsi" w:hAnsi="Helvetica"/>
          <w:szCs w:val="22"/>
        </w:rPr>
        <w:t>Turkiyyah</w:t>
      </w:r>
      <w:proofErr w:type="spellEnd"/>
      <w:r w:rsidRPr="002A6806">
        <w:rPr>
          <w:rFonts w:ascii="Helvetica" w:eastAsiaTheme="minorHAnsi" w:hAnsi="Helvetica"/>
          <w:szCs w:val="22"/>
        </w:rPr>
        <w:t>, G</w:t>
      </w:r>
      <w:r w:rsidR="008D399A" w:rsidRPr="002A6806">
        <w:rPr>
          <w:rFonts w:ascii="Helvetica" w:eastAsiaTheme="minorHAnsi" w:hAnsi="Helvetica"/>
          <w:szCs w:val="22"/>
        </w:rPr>
        <w:t>.</w:t>
      </w:r>
      <w:r w:rsidRPr="002A6806">
        <w:rPr>
          <w:rFonts w:ascii="Helvetica" w:eastAsiaTheme="minorHAnsi" w:hAnsi="Helvetica"/>
          <w:szCs w:val="22"/>
        </w:rPr>
        <w:t>M</w:t>
      </w:r>
      <w:r w:rsidR="008D399A" w:rsidRPr="002A6806">
        <w:rPr>
          <w:rFonts w:ascii="Helvetica" w:eastAsiaTheme="minorHAnsi" w:hAnsi="Helvetica"/>
          <w:szCs w:val="22"/>
        </w:rPr>
        <w:t>.</w:t>
      </w:r>
      <w:r w:rsidRPr="002A6806">
        <w:rPr>
          <w:rFonts w:ascii="Helvetica" w:eastAsiaTheme="minorHAnsi" w:hAnsi="Helvetica"/>
          <w:szCs w:val="22"/>
        </w:rPr>
        <w:t>, &amp; Mahoney, J</w:t>
      </w:r>
      <w:r w:rsidR="008D399A" w:rsidRPr="002A6806">
        <w:rPr>
          <w:rFonts w:ascii="Helvetica" w:eastAsiaTheme="minorHAnsi" w:hAnsi="Helvetica"/>
          <w:szCs w:val="22"/>
        </w:rPr>
        <w:t>.</w:t>
      </w:r>
      <w:r w:rsidRPr="002A6806">
        <w:rPr>
          <w:rFonts w:ascii="Helvetica" w:eastAsiaTheme="minorHAnsi" w:hAnsi="Helvetica"/>
          <w:szCs w:val="22"/>
        </w:rPr>
        <w:t>P</w:t>
      </w:r>
      <w:r w:rsidR="008D399A" w:rsidRPr="002A6806">
        <w:rPr>
          <w:rFonts w:ascii="Helvetica" w:eastAsiaTheme="minorHAnsi" w:hAnsi="Helvetica"/>
          <w:szCs w:val="22"/>
        </w:rPr>
        <w:t>.,</w:t>
      </w:r>
      <w:r w:rsidRPr="002A6806">
        <w:rPr>
          <w:rFonts w:ascii="Helvetica" w:eastAsiaTheme="minorHAnsi" w:hAnsi="Helvetica"/>
          <w:szCs w:val="22"/>
        </w:rPr>
        <w:t xml:space="preserve"> 1998, ‘EverFE: Rigid Pavement Three-Dimensional Finite Element Analysis Tool’, Transportation Research Record 1629, Transportation Research Board, Washington, D.C.,</w:t>
      </w:r>
      <w:r w:rsidR="008D399A" w:rsidRPr="002A6806">
        <w:rPr>
          <w:rFonts w:ascii="Helvetica" w:eastAsiaTheme="minorHAnsi" w:hAnsi="Helvetica"/>
          <w:szCs w:val="22"/>
        </w:rPr>
        <w:t xml:space="preserve"> USA,</w:t>
      </w:r>
      <w:r w:rsidRPr="002A6806">
        <w:rPr>
          <w:rFonts w:ascii="Helvetica" w:eastAsiaTheme="minorHAnsi" w:hAnsi="Helvetica"/>
          <w:szCs w:val="22"/>
        </w:rPr>
        <w:t xml:space="preserve"> pp. 41–49</w:t>
      </w:r>
      <w:r w:rsidR="00CC7D55" w:rsidRPr="002A6806">
        <w:rPr>
          <w:rFonts w:ascii="Helvetica" w:eastAsiaTheme="minorHAnsi" w:hAnsi="Helvetica"/>
          <w:szCs w:val="22"/>
        </w:rPr>
        <w:t>.</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proofErr w:type="spellStart"/>
      <w:r w:rsidRPr="002A6806">
        <w:rPr>
          <w:rFonts w:ascii="Helvetica" w:eastAsiaTheme="minorHAnsi" w:hAnsi="Helvetica"/>
          <w:szCs w:val="22"/>
        </w:rPr>
        <w:t>Davids</w:t>
      </w:r>
      <w:proofErr w:type="spellEnd"/>
      <w:r w:rsidRPr="002A6806">
        <w:rPr>
          <w:rFonts w:ascii="Helvetica" w:eastAsiaTheme="minorHAnsi" w:hAnsi="Helvetica"/>
          <w:szCs w:val="22"/>
        </w:rPr>
        <w:t>, W</w:t>
      </w:r>
      <w:r w:rsidR="008D399A" w:rsidRPr="002A6806">
        <w:rPr>
          <w:rFonts w:ascii="Helvetica" w:eastAsiaTheme="minorHAnsi" w:hAnsi="Helvetica"/>
          <w:szCs w:val="22"/>
        </w:rPr>
        <w:t>.</w:t>
      </w:r>
      <w:r w:rsidRPr="002A6806">
        <w:rPr>
          <w:rFonts w:ascii="Helvetica" w:eastAsiaTheme="minorHAnsi" w:hAnsi="Helvetica"/>
          <w:szCs w:val="22"/>
        </w:rPr>
        <w:t>G</w:t>
      </w:r>
      <w:r w:rsidR="008D399A" w:rsidRPr="002A6806">
        <w:rPr>
          <w:rFonts w:ascii="Helvetica" w:eastAsiaTheme="minorHAnsi" w:hAnsi="Helvetica"/>
          <w:szCs w:val="22"/>
        </w:rPr>
        <w:t>.</w:t>
      </w:r>
      <w:r w:rsidRPr="002A6806">
        <w:rPr>
          <w:rFonts w:ascii="Helvetica" w:eastAsiaTheme="minorHAnsi" w:hAnsi="Helvetica"/>
          <w:szCs w:val="22"/>
        </w:rPr>
        <w:t>, Wang, Z</w:t>
      </w:r>
      <w:r w:rsidR="008D399A" w:rsidRPr="002A6806">
        <w:rPr>
          <w:rFonts w:ascii="Helvetica" w:eastAsiaTheme="minorHAnsi" w:hAnsi="Helvetica"/>
          <w:szCs w:val="22"/>
        </w:rPr>
        <w:t>.</w:t>
      </w:r>
      <w:r w:rsidRPr="002A6806">
        <w:rPr>
          <w:rFonts w:ascii="Helvetica" w:eastAsiaTheme="minorHAnsi" w:hAnsi="Helvetica"/>
          <w:szCs w:val="22"/>
        </w:rPr>
        <w:t xml:space="preserve">, </w:t>
      </w:r>
      <w:proofErr w:type="spellStart"/>
      <w:r w:rsidRPr="002A6806">
        <w:rPr>
          <w:rFonts w:ascii="Helvetica" w:eastAsiaTheme="minorHAnsi" w:hAnsi="Helvetica"/>
          <w:szCs w:val="22"/>
        </w:rPr>
        <w:t>Turkiyyah</w:t>
      </w:r>
      <w:proofErr w:type="spellEnd"/>
      <w:r w:rsidRPr="002A6806">
        <w:rPr>
          <w:rFonts w:ascii="Helvetica" w:eastAsiaTheme="minorHAnsi" w:hAnsi="Helvetica"/>
          <w:szCs w:val="22"/>
        </w:rPr>
        <w:t>, G</w:t>
      </w:r>
      <w:r w:rsidR="008D399A" w:rsidRPr="002A6806">
        <w:rPr>
          <w:rFonts w:ascii="Helvetica" w:eastAsiaTheme="minorHAnsi" w:hAnsi="Helvetica"/>
          <w:szCs w:val="22"/>
        </w:rPr>
        <w:t>.</w:t>
      </w:r>
      <w:r w:rsidRPr="002A6806">
        <w:rPr>
          <w:rFonts w:ascii="Helvetica" w:eastAsiaTheme="minorHAnsi" w:hAnsi="Helvetica"/>
          <w:szCs w:val="22"/>
        </w:rPr>
        <w:t>, Mahoney, J</w:t>
      </w:r>
      <w:r w:rsidR="008D399A" w:rsidRPr="002A6806">
        <w:rPr>
          <w:rFonts w:ascii="Helvetica" w:eastAsiaTheme="minorHAnsi" w:hAnsi="Helvetica"/>
          <w:szCs w:val="22"/>
        </w:rPr>
        <w:t>.</w:t>
      </w:r>
      <w:r w:rsidRPr="002A6806">
        <w:rPr>
          <w:rFonts w:ascii="Helvetica" w:eastAsiaTheme="minorHAnsi" w:hAnsi="Helvetica"/>
          <w:szCs w:val="22"/>
        </w:rPr>
        <w:t>P</w:t>
      </w:r>
      <w:r w:rsidR="008D399A" w:rsidRPr="002A6806">
        <w:rPr>
          <w:rFonts w:ascii="Helvetica" w:eastAsiaTheme="minorHAnsi" w:hAnsi="Helvetica"/>
          <w:szCs w:val="22"/>
        </w:rPr>
        <w:t>.</w:t>
      </w:r>
      <w:r w:rsidRPr="002A6806">
        <w:rPr>
          <w:rFonts w:ascii="Helvetica" w:eastAsiaTheme="minorHAnsi" w:hAnsi="Helvetica"/>
          <w:szCs w:val="22"/>
        </w:rPr>
        <w:t xml:space="preserve"> &amp; Bush, D</w:t>
      </w:r>
      <w:r w:rsidR="008D399A" w:rsidRPr="002A6806">
        <w:rPr>
          <w:rFonts w:ascii="Helvetica" w:eastAsiaTheme="minorHAnsi" w:hAnsi="Helvetica"/>
          <w:szCs w:val="22"/>
        </w:rPr>
        <w:t>.,</w:t>
      </w:r>
      <w:r w:rsidRPr="002A6806">
        <w:rPr>
          <w:rFonts w:ascii="Helvetica" w:eastAsiaTheme="minorHAnsi" w:hAnsi="Helvetica"/>
          <w:szCs w:val="22"/>
        </w:rPr>
        <w:t xml:space="preserve"> 2003, ‘3D Finite Element Analysis of Jointed Plain Concrete Pavement With EverFE 2.2’, Transportation Research Record 1853, Transportation Research Board, Washington, D.C.,</w:t>
      </w:r>
      <w:r w:rsidR="008D399A" w:rsidRPr="002A6806">
        <w:rPr>
          <w:rFonts w:ascii="Helvetica" w:eastAsiaTheme="minorHAnsi" w:hAnsi="Helvetica"/>
          <w:szCs w:val="22"/>
        </w:rPr>
        <w:t xml:space="preserve"> USA,</w:t>
      </w:r>
      <w:r w:rsidRPr="002A6806">
        <w:rPr>
          <w:rFonts w:ascii="Helvetica" w:eastAsiaTheme="minorHAnsi" w:hAnsi="Helvetica"/>
          <w:szCs w:val="22"/>
        </w:rPr>
        <w:t xml:space="preserve"> 92–99.</w:t>
      </w:r>
    </w:p>
    <w:p w:rsidR="00CC7D55" w:rsidRPr="002A6806" w:rsidRDefault="00CC7D55" w:rsidP="00CC7D55">
      <w:pPr>
        <w:spacing w:after="0"/>
        <w:jc w:val="both"/>
        <w:rPr>
          <w:rFonts w:ascii="Helvetica" w:eastAsiaTheme="minorHAnsi" w:hAnsi="Helvetica"/>
          <w:szCs w:val="22"/>
        </w:rPr>
      </w:pPr>
    </w:p>
    <w:p w:rsidR="007836F5" w:rsidRPr="002A6806" w:rsidRDefault="007836F5" w:rsidP="00CC7D55">
      <w:pPr>
        <w:spacing w:after="0"/>
        <w:jc w:val="both"/>
        <w:rPr>
          <w:rFonts w:ascii="Helvetica" w:eastAsiaTheme="minorHAnsi" w:hAnsi="Helvetica"/>
          <w:szCs w:val="22"/>
        </w:rPr>
      </w:pPr>
      <w:r w:rsidRPr="002A6806">
        <w:rPr>
          <w:rFonts w:ascii="Helvetica" w:eastAsiaTheme="minorHAnsi" w:hAnsi="Helvetica"/>
          <w:szCs w:val="22"/>
        </w:rPr>
        <w:t>Department of Infrastructure and Transport</w:t>
      </w:r>
      <w:r w:rsidR="008D399A" w:rsidRPr="002A6806">
        <w:rPr>
          <w:rFonts w:ascii="Helvetica" w:eastAsiaTheme="minorHAnsi" w:hAnsi="Helvetica"/>
          <w:szCs w:val="22"/>
        </w:rPr>
        <w:t>,</w:t>
      </w:r>
      <w:r w:rsidRPr="002A6806">
        <w:rPr>
          <w:rFonts w:ascii="Helvetica" w:eastAsiaTheme="minorHAnsi" w:hAnsi="Helvetica"/>
          <w:szCs w:val="22"/>
        </w:rPr>
        <w:t xml:space="preserve"> 2011, </w:t>
      </w:r>
      <w:r w:rsidR="008D399A" w:rsidRPr="002A6806">
        <w:rPr>
          <w:rFonts w:ascii="Helvetica" w:eastAsiaTheme="minorHAnsi" w:hAnsi="Helvetica"/>
          <w:szCs w:val="22"/>
        </w:rPr>
        <w:t>‘</w:t>
      </w:r>
      <w:r w:rsidRPr="002A6806">
        <w:rPr>
          <w:rFonts w:ascii="Helvetica" w:eastAsiaTheme="minorHAnsi" w:hAnsi="Helvetica"/>
          <w:szCs w:val="22"/>
        </w:rPr>
        <w:t xml:space="preserve">Truck </w:t>
      </w:r>
      <w:r w:rsidR="008D399A" w:rsidRPr="002A6806">
        <w:rPr>
          <w:rFonts w:ascii="Helvetica" w:eastAsiaTheme="minorHAnsi" w:hAnsi="Helvetica"/>
          <w:szCs w:val="22"/>
        </w:rPr>
        <w:t>P</w:t>
      </w:r>
      <w:r w:rsidRPr="002A6806">
        <w:rPr>
          <w:rFonts w:ascii="Helvetica" w:eastAsiaTheme="minorHAnsi" w:hAnsi="Helvetica"/>
          <w:szCs w:val="22"/>
        </w:rPr>
        <w:t xml:space="preserve">roductivity: </w:t>
      </w:r>
      <w:r w:rsidR="008D399A" w:rsidRPr="002A6806">
        <w:rPr>
          <w:rFonts w:ascii="Helvetica" w:eastAsiaTheme="minorHAnsi" w:hAnsi="Helvetica"/>
          <w:szCs w:val="22"/>
        </w:rPr>
        <w:t>Sources, T</w:t>
      </w:r>
      <w:r w:rsidRPr="002A6806">
        <w:rPr>
          <w:rFonts w:ascii="Helvetica" w:eastAsiaTheme="minorHAnsi" w:hAnsi="Helvetica"/>
          <w:szCs w:val="22"/>
        </w:rPr>
        <w:t xml:space="preserve">rends and </w:t>
      </w:r>
      <w:r w:rsidR="008D399A" w:rsidRPr="002A6806">
        <w:rPr>
          <w:rFonts w:ascii="Helvetica" w:eastAsiaTheme="minorHAnsi" w:hAnsi="Helvetica"/>
          <w:szCs w:val="22"/>
        </w:rPr>
        <w:t>Future P</w:t>
      </w:r>
      <w:r w:rsidRPr="002A6806">
        <w:rPr>
          <w:rFonts w:ascii="Helvetica" w:eastAsiaTheme="minorHAnsi" w:hAnsi="Helvetica"/>
          <w:szCs w:val="22"/>
        </w:rPr>
        <w:t>rospects</w:t>
      </w:r>
      <w:r w:rsidR="008D399A" w:rsidRPr="002A6806">
        <w:rPr>
          <w:rFonts w:ascii="Helvetica" w:eastAsiaTheme="minorHAnsi" w:hAnsi="Helvetica"/>
          <w:szCs w:val="22"/>
        </w:rPr>
        <w:t>’</w:t>
      </w:r>
      <w:r w:rsidRPr="002A6806">
        <w:rPr>
          <w:rFonts w:ascii="Helvetica" w:eastAsiaTheme="minorHAnsi" w:hAnsi="Helvetica"/>
          <w:szCs w:val="22"/>
        </w:rPr>
        <w:t>, Australian Government, Canberra, Australia.</w:t>
      </w:r>
    </w:p>
    <w:p w:rsidR="00CC7D55" w:rsidRPr="002A6806" w:rsidRDefault="00CC7D55" w:rsidP="00CC7D55">
      <w:pPr>
        <w:spacing w:after="0"/>
        <w:jc w:val="both"/>
        <w:rPr>
          <w:rFonts w:ascii="Helvetica" w:eastAsiaTheme="minorHAnsi" w:hAnsi="Helvetica"/>
          <w:szCs w:val="22"/>
        </w:rPr>
      </w:pPr>
    </w:p>
    <w:p w:rsidR="007836F5" w:rsidRPr="002A6806" w:rsidRDefault="007836F5" w:rsidP="00CC7D55">
      <w:pPr>
        <w:spacing w:after="0"/>
        <w:jc w:val="both"/>
        <w:rPr>
          <w:rFonts w:ascii="Helvetica" w:eastAsiaTheme="minorHAnsi" w:hAnsi="Helvetica"/>
          <w:szCs w:val="22"/>
        </w:rPr>
      </w:pPr>
      <w:r w:rsidRPr="002A6806">
        <w:rPr>
          <w:rFonts w:ascii="Helvetica" w:eastAsiaTheme="minorHAnsi" w:hAnsi="Helvetica"/>
          <w:szCs w:val="22"/>
        </w:rPr>
        <w:t>Lee, C</w:t>
      </w:r>
      <w:r w:rsidR="008D399A" w:rsidRPr="002A6806">
        <w:rPr>
          <w:rFonts w:ascii="Helvetica" w:eastAsiaTheme="minorHAnsi" w:hAnsi="Helvetica"/>
          <w:szCs w:val="22"/>
        </w:rPr>
        <w:t>.</w:t>
      </w:r>
      <w:r w:rsidRPr="002A6806">
        <w:rPr>
          <w:rFonts w:ascii="Helvetica" w:eastAsiaTheme="minorHAnsi" w:hAnsi="Helvetica"/>
          <w:szCs w:val="22"/>
        </w:rPr>
        <w:t>E</w:t>
      </w:r>
      <w:r w:rsidR="008D399A" w:rsidRPr="002A6806">
        <w:rPr>
          <w:rFonts w:ascii="Helvetica" w:eastAsiaTheme="minorHAnsi" w:hAnsi="Helvetica"/>
          <w:szCs w:val="22"/>
        </w:rPr>
        <w:t>.</w:t>
      </w:r>
      <w:r w:rsidRPr="002A6806">
        <w:rPr>
          <w:rFonts w:ascii="Helvetica" w:eastAsiaTheme="minorHAnsi" w:hAnsi="Helvetica"/>
          <w:szCs w:val="22"/>
        </w:rPr>
        <w:t xml:space="preserve"> &amp; Garner, J</w:t>
      </w:r>
      <w:r w:rsidR="008D399A" w:rsidRPr="002A6806">
        <w:rPr>
          <w:rFonts w:ascii="Helvetica" w:eastAsiaTheme="minorHAnsi" w:hAnsi="Helvetica"/>
          <w:szCs w:val="22"/>
        </w:rPr>
        <w:t>.</w:t>
      </w:r>
      <w:r w:rsidRPr="002A6806">
        <w:rPr>
          <w:rFonts w:ascii="Helvetica" w:eastAsiaTheme="minorHAnsi" w:hAnsi="Helvetica"/>
          <w:szCs w:val="22"/>
        </w:rPr>
        <w:t>E</w:t>
      </w:r>
      <w:r w:rsidR="008D399A" w:rsidRPr="002A6806">
        <w:rPr>
          <w:rFonts w:ascii="Helvetica" w:eastAsiaTheme="minorHAnsi" w:hAnsi="Helvetica"/>
          <w:szCs w:val="22"/>
        </w:rPr>
        <w:t>.</w:t>
      </w:r>
      <w:r w:rsidRPr="002A6806">
        <w:rPr>
          <w:rFonts w:ascii="Helvetica" w:eastAsiaTheme="minorHAnsi" w:hAnsi="Helvetica"/>
          <w:szCs w:val="22"/>
        </w:rPr>
        <w:t xml:space="preserve">, 1996, ‘Collection and </w:t>
      </w:r>
      <w:r w:rsidR="008D399A" w:rsidRPr="002A6806">
        <w:rPr>
          <w:rFonts w:ascii="Helvetica" w:eastAsiaTheme="minorHAnsi" w:hAnsi="Helvetica"/>
          <w:szCs w:val="22"/>
        </w:rPr>
        <w:t>Analysis of Augmented W</w:t>
      </w:r>
      <w:r w:rsidRPr="002A6806">
        <w:rPr>
          <w:rFonts w:ascii="Helvetica" w:eastAsiaTheme="minorHAnsi" w:hAnsi="Helvetica"/>
          <w:szCs w:val="22"/>
        </w:rPr>
        <w:t>eigh-</w:t>
      </w:r>
      <w:r w:rsidR="008D399A" w:rsidRPr="002A6806">
        <w:rPr>
          <w:rFonts w:ascii="Helvetica" w:eastAsiaTheme="minorHAnsi" w:hAnsi="Helvetica"/>
          <w:szCs w:val="22"/>
        </w:rPr>
        <w:t>I</w:t>
      </w:r>
      <w:r w:rsidRPr="002A6806">
        <w:rPr>
          <w:rFonts w:ascii="Helvetica" w:eastAsiaTheme="minorHAnsi" w:hAnsi="Helvetica"/>
          <w:szCs w:val="22"/>
        </w:rPr>
        <w:t>n-</w:t>
      </w:r>
      <w:r w:rsidR="008D399A" w:rsidRPr="002A6806">
        <w:rPr>
          <w:rFonts w:ascii="Helvetica" w:eastAsiaTheme="minorHAnsi" w:hAnsi="Helvetica"/>
          <w:szCs w:val="22"/>
        </w:rPr>
        <w:t>M</w:t>
      </w:r>
      <w:r w:rsidRPr="002A6806">
        <w:rPr>
          <w:rFonts w:ascii="Helvetica" w:eastAsiaTheme="minorHAnsi" w:hAnsi="Helvetica"/>
          <w:szCs w:val="22"/>
        </w:rPr>
        <w:t xml:space="preserve">otion (WIM) </w:t>
      </w:r>
      <w:r w:rsidR="008D399A" w:rsidRPr="002A6806">
        <w:rPr>
          <w:rFonts w:ascii="Helvetica" w:eastAsiaTheme="minorHAnsi" w:hAnsi="Helvetica"/>
          <w:szCs w:val="22"/>
        </w:rPr>
        <w:t>D</w:t>
      </w:r>
      <w:r w:rsidRPr="002A6806">
        <w:rPr>
          <w:rFonts w:ascii="Helvetica" w:eastAsiaTheme="minorHAnsi" w:hAnsi="Helvetica"/>
          <w:szCs w:val="22"/>
        </w:rPr>
        <w:t>ata’, Texas</w:t>
      </w:r>
      <w:r w:rsidR="008D399A" w:rsidRPr="002A6806">
        <w:rPr>
          <w:rFonts w:ascii="Helvetica" w:eastAsiaTheme="minorHAnsi" w:hAnsi="Helvetica"/>
          <w:szCs w:val="22"/>
        </w:rPr>
        <w:t xml:space="preserve"> Department of Transportation, R</w:t>
      </w:r>
      <w:r w:rsidRPr="002A6806">
        <w:rPr>
          <w:rFonts w:ascii="Helvetica" w:eastAsiaTheme="minorHAnsi" w:hAnsi="Helvetica"/>
          <w:szCs w:val="22"/>
        </w:rPr>
        <w:t>eport no. 987-8, Texas</w:t>
      </w:r>
      <w:r w:rsidR="008D399A" w:rsidRPr="002A6806">
        <w:rPr>
          <w:rFonts w:ascii="Helvetica" w:eastAsiaTheme="minorHAnsi" w:hAnsi="Helvetica"/>
          <w:szCs w:val="22"/>
        </w:rPr>
        <w:t>, USA.</w:t>
      </w:r>
    </w:p>
    <w:p w:rsidR="00CC7D55" w:rsidRPr="002A6806" w:rsidRDefault="00CC7D55" w:rsidP="00CC7D55">
      <w:pPr>
        <w:spacing w:after="0"/>
        <w:jc w:val="both"/>
        <w:rPr>
          <w:rFonts w:ascii="Helvetica" w:eastAsiaTheme="minorHAnsi" w:hAnsi="Helvetica"/>
          <w:szCs w:val="22"/>
        </w:rPr>
      </w:pPr>
    </w:p>
    <w:p w:rsidR="008D399A" w:rsidRPr="002A6806" w:rsidRDefault="00241A24" w:rsidP="00CC7D55">
      <w:pPr>
        <w:spacing w:after="0"/>
        <w:jc w:val="both"/>
        <w:rPr>
          <w:rFonts w:ascii="Helvetica" w:eastAsiaTheme="minorHAnsi" w:hAnsi="Helvetica"/>
          <w:szCs w:val="22"/>
        </w:rPr>
      </w:pPr>
      <w:proofErr w:type="gramStart"/>
      <w:r w:rsidRPr="002A6806">
        <w:rPr>
          <w:rFonts w:ascii="Helvetica" w:eastAsiaTheme="minorHAnsi" w:hAnsi="Helvetica"/>
          <w:szCs w:val="22"/>
        </w:rPr>
        <w:t>Mitchell, D</w:t>
      </w:r>
      <w:r w:rsidR="008D399A" w:rsidRPr="002A6806">
        <w:rPr>
          <w:rFonts w:ascii="Helvetica" w:eastAsiaTheme="minorHAnsi" w:hAnsi="Helvetica"/>
          <w:szCs w:val="22"/>
        </w:rPr>
        <w:t>.</w:t>
      </w:r>
      <w:r w:rsidRPr="002A6806">
        <w:rPr>
          <w:rFonts w:ascii="Helvetica" w:eastAsiaTheme="minorHAnsi" w:hAnsi="Helvetica"/>
          <w:szCs w:val="22"/>
        </w:rPr>
        <w:t xml:space="preserve"> 2010, ‘Heavy </w:t>
      </w:r>
      <w:r w:rsidR="008D399A" w:rsidRPr="002A6806">
        <w:rPr>
          <w:rFonts w:ascii="Helvetica" w:eastAsiaTheme="minorHAnsi" w:hAnsi="Helvetica"/>
          <w:szCs w:val="22"/>
        </w:rPr>
        <w:t>Vehicle Pr</w:t>
      </w:r>
      <w:r w:rsidRPr="002A6806">
        <w:rPr>
          <w:rFonts w:ascii="Helvetica" w:eastAsiaTheme="minorHAnsi" w:hAnsi="Helvetica"/>
          <w:szCs w:val="22"/>
        </w:rPr>
        <w:t xml:space="preserve">oductivity </w:t>
      </w:r>
      <w:r w:rsidR="008D399A" w:rsidRPr="002A6806">
        <w:rPr>
          <w:rFonts w:ascii="Helvetica" w:eastAsiaTheme="minorHAnsi" w:hAnsi="Helvetica"/>
          <w:szCs w:val="22"/>
        </w:rPr>
        <w:t>Trends and Road Freight R</w:t>
      </w:r>
      <w:r w:rsidRPr="002A6806">
        <w:rPr>
          <w:rFonts w:ascii="Helvetica" w:eastAsiaTheme="minorHAnsi" w:hAnsi="Helvetica"/>
          <w:szCs w:val="22"/>
        </w:rPr>
        <w:t xml:space="preserve">egulation in Australia’, </w:t>
      </w:r>
      <w:r w:rsidR="008D399A" w:rsidRPr="002A6806">
        <w:rPr>
          <w:rFonts w:ascii="Helvetica" w:eastAsiaTheme="minorHAnsi" w:hAnsi="Helvetica"/>
          <w:i/>
          <w:szCs w:val="22"/>
        </w:rPr>
        <w:t xml:space="preserve">Proceedings </w:t>
      </w:r>
      <w:r w:rsidRPr="002A6806">
        <w:rPr>
          <w:rFonts w:ascii="Helvetica" w:eastAsiaTheme="minorHAnsi" w:hAnsi="Helvetica"/>
          <w:i/>
          <w:szCs w:val="22"/>
        </w:rPr>
        <w:t>Australasian Transport Research Forum 2010</w:t>
      </w:r>
      <w:r w:rsidR="008D399A" w:rsidRPr="002A6806">
        <w:rPr>
          <w:rFonts w:ascii="Helvetica" w:eastAsiaTheme="minorHAnsi" w:hAnsi="Helvetica"/>
          <w:szCs w:val="22"/>
        </w:rPr>
        <w:t>, Canberra, Australia.</w:t>
      </w:r>
      <w:proofErr w:type="gramEnd"/>
    </w:p>
    <w:p w:rsidR="009F415B" w:rsidRPr="002A6806" w:rsidRDefault="009F415B" w:rsidP="00CC7D55">
      <w:pPr>
        <w:spacing w:after="0"/>
        <w:jc w:val="both"/>
        <w:rPr>
          <w:rFonts w:ascii="Helvetica" w:eastAsiaTheme="minorHAnsi" w:hAnsi="Helvetica"/>
          <w:szCs w:val="22"/>
        </w:rPr>
      </w:pPr>
    </w:p>
    <w:p w:rsidR="009F415B" w:rsidRPr="002A6806" w:rsidRDefault="009F415B" w:rsidP="00CC7D55">
      <w:pPr>
        <w:spacing w:after="0"/>
        <w:jc w:val="both"/>
        <w:rPr>
          <w:rFonts w:ascii="Helvetica" w:eastAsiaTheme="minorHAnsi" w:hAnsi="Helvetica"/>
          <w:szCs w:val="22"/>
        </w:rPr>
      </w:pPr>
      <w:proofErr w:type="gramStart"/>
      <w:r w:rsidRPr="002A6806">
        <w:rPr>
          <w:rFonts w:ascii="Helvetica" w:eastAsiaTheme="minorHAnsi" w:hAnsi="Helvetica"/>
          <w:szCs w:val="22"/>
        </w:rPr>
        <w:t xml:space="preserve">Packard, R.G. &amp; </w:t>
      </w:r>
      <w:proofErr w:type="spellStart"/>
      <w:r w:rsidRPr="002A6806">
        <w:rPr>
          <w:rFonts w:ascii="Helvetica" w:eastAsiaTheme="minorHAnsi" w:hAnsi="Helvetica"/>
          <w:szCs w:val="22"/>
        </w:rPr>
        <w:t>Tayabji</w:t>
      </w:r>
      <w:proofErr w:type="spellEnd"/>
      <w:r w:rsidRPr="002A6806">
        <w:rPr>
          <w:rFonts w:ascii="Helvetica" w:eastAsiaTheme="minorHAnsi" w:hAnsi="Helvetica"/>
          <w:szCs w:val="22"/>
        </w:rPr>
        <w:t>, S.D., 1985.</w:t>
      </w:r>
      <w:proofErr w:type="gramEnd"/>
      <w:r w:rsidRPr="002A6806">
        <w:rPr>
          <w:rFonts w:ascii="Helvetica" w:eastAsiaTheme="minorHAnsi" w:hAnsi="Helvetica"/>
          <w:szCs w:val="22"/>
        </w:rPr>
        <w:t xml:space="preserve"> ‘New PCA Thickness Design Procedure for Concrete Highway and Street Pavements’, Third International Conference on Concrete Pavement Design and Rehabilitation, Purdue, West </w:t>
      </w:r>
      <w:r w:rsidR="006165BC" w:rsidRPr="002A6806">
        <w:rPr>
          <w:rFonts w:ascii="Helvetica" w:eastAsiaTheme="minorHAnsi" w:hAnsi="Helvetica"/>
          <w:szCs w:val="22"/>
        </w:rPr>
        <w:t>Lafayette</w:t>
      </w:r>
      <w:r w:rsidRPr="002A6806">
        <w:rPr>
          <w:rFonts w:ascii="Helvetica" w:eastAsiaTheme="minorHAnsi" w:hAnsi="Helvetica"/>
          <w:szCs w:val="22"/>
        </w:rPr>
        <w:t>, Indiana, USA.</w:t>
      </w:r>
    </w:p>
    <w:p w:rsidR="00CC7D55" w:rsidRPr="002A6806" w:rsidRDefault="00CC7D55" w:rsidP="00CC7D55">
      <w:pPr>
        <w:spacing w:after="0"/>
        <w:jc w:val="both"/>
        <w:rPr>
          <w:rFonts w:ascii="Helvetica" w:eastAsiaTheme="minorHAnsi" w:hAnsi="Helvetica"/>
          <w:szCs w:val="22"/>
        </w:rPr>
      </w:pPr>
    </w:p>
    <w:p w:rsidR="00241A24" w:rsidRPr="002A6806" w:rsidRDefault="00241A24" w:rsidP="00CC7D55">
      <w:pPr>
        <w:spacing w:after="0"/>
        <w:jc w:val="both"/>
        <w:rPr>
          <w:rFonts w:ascii="Helvetica" w:eastAsiaTheme="minorHAnsi" w:hAnsi="Helvetica"/>
          <w:szCs w:val="22"/>
        </w:rPr>
      </w:pPr>
      <w:r w:rsidRPr="002A6806">
        <w:rPr>
          <w:rFonts w:ascii="Helvetica" w:eastAsiaTheme="minorHAnsi" w:hAnsi="Helvetica"/>
          <w:szCs w:val="22"/>
        </w:rPr>
        <w:t>Pearson, R</w:t>
      </w:r>
      <w:r w:rsidR="008D399A" w:rsidRPr="002A6806">
        <w:rPr>
          <w:rFonts w:ascii="Helvetica" w:eastAsiaTheme="minorHAnsi" w:hAnsi="Helvetica"/>
          <w:szCs w:val="22"/>
        </w:rPr>
        <w:t>.</w:t>
      </w:r>
      <w:r w:rsidRPr="002A6806">
        <w:rPr>
          <w:rFonts w:ascii="Helvetica" w:eastAsiaTheme="minorHAnsi" w:hAnsi="Helvetica"/>
          <w:szCs w:val="22"/>
        </w:rPr>
        <w:t>A</w:t>
      </w:r>
      <w:r w:rsidR="008D399A" w:rsidRPr="002A6806">
        <w:rPr>
          <w:rFonts w:ascii="Helvetica" w:eastAsiaTheme="minorHAnsi" w:hAnsi="Helvetica"/>
          <w:szCs w:val="22"/>
        </w:rPr>
        <w:t>.</w:t>
      </w:r>
      <w:r w:rsidRPr="002A6806">
        <w:rPr>
          <w:rFonts w:ascii="Helvetica" w:eastAsiaTheme="minorHAnsi" w:hAnsi="Helvetica"/>
          <w:szCs w:val="22"/>
        </w:rPr>
        <w:t>, &amp; Foley, G</w:t>
      </w:r>
      <w:r w:rsidR="008D399A" w:rsidRPr="002A6806">
        <w:rPr>
          <w:rFonts w:ascii="Helvetica" w:eastAsiaTheme="minorHAnsi" w:hAnsi="Helvetica"/>
          <w:szCs w:val="22"/>
        </w:rPr>
        <w:t>.</w:t>
      </w:r>
      <w:r w:rsidRPr="002A6806">
        <w:rPr>
          <w:rFonts w:ascii="Helvetica" w:eastAsiaTheme="minorHAnsi" w:hAnsi="Helvetica"/>
          <w:szCs w:val="22"/>
        </w:rPr>
        <w:t>D</w:t>
      </w:r>
      <w:r w:rsidR="008D399A" w:rsidRPr="002A6806">
        <w:rPr>
          <w:rFonts w:ascii="Helvetica" w:eastAsiaTheme="minorHAnsi" w:hAnsi="Helvetica"/>
          <w:szCs w:val="22"/>
        </w:rPr>
        <w:t xml:space="preserve">., </w:t>
      </w:r>
      <w:r w:rsidRPr="002A6806">
        <w:rPr>
          <w:rFonts w:ascii="Helvetica" w:eastAsiaTheme="minorHAnsi" w:hAnsi="Helvetica"/>
          <w:szCs w:val="22"/>
        </w:rPr>
        <w:t>2001, ‘Emerging</w:t>
      </w:r>
      <w:r w:rsidR="00F6433F" w:rsidRPr="002A6806">
        <w:rPr>
          <w:rFonts w:ascii="Helvetica" w:eastAsiaTheme="minorHAnsi" w:hAnsi="Helvetica"/>
          <w:szCs w:val="22"/>
        </w:rPr>
        <w:t xml:space="preserve"> I</w:t>
      </w:r>
      <w:r w:rsidRPr="002A6806">
        <w:rPr>
          <w:rFonts w:ascii="Helvetica" w:eastAsiaTheme="minorHAnsi" w:hAnsi="Helvetica"/>
          <w:szCs w:val="22"/>
        </w:rPr>
        <w:t xml:space="preserve">ssues in the Australian </w:t>
      </w:r>
      <w:r w:rsidR="00F6433F" w:rsidRPr="002A6806">
        <w:rPr>
          <w:rFonts w:ascii="Helvetica" w:eastAsiaTheme="minorHAnsi" w:hAnsi="Helvetica"/>
          <w:szCs w:val="22"/>
        </w:rPr>
        <w:t>Transport I</w:t>
      </w:r>
      <w:r w:rsidRPr="002A6806">
        <w:rPr>
          <w:rFonts w:ascii="Helvetica" w:eastAsiaTheme="minorHAnsi" w:hAnsi="Helvetica"/>
          <w:szCs w:val="22"/>
        </w:rPr>
        <w:t>ndustry (2000-2015)’, ARRB Transport Research Ltd. Research</w:t>
      </w:r>
      <w:r w:rsidR="00F6433F" w:rsidRPr="002A6806">
        <w:rPr>
          <w:rFonts w:ascii="Helvetica" w:eastAsiaTheme="minorHAnsi" w:hAnsi="Helvetica"/>
          <w:szCs w:val="22"/>
        </w:rPr>
        <w:t xml:space="preserve"> Report N</w:t>
      </w:r>
      <w:r w:rsidRPr="002A6806">
        <w:rPr>
          <w:rFonts w:ascii="Helvetica" w:eastAsiaTheme="minorHAnsi" w:hAnsi="Helvetica"/>
          <w:szCs w:val="22"/>
        </w:rPr>
        <w:t xml:space="preserve">o. 350. </w:t>
      </w:r>
    </w:p>
    <w:p w:rsidR="00CC7D55" w:rsidRPr="002A6806" w:rsidRDefault="00CC7D55" w:rsidP="00CC7D55">
      <w:pPr>
        <w:spacing w:after="0"/>
        <w:jc w:val="both"/>
        <w:rPr>
          <w:rFonts w:ascii="Helvetica" w:eastAsiaTheme="minorHAnsi" w:hAnsi="Helvetica"/>
          <w:szCs w:val="22"/>
        </w:rPr>
      </w:pPr>
    </w:p>
    <w:p w:rsidR="00D82D2A" w:rsidRPr="002A6806" w:rsidRDefault="00D82D2A" w:rsidP="007017D3">
      <w:pPr>
        <w:pStyle w:val="Heading1"/>
        <w:jc w:val="both"/>
      </w:pPr>
      <w:r w:rsidRPr="002A6806">
        <w:t>AUTHOR BIOGRAPHIES</w:t>
      </w:r>
    </w:p>
    <w:p w:rsidR="00F6433F" w:rsidRPr="002A6806" w:rsidRDefault="00F6433F" w:rsidP="007017D3">
      <w:pPr>
        <w:jc w:val="both"/>
      </w:pPr>
      <w:r w:rsidRPr="002A6806">
        <w:rPr>
          <w:b/>
        </w:rPr>
        <w:t>Jake Tobler:</w:t>
      </w:r>
      <w:r w:rsidRPr="002A6806">
        <w:t xml:space="preserve"> Jake works full-time as a Project Engineer with the Roads and Maritime Services (RMS) in New South Wales, working out of the Tamworth District Office. Jake completed the Bachelor of Engineering (Honours) – Civil Major in 2015 whilst studying externally through the University of Southern Queensland.</w:t>
      </w:r>
    </w:p>
    <w:p w:rsidR="004A1F42" w:rsidRPr="002A6806" w:rsidRDefault="00F6433F" w:rsidP="007017D3">
      <w:pPr>
        <w:jc w:val="both"/>
      </w:pPr>
      <w:r w:rsidRPr="002A6806">
        <w:rPr>
          <w:b/>
        </w:rPr>
        <w:t>Andreas Nataatmadja</w:t>
      </w:r>
      <w:r w:rsidRPr="002A6806">
        <w:t>: Andreas is a Senior Lecturer in Geotechnical and Pavement Engineering at the University of Southern Queensland and a Fellow of the Institution of Engineers, Australia. He holds a PhD from Monash University. He previously worked for RMS-NSW as the Supervising Pavement Engineer (Design &amp; Analysis).</w:t>
      </w:r>
    </w:p>
    <w:p w:rsidR="00D82D2A" w:rsidRPr="002A6806" w:rsidRDefault="00D82D2A" w:rsidP="007017D3">
      <w:pPr>
        <w:pBdr>
          <w:top w:val="single" w:sz="4" w:space="1" w:color="auto"/>
          <w:left w:val="single" w:sz="4" w:space="4" w:color="auto"/>
          <w:bottom w:val="single" w:sz="4" w:space="1" w:color="auto"/>
          <w:right w:val="single" w:sz="4" w:space="4" w:color="auto"/>
        </w:pBdr>
        <w:jc w:val="both"/>
        <w:rPr>
          <w:rFonts w:cs="Arial"/>
          <w:b/>
          <w:sz w:val="18"/>
          <w:szCs w:val="18"/>
        </w:rPr>
      </w:pPr>
      <w:r w:rsidRPr="002A6806">
        <w:rPr>
          <w:rFonts w:cs="Arial"/>
          <w:b/>
          <w:sz w:val="18"/>
          <w:szCs w:val="18"/>
        </w:rPr>
        <w:t>Copyright Licence Agreement</w:t>
      </w:r>
    </w:p>
    <w:p w:rsidR="00D82D2A" w:rsidRPr="002A6806" w:rsidRDefault="00D82D2A" w:rsidP="007017D3">
      <w:pPr>
        <w:pBdr>
          <w:top w:val="single" w:sz="4" w:space="1" w:color="auto"/>
          <w:left w:val="single" w:sz="4" w:space="4" w:color="auto"/>
          <w:bottom w:val="single" w:sz="4" w:space="1" w:color="auto"/>
          <w:right w:val="single" w:sz="4" w:space="4" w:color="auto"/>
        </w:pBdr>
        <w:jc w:val="both"/>
        <w:rPr>
          <w:rFonts w:cs="Arial"/>
          <w:sz w:val="18"/>
          <w:szCs w:val="18"/>
        </w:rPr>
      </w:pPr>
      <w:r w:rsidRPr="002A6806">
        <w:rPr>
          <w:rFonts w:cs="Arial"/>
          <w:sz w:val="18"/>
          <w:szCs w:val="18"/>
        </w:rPr>
        <w:t xml:space="preserve">The Author allows ARRB Group Ltd to publish the work/s submitted for the </w:t>
      </w:r>
      <w:r w:rsidR="00DF6A93" w:rsidRPr="002A6806">
        <w:rPr>
          <w:rFonts w:cs="Arial"/>
          <w:sz w:val="18"/>
          <w:szCs w:val="18"/>
        </w:rPr>
        <w:t>2</w:t>
      </w:r>
      <w:r w:rsidR="004F346B" w:rsidRPr="002A6806">
        <w:rPr>
          <w:rFonts w:cs="Arial"/>
          <w:sz w:val="18"/>
          <w:szCs w:val="18"/>
        </w:rPr>
        <w:t>7</w:t>
      </w:r>
      <w:r w:rsidRPr="002A6806">
        <w:rPr>
          <w:rFonts w:cs="Arial"/>
          <w:sz w:val="18"/>
          <w:szCs w:val="18"/>
        </w:rPr>
        <w:t>th ARRB Conference, granting ARRB the non-exclusive right to:</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roofErr w:type="gramStart"/>
      <w:r w:rsidRPr="002A6806">
        <w:rPr>
          <w:rFonts w:cs="Arial"/>
          <w:sz w:val="18"/>
          <w:szCs w:val="18"/>
        </w:rPr>
        <w:t>•  publish</w:t>
      </w:r>
      <w:proofErr w:type="gramEnd"/>
      <w:r w:rsidRPr="002A6806">
        <w:rPr>
          <w:rFonts w:cs="Arial"/>
          <w:sz w:val="18"/>
          <w:szCs w:val="18"/>
        </w:rPr>
        <w:t xml:space="preserve"> the work in printed format </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roofErr w:type="gramStart"/>
      <w:r w:rsidRPr="002A6806">
        <w:rPr>
          <w:rFonts w:cs="Arial"/>
          <w:sz w:val="18"/>
          <w:szCs w:val="18"/>
        </w:rPr>
        <w:t>•  publish</w:t>
      </w:r>
      <w:proofErr w:type="gramEnd"/>
      <w:r w:rsidRPr="002A6806">
        <w:rPr>
          <w:rFonts w:cs="Arial"/>
          <w:sz w:val="18"/>
          <w:szCs w:val="18"/>
        </w:rPr>
        <w:t xml:space="preserve"> the work in electronic format</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roofErr w:type="gramStart"/>
      <w:r w:rsidRPr="002A6806">
        <w:rPr>
          <w:rFonts w:cs="Arial"/>
          <w:sz w:val="18"/>
          <w:szCs w:val="18"/>
        </w:rPr>
        <w:t>•  publish</w:t>
      </w:r>
      <w:proofErr w:type="gramEnd"/>
      <w:r w:rsidRPr="002A6806">
        <w:rPr>
          <w:rFonts w:cs="Arial"/>
          <w:sz w:val="18"/>
          <w:szCs w:val="18"/>
        </w:rPr>
        <w:t xml:space="preserve"> the work online.</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r w:rsidRPr="002A6806">
        <w:rPr>
          <w:rFonts w:cs="Arial"/>
          <w:sz w:val="18"/>
          <w:szCs w:val="18"/>
        </w:rPr>
        <w:t xml:space="preserve">The Author retains the right to use their work, illustrations (line art, photographs, figures, plates) and research data in their own future works </w:t>
      </w:r>
    </w:p>
    <w:p w:rsidR="00D82D2A" w:rsidRPr="002A6806" w:rsidRDefault="00D82D2A" w:rsidP="007017D3">
      <w:pPr>
        <w:pBdr>
          <w:top w:val="single" w:sz="4" w:space="1" w:color="auto"/>
          <w:left w:val="single" w:sz="4" w:space="4" w:color="auto"/>
          <w:bottom w:val="single" w:sz="4" w:space="1" w:color="auto"/>
          <w:right w:val="single" w:sz="4" w:space="4" w:color="auto"/>
        </w:pBdr>
        <w:spacing w:after="0"/>
        <w:jc w:val="both"/>
        <w:rPr>
          <w:rFonts w:cs="Arial"/>
          <w:sz w:val="18"/>
          <w:szCs w:val="18"/>
        </w:rPr>
      </w:pPr>
    </w:p>
    <w:p w:rsidR="00D82D2A" w:rsidRPr="008A6529" w:rsidRDefault="00D82D2A" w:rsidP="00FC3170">
      <w:pPr>
        <w:pBdr>
          <w:top w:val="single" w:sz="4" w:space="1" w:color="auto"/>
          <w:left w:val="single" w:sz="4" w:space="4" w:color="auto"/>
          <w:bottom w:val="single" w:sz="4" w:space="1" w:color="auto"/>
          <w:right w:val="single" w:sz="4" w:space="4" w:color="auto"/>
        </w:pBdr>
        <w:spacing w:after="0"/>
        <w:jc w:val="both"/>
        <w:rPr>
          <w:lang w:val="en-US"/>
        </w:rPr>
      </w:pPr>
      <w:r w:rsidRPr="002A6806">
        <w:rPr>
          <w:rFonts w:cs="Arial"/>
          <w:sz w:val="18"/>
          <w:szCs w:val="18"/>
        </w:rPr>
        <w:t>The Author warrants that they are entitled to deal with the Intellectual Property Rights in the works submitted, including clearing all third party intellectual property rights and obtaining formal permission from their respective institutions or employers before submission, where necessary.</w:t>
      </w:r>
    </w:p>
    <w:sectPr w:rsidR="00D82D2A" w:rsidRPr="008A6529" w:rsidSect="00D82D2A">
      <w:headerReference w:type="default" r:id="rId13"/>
      <w:footerReference w:type="even" r:id="rId14"/>
      <w:footerReference w:type="default" r:id="rId15"/>
      <w:pgSz w:w="11907" w:h="16840" w:code="9"/>
      <w:pgMar w:top="1134" w:right="1701" w:bottom="1134" w:left="170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36AD" w:rsidRDefault="00BA36AD">
      <w:r>
        <w:separator/>
      </w:r>
    </w:p>
  </w:endnote>
  <w:endnote w:type="continuationSeparator" w:id="0">
    <w:p w:rsidR="00BA36AD" w:rsidRDefault="00BA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CB" w:rsidRDefault="00DC4CCB" w:rsidP="00D82D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C4CCB" w:rsidRDefault="00DC4CCB" w:rsidP="00D82D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CB" w:rsidRDefault="00DC4CCB" w:rsidP="00D82D2A">
    <w:pPr>
      <w:pStyle w:val="Footer"/>
    </w:pPr>
    <w:r w:rsidRPr="00F12A10">
      <w:t>©</w:t>
    </w:r>
    <w:r>
      <w:t xml:space="preserve"> ARRB Group Ltd and Authors 2016</w:t>
    </w:r>
    <w:r>
      <w:tab/>
    </w:r>
    <w:r>
      <w:rPr>
        <w:rStyle w:val="PageNumber"/>
      </w:rPr>
      <w:fldChar w:fldCharType="begin"/>
    </w:r>
    <w:r>
      <w:rPr>
        <w:rStyle w:val="PageNumber"/>
      </w:rPr>
      <w:instrText xml:space="preserve">PAGE  </w:instrText>
    </w:r>
    <w:r>
      <w:rPr>
        <w:rStyle w:val="PageNumber"/>
      </w:rPr>
      <w:fldChar w:fldCharType="separate"/>
    </w:r>
    <w:r w:rsidR="00FF35E9">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36AD" w:rsidRDefault="00BA36AD">
      <w:r>
        <w:separator/>
      </w:r>
    </w:p>
  </w:footnote>
  <w:footnote w:type="continuationSeparator" w:id="0">
    <w:p w:rsidR="00BA36AD" w:rsidRDefault="00BA3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CCB" w:rsidRPr="004F346B" w:rsidRDefault="00DC4CCB" w:rsidP="00D01A4E">
    <w:pPr>
      <w:pStyle w:val="Headertext"/>
    </w:pPr>
    <w:r w:rsidRPr="004F346B">
      <w:t>27th ARRB Conference – Linking people, places and opportunities, Melbourne, Victoria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7CB1"/>
    <w:multiLevelType w:val="hybridMultilevel"/>
    <w:tmpl w:val="ED58D8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26931"/>
    <w:multiLevelType w:val="hybridMultilevel"/>
    <w:tmpl w:val="A44441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CA5395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ECD005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01F336F"/>
    <w:multiLevelType w:val="hybridMultilevel"/>
    <w:tmpl w:val="4844DDFC"/>
    <w:lvl w:ilvl="0" w:tplc="F5C89966">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A51E30"/>
    <w:multiLevelType w:val="hybridMultilevel"/>
    <w:tmpl w:val="A436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11EE1"/>
    <w:multiLevelType w:val="multilevel"/>
    <w:tmpl w:val="502ACEFA"/>
    <w:numStyleLink w:val="Liststylebullet"/>
  </w:abstractNum>
  <w:abstractNum w:abstractNumId="7">
    <w:nsid w:val="18216873"/>
    <w:multiLevelType w:val="multilevel"/>
    <w:tmpl w:val="0D0AB5FE"/>
    <w:lvl w:ilvl="0">
      <w:start w:val="1"/>
      <w:numFmt w:val="decimal"/>
      <w:lvlText w:val="%1."/>
      <w:lvlJc w:val="left"/>
      <w:pPr>
        <w:tabs>
          <w:tab w:val="num" w:pos="284"/>
        </w:tabs>
        <w:ind w:left="284" w:hanging="284"/>
      </w:pPr>
      <w:rPr>
        <w:rFont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BEA1947"/>
    <w:multiLevelType w:val="multilevel"/>
    <w:tmpl w:val="502ACEFA"/>
    <w:numStyleLink w:val="Liststylebullet"/>
  </w:abstractNum>
  <w:abstractNum w:abstractNumId="9">
    <w:nsid w:val="25CC2B29"/>
    <w:multiLevelType w:val="hybridMultilevel"/>
    <w:tmpl w:val="FC6442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760598B"/>
    <w:multiLevelType w:val="multilevel"/>
    <w:tmpl w:val="502ACEFA"/>
    <w:styleLink w:val="Liststylebullet"/>
    <w:lvl w:ilvl="0">
      <w:start w:val="1"/>
      <w:numFmt w:val="bullet"/>
      <w:pStyle w:val="Bulletlist"/>
      <w:lvlText w:val=""/>
      <w:lvlJc w:val="left"/>
      <w:pPr>
        <w:ind w:left="284" w:hanging="284"/>
      </w:pPr>
      <w:rPr>
        <w:rFonts w:ascii="Symbol" w:hAnsi="Symbol" w:hint="default"/>
      </w:rPr>
    </w:lvl>
    <w:lvl w:ilvl="1">
      <w:numFmt w:val="bullet"/>
      <w:lvlRestart w:val="0"/>
      <w:lvlText w:val="–"/>
      <w:lvlJc w:val="left"/>
      <w:pPr>
        <w:ind w:left="567" w:hanging="283"/>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AD865A8"/>
    <w:multiLevelType w:val="hybridMultilevel"/>
    <w:tmpl w:val="CC708DBA"/>
    <w:lvl w:ilvl="0" w:tplc="897CF58A">
      <w:start w:val="1"/>
      <w:numFmt w:val="bullet"/>
      <w:lvlText w:val=""/>
      <w:lvlJc w:val="left"/>
      <w:pPr>
        <w:tabs>
          <w:tab w:val="num" w:pos="360"/>
        </w:tabs>
        <w:ind w:left="360" w:hanging="360"/>
      </w:pPr>
      <w:rPr>
        <w:rFonts w:ascii="Symbol" w:hAnsi="Symbol" w:hint="default"/>
      </w:rPr>
    </w:lvl>
    <w:lvl w:ilvl="1" w:tplc="4600C676">
      <w:numFmt w:val="bullet"/>
      <w:lvlText w:val="–"/>
      <w:lvlJc w:val="left"/>
      <w:pPr>
        <w:tabs>
          <w:tab w:val="num" w:pos="1440"/>
        </w:tabs>
        <w:ind w:left="1440" w:hanging="360"/>
      </w:pPr>
      <w:rPr>
        <w:rFonts w:ascii="Arial" w:eastAsia="Times New Roman" w:hAnsi="Arial"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DD324DE"/>
    <w:multiLevelType w:val="hybridMultilevel"/>
    <w:tmpl w:val="4926B394"/>
    <w:lvl w:ilvl="0" w:tplc="467ECA20">
      <w:start w:val="1"/>
      <w:numFmt w:val="decimal"/>
      <w:lvlText w:val="%1."/>
      <w:lvlJc w:val="left"/>
      <w:pPr>
        <w:tabs>
          <w:tab w:val="num" w:pos="284"/>
        </w:tabs>
        <w:ind w:left="284" w:hanging="284"/>
      </w:pPr>
      <w:rPr>
        <w:rFont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9664D8"/>
    <w:multiLevelType w:val="hybridMultilevel"/>
    <w:tmpl w:val="05FA8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232CB4"/>
    <w:multiLevelType w:val="multilevel"/>
    <w:tmpl w:val="58FAD1CC"/>
    <w:numStyleLink w:val="Liststylenumbers"/>
  </w:abstractNum>
  <w:abstractNum w:abstractNumId="15">
    <w:nsid w:val="40D97D5B"/>
    <w:multiLevelType w:val="multilevel"/>
    <w:tmpl w:val="58FAD1CC"/>
    <w:numStyleLink w:val="Liststylenumbers"/>
  </w:abstractNum>
  <w:abstractNum w:abstractNumId="16">
    <w:nsid w:val="41E94FA9"/>
    <w:multiLevelType w:val="multilevel"/>
    <w:tmpl w:val="502ACEFA"/>
    <w:numStyleLink w:val="Liststylebullet"/>
  </w:abstractNum>
  <w:abstractNum w:abstractNumId="17">
    <w:nsid w:val="47B35B4D"/>
    <w:multiLevelType w:val="multilevel"/>
    <w:tmpl w:val="502ACEFA"/>
    <w:numStyleLink w:val="Liststylebullet"/>
  </w:abstractNum>
  <w:abstractNum w:abstractNumId="18">
    <w:nsid w:val="48E122BE"/>
    <w:multiLevelType w:val="hybridMultilevel"/>
    <w:tmpl w:val="214000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097A36"/>
    <w:multiLevelType w:val="multilevel"/>
    <w:tmpl w:val="58FAD1CC"/>
    <w:numStyleLink w:val="Liststylenumbers"/>
  </w:abstractNum>
  <w:abstractNum w:abstractNumId="20">
    <w:nsid w:val="52C0557E"/>
    <w:multiLevelType w:val="hybridMultilevel"/>
    <w:tmpl w:val="090A3B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57B1717"/>
    <w:multiLevelType w:val="multilevel"/>
    <w:tmpl w:val="58FAD1CC"/>
    <w:numStyleLink w:val="Liststylenumbers"/>
  </w:abstractNum>
  <w:abstractNum w:abstractNumId="22">
    <w:nsid w:val="5E9543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639D5D0F"/>
    <w:multiLevelType w:val="multilevel"/>
    <w:tmpl w:val="502ACEFA"/>
    <w:numStyleLink w:val="Liststylebullet"/>
  </w:abstractNum>
  <w:abstractNum w:abstractNumId="24">
    <w:nsid w:val="6688471B"/>
    <w:multiLevelType w:val="hybridMultilevel"/>
    <w:tmpl w:val="A5C621FE"/>
    <w:lvl w:ilvl="0" w:tplc="FE6875FC">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5503DAF"/>
    <w:multiLevelType w:val="hybridMultilevel"/>
    <w:tmpl w:val="9C20DF4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7FCE743E">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77EC6C39"/>
    <w:multiLevelType w:val="multilevel"/>
    <w:tmpl w:val="58FAD1CC"/>
    <w:styleLink w:val="Liststylenumbers"/>
    <w:lvl w:ilvl="0">
      <w:start w:val="1"/>
      <w:numFmt w:val="decimal"/>
      <w:pStyle w:val="Numberlist"/>
      <w:lvlText w:val="%1."/>
      <w:lvlJc w:val="left"/>
      <w:pPr>
        <w:ind w:left="284" w:hanging="284"/>
      </w:pPr>
      <w:rPr>
        <w:rFonts w:hint="default"/>
      </w:rPr>
    </w:lvl>
    <w:lvl w:ilvl="1">
      <w:start w:val="1"/>
      <w:numFmt w:val="bullet"/>
      <w:lvlRestart w:val="0"/>
      <w:pStyle w:val="Bulletlist2"/>
      <w:lvlText w:val="–"/>
      <w:lvlJc w:val="left"/>
      <w:pPr>
        <w:ind w:left="567" w:hanging="283"/>
      </w:pPr>
      <w:rPr>
        <w:rFonts w:ascii="Arial" w:hAnsi="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7EFC6FB0"/>
    <w:multiLevelType w:val="multilevel"/>
    <w:tmpl w:val="CC708DBA"/>
    <w:lvl w:ilvl="0">
      <w:start w:val="1"/>
      <w:numFmt w:val="bullet"/>
      <w:lvlText w:val=""/>
      <w:lvlJc w:val="left"/>
      <w:pPr>
        <w:tabs>
          <w:tab w:val="num" w:pos="360"/>
        </w:tabs>
        <w:ind w:left="360" w:hanging="360"/>
      </w:pPr>
      <w:rPr>
        <w:rFonts w:ascii="Symbol" w:hAnsi="Symbol" w:hint="default"/>
      </w:rPr>
    </w:lvl>
    <w:lvl w:ilvl="1">
      <w:numFmt w:val="bullet"/>
      <w:lvlText w:val="–"/>
      <w:lvlJc w:val="left"/>
      <w:pPr>
        <w:tabs>
          <w:tab w:val="num" w:pos="1440"/>
        </w:tabs>
        <w:ind w:left="1440" w:hanging="360"/>
      </w:pPr>
      <w:rPr>
        <w:rFonts w:ascii="Arial" w:eastAsia="Times New Roman" w:hAnsi="Arial"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2"/>
  </w:num>
  <w:num w:numId="3">
    <w:abstractNumId w:val="2"/>
  </w:num>
  <w:num w:numId="4">
    <w:abstractNumId w:val="22"/>
  </w:num>
  <w:num w:numId="5">
    <w:abstractNumId w:val="3"/>
  </w:num>
  <w:num w:numId="6">
    <w:abstractNumId w:val="0"/>
  </w:num>
  <w:num w:numId="7">
    <w:abstractNumId w:val="24"/>
  </w:num>
  <w:num w:numId="8">
    <w:abstractNumId w:val="11"/>
  </w:num>
  <w:num w:numId="9">
    <w:abstractNumId w:val="18"/>
  </w:num>
  <w:num w:numId="10">
    <w:abstractNumId w:val="1"/>
  </w:num>
  <w:num w:numId="11">
    <w:abstractNumId w:val="25"/>
  </w:num>
  <w:num w:numId="12">
    <w:abstractNumId w:val="10"/>
  </w:num>
  <w:num w:numId="13">
    <w:abstractNumId w:val="27"/>
  </w:num>
  <w:num w:numId="14">
    <w:abstractNumId w:val="17"/>
  </w:num>
  <w:num w:numId="15">
    <w:abstractNumId w:val="23"/>
  </w:num>
  <w:num w:numId="16">
    <w:abstractNumId w:val="26"/>
  </w:num>
  <w:num w:numId="17">
    <w:abstractNumId w:val="16"/>
  </w:num>
  <w:num w:numId="18">
    <w:abstractNumId w:val="7"/>
  </w:num>
  <w:num w:numId="19">
    <w:abstractNumId w:val="14"/>
  </w:num>
  <w:num w:numId="20">
    <w:abstractNumId w:val="6"/>
  </w:num>
  <w:num w:numId="21">
    <w:abstractNumId w:val="8"/>
  </w:num>
  <w:num w:numId="22">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9"/>
  </w:num>
  <w:num w:numId="27">
    <w:abstractNumId w:val="15"/>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3"/>
  </w:num>
  <w:num w:numId="31">
    <w:abstractNumId w:val="20"/>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AA"/>
    <w:rsid w:val="000065E5"/>
    <w:rsid w:val="00021F4E"/>
    <w:rsid w:val="0002210E"/>
    <w:rsid w:val="000466D8"/>
    <w:rsid w:val="000512ED"/>
    <w:rsid w:val="000600DC"/>
    <w:rsid w:val="00093F55"/>
    <w:rsid w:val="00095F8F"/>
    <w:rsid w:val="000B67EF"/>
    <w:rsid w:val="000B7857"/>
    <w:rsid w:val="00114756"/>
    <w:rsid w:val="00121869"/>
    <w:rsid w:val="00131AE8"/>
    <w:rsid w:val="00131D16"/>
    <w:rsid w:val="001360D1"/>
    <w:rsid w:val="00137AB6"/>
    <w:rsid w:val="00146579"/>
    <w:rsid w:val="0015154E"/>
    <w:rsid w:val="0018567A"/>
    <w:rsid w:val="00185B99"/>
    <w:rsid w:val="00187D50"/>
    <w:rsid w:val="0019490A"/>
    <w:rsid w:val="0019694E"/>
    <w:rsid w:val="001B3819"/>
    <w:rsid w:val="001C50AF"/>
    <w:rsid w:val="001D16EE"/>
    <w:rsid w:val="001D373F"/>
    <w:rsid w:val="001F3B76"/>
    <w:rsid w:val="0023015E"/>
    <w:rsid w:val="00241A24"/>
    <w:rsid w:val="00246C3B"/>
    <w:rsid w:val="00250A5D"/>
    <w:rsid w:val="00264C6A"/>
    <w:rsid w:val="00270B4C"/>
    <w:rsid w:val="002743AD"/>
    <w:rsid w:val="002A6806"/>
    <w:rsid w:val="002C17A5"/>
    <w:rsid w:val="002C354B"/>
    <w:rsid w:val="002D001A"/>
    <w:rsid w:val="0031531C"/>
    <w:rsid w:val="003253A5"/>
    <w:rsid w:val="00356F48"/>
    <w:rsid w:val="00364F6B"/>
    <w:rsid w:val="0039268E"/>
    <w:rsid w:val="0039291D"/>
    <w:rsid w:val="003A584F"/>
    <w:rsid w:val="003A7E09"/>
    <w:rsid w:val="003C5FCF"/>
    <w:rsid w:val="003E2B5E"/>
    <w:rsid w:val="00402464"/>
    <w:rsid w:val="00412520"/>
    <w:rsid w:val="00413499"/>
    <w:rsid w:val="004441C3"/>
    <w:rsid w:val="00465C86"/>
    <w:rsid w:val="00467DE0"/>
    <w:rsid w:val="00475803"/>
    <w:rsid w:val="00484FC8"/>
    <w:rsid w:val="004A1F42"/>
    <w:rsid w:val="004D5F27"/>
    <w:rsid w:val="004F346B"/>
    <w:rsid w:val="00541672"/>
    <w:rsid w:val="00541F66"/>
    <w:rsid w:val="00544381"/>
    <w:rsid w:val="00565E55"/>
    <w:rsid w:val="0056630B"/>
    <w:rsid w:val="00583621"/>
    <w:rsid w:val="005A2044"/>
    <w:rsid w:val="006165BC"/>
    <w:rsid w:val="006338A0"/>
    <w:rsid w:val="0064774D"/>
    <w:rsid w:val="00657760"/>
    <w:rsid w:val="00667F78"/>
    <w:rsid w:val="00675A6B"/>
    <w:rsid w:val="0068049D"/>
    <w:rsid w:val="006A435A"/>
    <w:rsid w:val="006A4B97"/>
    <w:rsid w:val="006A6A8D"/>
    <w:rsid w:val="006B02A9"/>
    <w:rsid w:val="006C3873"/>
    <w:rsid w:val="006F08CF"/>
    <w:rsid w:val="006F12C6"/>
    <w:rsid w:val="007017D3"/>
    <w:rsid w:val="007163B2"/>
    <w:rsid w:val="007250B8"/>
    <w:rsid w:val="00737306"/>
    <w:rsid w:val="00744255"/>
    <w:rsid w:val="0075502F"/>
    <w:rsid w:val="007836F5"/>
    <w:rsid w:val="007949C3"/>
    <w:rsid w:val="00795AE1"/>
    <w:rsid w:val="007962EB"/>
    <w:rsid w:val="007A294B"/>
    <w:rsid w:val="007B617A"/>
    <w:rsid w:val="007D6FE5"/>
    <w:rsid w:val="007F2235"/>
    <w:rsid w:val="0080370A"/>
    <w:rsid w:val="00805612"/>
    <w:rsid w:val="00821A90"/>
    <w:rsid w:val="00824BD4"/>
    <w:rsid w:val="00825925"/>
    <w:rsid w:val="00856199"/>
    <w:rsid w:val="00856786"/>
    <w:rsid w:val="00886802"/>
    <w:rsid w:val="00887BCB"/>
    <w:rsid w:val="00897E4A"/>
    <w:rsid w:val="008A36CB"/>
    <w:rsid w:val="008B4AA8"/>
    <w:rsid w:val="008C0B03"/>
    <w:rsid w:val="008C373A"/>
    <w:rsid w:val="008D330F"/>
    <w:rsid w:val="008D399A"/>
    <w:rsid w:val="008F25F8"/>
    <w:rsid w:val="009102F1"/>
    <w:rsid w:val="00914063"/>
    <w:rsid w:val="00921C34"/>
    <w:rsid w:val="00933E3E"/>
    <w:rsid w:val="00943358"/>
    <w:rsid w:val="00946E3B"/>
    <w:rsid w:val="009550D3"/>
    <w:rsid w:val="0097236A"/>
    <w:rsid w:val="009814A5"/>
    <w:rsid w:val="009922E1"/>
    <w:rsid w:val="00996345"/>
    <w:rsid w:val="009A4042"/>
    <w:rsid w:val="009A433D"/>
    <w:rsid w:val="009C23F3"/>
    <w:rsid w:val="009E10B6"/>
    <w:rsid w:val="009E1B58"/>
    <w:rsid w:val="009F415B"/>
    <w:rsid w:val="009F5985"/>
    <w:rsid w:val="009F6677"/>
    <w:rsid w:val="00A12A15"/>
    <w:rsid w:val="00A1486F"/>
    <w:rsid w:val="00A17B82"/>
    <w:rsid w:val="00A45383"/>
    <w:rsid w:val="00A635AA"/>
    <w:rsid w:val="00A766F5"/>
    <w:rsid w:val="00A80063"/>
    <w:rsid w:val="00AB677E"/>
    <w:rsid w:val="00AF4B3E"/>
    <w:rsid w:val="00B10905"/>
    <w:rsid w:val="00B17C5D"/>
    <w:rsid w:val="00B25AD5"/>
    <w:rsid w:val="00B376F1"/>
    <w:rsid w:val="00B4472F"/>
    <w:rsid w:val="00B56822"/>
    <w:rsid w:val="00B63271"/>
    <w:rsid w:val="00B97031"/>
    <w:rsid w:val="00B97A2A"/>
    <w:rsid w:val="00BA36AD"/>
    <w:rsid w:val="00BA501C"/>
    <w:rsid w:val="00BB43B8"/>
    <w:rsid w:val="00BC2105"/>
    <w:rsid w:val="00BC2ABA"/>
    <w:rsid w:val="00BD3442"/>
    <w:rsid w:val="00BE1CAA"/>
    <w:rsid w:val="00BE6847"/>
    <w:rsid w:val="00BF1771"/>
    <w:rsid w:val="00BF5553"/>
    <w:rsid w:val="00C24AC5"/>
    <w:rsid w:val="00C25627"/>
    <w:rsid w:val="00C268F7"/>
    <w:rsid w:val="00C32CAA"/>
    <w:rsid w:val="00C60844"/>
    <w:rsid w:val="00C6599A"/>
    <w:rsid w:val="00C74B5D"/>
    <w:rsid w:val="00C820D2"/>
    <w:rsid w:val="00C974B7"/>
    <w:rsid w:val="00CC4505"/>
    <w:rsid w:val="00CC7D55"/>
    <w:rsid w:val="00CD23D0"/>
    <w:rsid w:val="00CD42D7"/>
    <w:rsid w:val="00CF62A6"/>
    <w:rsid w:val="00D01A4E"/>
    <w:rsid w:val="00D148B6"/>
    <w:rsid w:val="00D15165"/>
    <w:rsid w:val="00D32A3B"/>
    <w:rsid w:val="00D5215D"/>
    <w:rsid w:val="00D63E4E"/>
    <w:rsid w:val="00D6616E"/>
    <w:rsid w:val="00D726E3"/>
    <w:rsid w:val="00D73570"/>
    <w:rsid w:val="00D82D2A"/>
    <w:rsid w:val="00D85487"/>
    <w:rsid w:val="00DA096C"/>
    <w:rsid w:val="00DC4CCB"/>
    <w:rsid w:val="00DD3A8B"/>
    <w:rsid w:val="00DF3584"/>
    <w:rsid w:val="00DF4B60"/>
    <w:rsid w:val="00DF6749"/>
    <w:rsid w:val="00DF6A93"/>
    <w:rsid w:val="00DF7961"/>
    <w:rsid w:val="00E0116C"/>
    <w:rsid w:val="00E20425"/>
    <w:rsid w:val="00E279FE"/>
    <w:rsid w:val="00E27D5F"/>
    <w:rsid w:val="00EA31A8"/>
    <w:rsid w:val="00EA374D"/>
    <w:rsid w:val="00ED2BB5"/>
    <w:rsid w:val="00EE192D"/>
    <w:rsid w:val="00EF52FF"/>
    <w:rsid w:val="00F10151"/>
    <w:rsid w:val="00F30ABE"/>
    <w:rsid w:val="00F37053"/>
    <w:rsid w:val="00F524F7"/>
    <w:rsid w:val="00F5663A"/>
    <w:rsid w:val="00F5699A"/>
    <w:rsid w:val="00F57F37"/>
    <w:rsid w:val="00F6433F"/>
    <w:rsid w:val="00F77E20"/>
    <w:rsid w:val="00F86696"/>
    <w:rsid w:val="00F87473"/>
    <w:rsid w:val="00FA13FD"/>
    <w:rsid w:val="00FC3170"/>
    <w:rsid w:val="00FC5DE4"/>
    <w:rsid w:val="00FD5A19"/>
    <w:rsid w:val="00FF35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CC4505"/>
    <w:pPr>
      <w:spacing w:after="240"/>
    </w:pPr>
    <w:rPr>
      <w:rFonts w:ascii="Arial" w:hAnsi="Arial"/>
      <w:kern w:val="20"/>
      <w:lang w:eastAsia="en-US"/>
    </w:rPr>
  </w:style>
  <w:style w:type="paragraph" w:styleId="Heading1">
    <w:name w:val="heading 1"/>
    <w:basedOn w:val="Normal"/>
    <w:next w:val="Normal"/>
    <w:link w:val="Heading1Char"/>
    <w:qFormat/>
    <w:rsid w:val="00B1293C"/>
    <w:pPr>
      <w:keepNext/>
      <w:spacing w:before="120"/>
      <w:ind w:left="567" w:hanging="567"/>
      <w:outlineLvl w:val="0"/>
    </w:pPr>
    <w:rPr>
      <w:b/>
      <w:caps/>
      <w:kern w:val="28"/>
      <w:sz w:val="28"/>
      <w:szCs w:val="28"/>
    </w:rPr>
  </w:style>
  <w:style w:type="paragraph" w:styleId="Heading2">
    <w:name w:val="heading 2"/>
    <w:basedOn w:val="Normal"/>
    <w:next w:val="Normal"/>
    <w:link w:val="Heading2Char"/>
    <w:qFormat/>
    <w:rsid w:val="00B1293C"/>
    <w:pPr>
      <w:keepNext/>
      <w:spacing w:before="120"/>
      <w:ind w:left="567" w:hanging="567"/>
      <w:outlineLvl w:val="1"/>
    </w:pPr>
    <w:rPr>
      <w:b/>
      <w:kern w:val="28"/>
      <w:sz w:val="28"/>
      <w:szCs w:val="28"/>
    </w:rPr>
  </w:style>
  <w:style w:type="paragraph" w:styleId="Heading3">
    <w:name w:val="heading 3"/>
    <w:basedOn w:val="Normal"/>
    <w:next w:val="Normal"/>
    <w:qFormat/>
    <w:rsid w:val="00F92CFE"/>
    <w:pPr>
      <w:keepNext/>
      <w:keepLines/>
      <w:spacing w:before="120"/>
      <w:ind w:left="567" w:hanging="567"/>
      <w:outlineLvl w:val="2"/>
    </w:pPr>
    <w:rPr>
      <w:b/>
      <w:kern w:val="24"/>
      <w:sz w:val="24"/>
      <w:szCs w:val="24"/>
    </w:rPr>
  </w:style>
  <w:style w:type="paragraph" w:styleId="Heading4">
    <w:name w:val="heading 4"/>
    <w:basedOn w:val="Normal"/>
    <w:next w:val="Normal"/>
    <w:rsid w:val="006861FC"/>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ame">
    <w:name w:val="Figure name"/>
    <w:basedOn w:val="Normal"/>
    <w:next w:val="Normal"/>
    <w:link w:val="FigurenameChar"/>
    <w:rsid w:val="006861FC"/>
    <w:pPr>
      <w:spacing w:before="120"/>
      <w:jc w:val="center"/>
    </w:pPr>
    <w:rPr>
      <w:b/>
      <w:i/>
    </w:rPr>
  </w:style>
  <w:style w:type="paragraph" w:customStyle="1" w:styleId="Tableheader">
    <w:name w:val="Table header"/>
    <w:basedOn w:val="Normal"/>
    <w:link w:val="TableheaderChar"/>
    <w:rsid w:val="006861FC"/>
    <w:pPr>
      <w:spacing w:before="60" w:after="60"/>
      <w:jc w:val="center"/>
    </w:pPr>
    <w:rPr>
      <w:b/>
    </w:rPr>
  </w:style>
  <w:style w:type="paragraph" w:customStyle="1" w:styleId="Tabletext">
    <w:name w:val="Table text"/>
    <w:basedOn w:val="Normal"/>
    <w:link w:val="TabletextChar"/>
    <w:rsid w:val="006861FC"/>
    <w:pPr>
      <w:spacing w:before="60" w:after="60"/>
    </w:pPr>
  </w:style>
  <w:style w:type="paragraph" w:customStyle="1" w:styleId="Papertitle">
    <w:name w:val="Paper title"/>
    <w:basedOn w:val="Heading1"/>
    <w:link w:val="PapertitleChar"/>
    <w:rsid w:val="00D11965"/>
    <w:pPr>
      <w:tabs>
        <w:tab w:val="center" w:pos="4252"/>
      </w:tabs>
      <w:ind w:left="0" w:firstLine="0"/>
    </w:pPr>
    <w:rPr>
      <w:sz w:val="32"/>
      <w:szCs w:val="32"/>
    </w:rPr>
  </w:style>
  <w:style w:type="paragraph" w:customStyle="1" w:styleId="Abstracttitle">
    <w:name w:val="Abstract title"/>
    <w:basedOn w:val="Heading1"/>
    <w:rsid w:val="006861FC"/>
  </w:style>
  <w:style w:type="paragraph" w:customStyle="1" w:styleId="Bulletlist">
    <w:name w:val="Bullet list"/>
    <w:basedOn w:val="BodyText"/>
    <w:link w:val="BulletlistChar"/>
    <w:rsid w:val="00F27CA3"/>
    <w:pPr>
      <w:numPr>
        <w:numId w:val="12"/>
      </w:numPr>
    </w:pPr>
  </w:style>
  <w:style w:type="paragraph" w:customStyle="1" w:styleId="Numberlist">
    <w:name w:val="Number list"/>
    <w:basedOn w:val="Normal"/>
    <w:link w:val="NumberlistChar"/>
    <w:rsid w:val="00F27CA3"/>
    <w:pPr>
      <w:numPr>
        <w:numId w:val="27"/>
      </w:numPr>
      <w:spacing w:after="120"/>
    </w:pPr>
    <w:rPr>
      <w:lang w:val="en-US"/>
    </w:rPr>
  </w:style>
  <w:style w:type="paragraph" w:customStyle="1" w:styleId="Tablename">
    <w:name w:val="Table name"/>
    <w:basedOn w:val="Normal"/>
    <w:link w:val="TablenameChar"/>
    <w:rsid w:val="00BB1E4D"/>
    <w:pPr>
      <w:keepNext/>
      <w:keepLines/>
      <w:spacing w:before="240" w:after="120"/>
      <w:jc w:val="center"/>
    </w:pPr>
    <w:rPr>
      <w:b/>
      <w:kern w:val="0"/>
    </w:rPr>
  </w:style>
  <w:style w:type="paragraph" w:customStyle="1" w:styleId="Authordetails">
    <w:name w:val="Author details"/>
    <w:basedOn w:val="Header"/>
    <w:link w:val="AuthordetailsChar"/>
    <w:rsid w:val="00F27CA3"/>
    <w:pPr>
      <w:keepLines/>
      <w:pBdr>
        <w:bottom w:val="single" w:sz="4" w:space="12" w:color="auto"/>
      </w:pBdr>
      <w:tabs>
        <w:tab w:val="center" w:pos="4153"/>
        <w:tab w:val="right" w:pos="8306"/>
      </w:tabs>
      <w:spacing w:after="120"/>
    </w:pPr>
    <w:rPr>
      <w:rFonts w:cs="Arial"/>
      <w:sz w:val="28"/>
    </w:rPr>
  </w:style>
  <w:style w:type="table" w:styleId="TableGrid">
    <w:name w:val="Table Grid"/>
    <w:basedOn w:val="TableNormal"/>
    <w:rsid w:val="00A80E1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D11965"/>
    <w:rPr>
      <w:rFonts w:ascii="Arial" w:hAnsi="Arial"/>
      <w:i/>
      <w:sz w:val="18"/>
      <w:lang w:eastAsia="en-US"/>
    </w:rPr>
  </w:style>
  <w:style w:type="character" w:styleId="Hyperlink">
    <w:name w:val="Hyperlink"/>
    <w:rsid w:val="00C726FD"/>
    <w:rPr>
      <w:color w:val="0000FF"/>
      <w:u w:val="single"/>
    </w:rPr>
  </w:style>
  <w:style w:type="paragraph" w:styleId="BodyText2">
    <w:name w:val="Body Text 2"/>
    <w:basedOn w:val="Normal"/>
    <w:rsid w:val="00C726FD"/>
    <w:pPr>
      <w:spacing w:after="0"/>
      <w:ind w:left="1440"/>
    </w:pPr>
    <w:rPr>
      <w:rFonts w:ascii="Times New Roman" w:hAnsi="Times New Roman"/>
      <w:kern w:val="0"/>
      <w:lang w:eastAsia="en-AU"/>
    </w:rPr>
  </w:style>
  <w:style w:type="character" w:styleId="FollowedHyperlink">
    <w:name w:val="FollowedHyperlink"/>
    <w:rsid w:val="00311CB4"/>
    <w:rPr>
      <w:color w:val="800080"/>
      <w:u w:val="single"/>
    </w:rPr>
  </w:style>
  <w:style w:type="character" w:styleId="Emphasis">
    <w:name w:val="Emphasis"/>
    <w:rsid w:val="00333857"/>
    <w:rPr>
      <w:i/>
      <w:iCs/>
    </w:rPr>
  </w:style>
  <w:style w:type="paragraph" w:styleId="Footer">
    <w:name w:val="footer"/>
    <w:rsid w:val="00D11965"/>
    <w:pPr>
      <w:tabs>
        <w:tab w:val="right" w:pos="8505"/>
      </w:tabs>
    </w:pPr>
    <w:rPr>
      <w:rFonts w:ascii="Arial" w:hAnsi="Arial"/>
      <w:lang w:eastAsia="en-US"/>
    </w:rPr>
  </w:style>
  <w:style w:type="character" w:styleId="PageNumber">
    <w:name w:val="page number"/>
    <w:basedOn w:val="DefaultParagraphFont"/>
    <w:rsid w:val="004340E1"/>
  </w:style>
  <w:style w:type="character" w:styleId="CommentReference">
    <w:name w:val="annotation reference"/>
    <w:semiHidden/>
    <w:rsid w:val="00C859BD"/>
    <w:rPr>
      <w:sz w:val="16"/>
      <w:szCs w:val="16"/>
    </w:rPr>
  </w:style>
  <w:style w:type="paragraph" w:styleId="CommentText">
    <w:name w:val="annotation text"/>
    <w:basedOn w:val="Normal"/>
    <w:semiHidden/>
    <w:rsid w:val="00C859BD"/>
  </w:style>
  <w:style w:type="paragraph" w:styleId="CommentSubject">
    <w:name w:val="annotation subject"/>
    <w:basedOn w:val="CommentText"/>
    <w:next w:val="CommentText"/>
    <w:semiHidden/>
    <w:rsid w:val="00C859BD"/>
    <w:rPr>
      <w:b/>
      <w:bCs/>
    </w:rPr>
  </w:style>
  <w:style w:type="paragraph" w:styleId="BalloonText">
    <w:name w:val="Balloon Text"/>
    <w:basedOn w:val="Normal"/>
    <w:semiHidden/>
    <w:rsid w:val="00C859BD"/>
    <w:rPr>
      <w:rFonts w:ascii="Tahoma" w:hAnsi="Tahoma" w:cs="Tahoma"/>
      <w:sz w:val="16"/>
      <w:szCs w:val="16"/>
    </w:rPr>
  </w:style>
  <w:style w:type="numbering" w:customStyle="1" w:styleId="Liststylebullet">
    <w:name w:val="List style bullet"/>
    <w:basedOn w:val="NoList"/>
    <w:rsid w:val="00F27CA3"/>
    <w:pPr>
      <w:numPr>
        <w:numId w:val="12"/>
      </w:numPr>
    </w:pPr>
  </w:style>
  <w:style w:type="paragraph" w:styleId="BodyText">
    <w:name w:val="Body Text"/>
    <w:basedOn w:val="Normal"/>
    <w:link w:val="BodyTextChar"/>
    <w:rsid w:val="00527CED"/>
    <w:pPr>
      <w:spacing w:after="120"/>
    </w:pPr>
  </w:style>
  <w:style w:type="character" w:customStyle="1" w:styleId="BodyTextChar">
    <w:name w:val="Body Text Char"/>
    <w:link w:val="BodyText"/>
    <w:rsid w:val="00527CED"/>
    <w:rPr>
      <w:rFonts w:ascii="Arial" w:hAnsi="Arial"/>
      <w:kern w:val="20"/>
    </w:rPr>
  </w:style>
  <w:style w:type="numbering" w:customStyle="1" w:styleId="Liststylenumbers">
    <w:name w:val="List style numbers"/>
    <w:basedOn w:val="NoList"/>
    <w:rsid w:val="00F27CA3"/>
    <w:pPr>
      <w:numPr>
        <w:numId w:val="16"/>
      </w:numPr>
    </w:pPr>
  </w:style>
  <w:style w:type="paragraph" w:customStyle="1" w:styleId="Bulletlist2">
    <w:name w:val="Bullet list 2"/>
    <w:basedOn w:val="Bulletlist"/>
    <w:rsid w:val="00F27CA3"/>
    <w:pPr>
      <w:numPr>
        <w:ilvl w:val="1"/>
        <w:numId w:val="27"/>
      </w:numPr>
    </w:pPr>
  </w:style>
  <w:style w:type="paragraph" w:customStyle="1" w:styleId="Headertext">
    <w:name w:val="Header text"/>
    <w:basedOn w:val="Header"/>
    <w:link w:val="HeadertextChar"/>
    <w:rsid w:val="00D01A4E"/>
  </w:style>
  <w:style w:type="paragraph" w:customStyle="1" w:styleId="Title-paper">
    <w:name w:val="Title-paper"/>
    <w:basedOn w:val="Papertitle"/>
    <w:link w:val="Title-paperChar"/>
    <w:qFormat/>
    <w:rsid w:val="009102F1"/>
  </w:style>
  <w:style w:type="character" w:customStyle="1" w:styleId="HeaderChar">
    <w:name w:val="Header Char"/>
    <w:basedOn w:val="DefaultParagraphFont"/>
    <w:link w:val="Header"/>
    <w:rsid w:val="00D01A4E"/>
    <w:rPr>
      <w:rFonts w:ascii="Arial" w:hAnsi="Arial"/>
      <w:i/>
      <w:sz w:val="18"/>
      <w:lang w:eastAsia="en-US"/>
    </w:rPr>
  </w:style>
  <w:style w:type="character" w:customStyle="1" w:styleId="HeadertextChar">
    <w:name w:val="Header text Char"/>
    <w:basedOn w:val="HeaderChar"/>
    <w:link w:val="Headertext"/>
    <w:rsid w:val="00D01A4E"/>
    <w:rPr>
      <w:rFonts w:ascii="Arial" w:hAnsi="Arial"/>
      <w:i/>
      <w:sz w:val="18"/>
      <w:lang w:eastAsia="en-US"/>
    </w:rPr>
  </w:style>
  <w:style w:type="paragraph" w:customStyle="1" w:styleId="Bullet-list">
    <w:name w:val="Bullet-list"/>
    <w:basedOn w:val="Bulletlist"/>
    <w:link w:val="Bullet-listChar"/>
    <w:qFormat/>
    <w:rsid w:val="009102F1"/>
  </w:style>
  <w:style w:type="character" w:customStyle="1" w:styleId="Heading1Char">
    <w:name w:val="Heading 1 Char"/>
    <w:basedOn w:val="DefaultParagraphFont"/>
    <w:link w:val="Heading1"/>
    <w:rsid w:val="009102F1"/>
    <w:rPr>
      <w:rFonts w:ascii="Arial" w:hAnsi="Arial"/>
      <w:b/>
      <w:caps/>
      <w:kern w:val="28"/>
      <w:sz w:val="28"/>
      <w:szCs w:val="28"/>
      <w:lang w:eastAsia="en-US"/>
    </w:rPr>
  </w:style>
  <w:style w:type="character" w:customStyle="1" w:styleId="PapertitleChar">
    <w:name w:val="Paper title Char"/>
    <w:basedOn w:val="Heading1Char"/>
    <w:link w:val="Papertitle"/>
    <w:rsid w:val="009102F1"/>
    <w:rPr>
      <w:rFonts w:ascii="Arial" w:hAnsi="Arial"/>
      <w:b/>
      <w:caps/>
      <w:kern w:val="28"/>
      <w:sz w:val="32"/>
      <w:szCs w:val="32"/>
      <w:lang w:eastAsia="en-US"/>
    </w:rPr>
  </w:style>
  <w:style w:type="character" w:customStyle="1" w:styleId="Title-paperChar">
    <w:name w:val="Title-paper Char"/>
    <w:basedOn w:val="PapertitleChar"/>
    <w:link w:val="Title-paper"/>
    <w:rsid w:val="009102F1"/>
    <w:rPr>
      <w:rFonts w:ascii="Arial" w:hAnsi="Arial"/>
      <w:b/>
      <w:caps/>
      <w:kern w:val="28"/>
      <w:sz w:val="32"/>
      <w:szCs w:val="32"/>
      <w:lang w:eastAsia="en-US"/>
    </w:rPr>
  </w:style>
  <w:style w:type="paragraph" w:customStyle="1" w:styleId="Numberlist0">
    <w:name w:val="Numbe rlist"/>
    <w:basedOn w:val="Numberlist"/>
    <w:link w:val="NumberlistChar0"/>
    <w:rsid w:val="009102F1"/>
    <w:pPr>
      <w:spacing w:after="240"/>
    </w:pPr>
  </w:style>
  <w:style w:type="character" w:customStyle="1" w:styleId="BulletlistChar">
    <w:name w:val="Bullet list Char"/>
    <w:basedOn w:val="BodyTextChar"/>
    <w:link w:val="Bulletlist"/>
    <w:rsid w:val="009102F1"/>
    <w:rPr>
      <w:rFonts w:ascii="Arial" w:hAnsi="Arial"/>
      <w:kern w:val="20"/>
      <w:lang w:eastAsia="en-US"/>
    </w:rPr>
  </w:style>
  <w:style w:type="character" w:customStyle="1" w:styleId="Bullet-listChar">
    <w:name w:val="Bullet-list Char"/>
    <w:basedOn w:val="BulletlistChar"/>
    <w:link w:val="Bullet-list"/>
    <w:rsid w:val="009102F1"/>
    <w:rPr>
      <w:rFonts w:ascii="Arial" w:hAnsi="Arial"/>
      <w:kern w:val="20"/>
      <w:lang w:eastAsia="en-US"/>
    </w:rPr>
  </w:style>
  <w:style w:type="paragraph" w:customStyle="1" w:styleId="Bullet-last">
    <w:name w:val="Bullet-last"/>
    <w:basedOn w:val="Bulletlist"/>
    <w:link w:val="Bullet-lastChar"/>
    <w:qFormat/>
    <w:rsid w:val="009102F1"/>
    <w:pPr>
      <w:spacing w:after="240"/>
    </w:pPr>
    <w:rPr>
      <w:lang w:val="en-US"/>
    </w:rPr>
  </w:style>
  <w:style w:type="character" w:customStyle="1" w:styleId="NumberlistChar">
    <w:name w:val="Number list Char"/>
    <w:basedOn w:val="DefaultParagraphFont"/>
    <w:link w:val="Numberlist"/>
    <w:rsid w:val="009102F1"/>
    <w:rPr>
      <w:rFonts w:ascii="Arial" w:hAnsi="Arial"/>
      <w:kern w:val="20"/>
      <w:lang w:val="en-US" w:eastAsia="en-US"/>
    </w:rPr>
  </w:style>
  <w:style w:type="character" w:customStyle="1" w:styleId="NumberlistChar0">
    <w:name w:val="Numbe rlist Char"/>
    <w:basedOn w:val="NumberlistChar"/>
    <w:link w:val="Numberlist0"/>
    <w:rsid w:val="009102F1"/>
    <w:rPr>
      <w:rFonts w:ascii="Arial" w:hAnsi="Arial"/>
      <w:kern w:val="20"/>
      <w:lang w:val="en-US" w:eastAsia="en-US"/>
    </w:rPr>
  </w:style>
  <w:style w:type="paragraph" w:customStyle="1" w:styleId="Tableheading">
    <w:name w:val="Table heading"/>
    <w:basedOn w:val="Tablename"/>
    <w:link w:val="TableheadingChar"/>
    <w:qFormat/>
    <w:rsid w:val="00887BCB"/>
  </w:style>
  <w:style w:type="character" w:customStyle="1" w:styleId="Bullet-lastChar">
    <w:name w:val="Bullet-last Char"/>
    <w:basedOn w:val="BulletlistChar"/>
    <w:link w:val="Bullet-last"/>
    <w:rsid w:val="009102F1"/>
    <w:rPr>
      <w:rFonts w:ascii="Arial" w:hAnsi="Arial"/>
      <w:kern w:val="20"/>
      <w:lang w:val="en-US" w:eastAsia="en-US"/>
    </w:rPr>
  </w:style>
  <w:style w:type="paragraph" w:customStyle="1" w:styleId="Figurecapture">
    <w:name w:val="Figure capture"/>
    <w:basedOn w:val="Figurename"/>
    <w:link w:val="FigurecaptureChar"/>
    <w:qFormat/>
    <w:rsid w:val="00887BCB"/>
  </w:style>
  <w:style w:type="character" w:customStyle="1" w:styleId="TablenameChar">
    <w:name w:val="Table name Char"/>
    <w:basedOn w:val="DefaultParagraphFont"/>
    <w:link w:val="Tablename"/>
    <w:rsid w:val="00887BCB"/>
    <w:rPr>
      <w:rFonts w:ascii="Arial" w:hAnsi="Arial"/>
      <w:b/>
      <w:lang w:eastAsia="en-US"/>
    </w:rPr>
  </w:style>
  <w:style w:type="character" w:customStyle="1" w:styleId="TableheadingChar">
    <w:name w:val="Table heading Char"/>
    <w:basedOn w:val="TablenameChar"/>
    <w:link w:val="Tableheading"/>
    <w:rsid w:val="00887BCB"/>
    <w:rPr>
      <w:rFonts w:ascii="Arial" w:hAnsi="Arial"/>
      <w:b/>
      <w:lang w:eastAsia="en-US"/>
    </w:rPr>
  </w:style>
  <w:style w:type="paragraph" w:customStyle="1" w:styleId="AuthorName">
    <w:name w:val="Author Name"/>
    <w:basedOn w:val="Authordetails"/>
    <w:link w:val="AuthorNameChar"/>
    <w:qFormat/>
    <w:rsid w:val="00D5215D"/>
  </w:style>
  <w:style w:type="character" w:customStyle="1" w:styleId="FigurenameChar">
    <w:name w:val="Figure name Char"/>
    <w:basedOn w:val="DefaultParagraphFont"/>
    <w:link w:val="Figurename"/>
    <w:rsid w:val="00887BCB"/>
    <w:rPr>
      <w:rFonts w:ascii="Arial" w:hAnsi="Arial"/>
      <w:b/>
      <w:i/>
      <w:kern w:val="20"/>
      <w:lang w:eastAsia="en-US"/>
    </w:rPr>
  </w:style>
  <w:style w:type="character" w:customStyle="1" w:styleId="FigurecaptureChar">
    <w:name w:val="Figure capture Char"/>
    <w:basedOn w:val="FigurenameChar"/>
    <w:link w:val="Figurecapture"/>
    <w:rsid w:val="00887BCB"/>
    <w:rPr>
      <w:rFonts w:ascii="Arial" w:hAnsi="Arial"/>
      <w:b/>
      <w:i/>
      <w:kern w:val="20"/>
      <w:lang w:eastAsia="en-US"/>
    </w:rPr>
  </w:style>
  <w:style w:type="paragraph" w:customStyle="1" w:styleId="Table-text">
    <w:name w:val="Table-text"/>
    <w:basedOn w:val="Tabletext"/>
    <w:link w:val="Table-textChar"/>
    <w:qFormat/>
    <w:rsid w:val="00887BCB"/>
  </w:style>
  <w:style w:type="character" w:customStyle="1" w:styleId="AuthordetailsChar">
    <w:name w:val="Author details Char"/>
    <w:basedOn w:val="HeaderChar"/>
    <w:link w:val="Authordetails"/>
    <w:rsid w:val="00887BCB"/>
    <w:rPr>
      <w:rFonts w:ascii="Arial" w:hAnsi="Arial" w:cs="Arial"/>
      <w:i/>
      <w:sz w:val="28"/>
      <w:lang w:eastAsia="en-US"/>
    </w:rPr>
  </w:style>
  <w:style w:type="character" w:customStyle="1" w:styleId="AuthorNameChar">
    <w:name w:val="Author Name Char"/>
    <w:basedOn w:val="AuthordetailsChar"/>
    <w:link w:val="AuthorName"/>
    <w:rsid w:val="00D5215D"/>
    <w:rPr>
      <w:rFonts w:ascii="Arial" w:hAnsi="Arial" w:cs="Arial"/>
      <w:i/>
      <w:sz w:val="28"/>
      <w:lang w:eastAsia="en-US"/>
    </w:rPr>
  </w:style>
  <w:style w:type="paragraph" w:customStyle="1" w:styleId="Table-heading">
    <w:name w:val="Table-heading"/>
    <w:basedOn w:val="Tableheader"/>
    <w:link w:val="Table-headingChar"/>
    <w:rsid w:val="00887BCB"/>
  </w:style>
  <w:style w:type="character" w:customStyle="1" w:styleId="TabletextChar">
    <w:name w:val="Table text Char"/>
    <w:basedOn w:val="DefaultParagraphFont"/>
    <w:link w:val="Tabletext"/>
    <w:rsid w:val="00887BCB"/>
    <w:rPr>
      <w:rFonts w:ascii="Arial" w:hAnsi="Arial"/>
      <w:kern w:val="20"/>
      <w:lang w:eastAsia="en-US"/>
    </w:rPr>
  </w:style>
  <w:style w:type="character" w:customStyle="1" w:styleId="Table-textChar">
    <w:name w:val="Table-text Char"/>
    <w:basedOn w:val="TabletextChar"/>
    <w:link w:val="Table-text"/>
    <w:rsid w:val="00887BCB"/>
    <w:rPr>
      <w:rFonts w:ascii="Arial" w:hAnsi="Arial"/>
      <w:kern w:val="20"/>
      <w:lang w:eastAsia="en-US"/>
    </w:rPr>
  </w:style>
  <w:style w:type="paragraph" w:customStyle="1" w:styleId="Number-list">
    <w:name w:val="Number-list"/>
    <w:basedOn w:val="Numberlist0"/>
    <w:link w:val="Number-listChar"/>
    <w:qFormat/>
    <w:rsid w:val="008F25F8"/>
  </w:style>
  <w:style w:type="character" w:customStyle="1" w:styleId="TableheaderChar">
    <w:name w:val="Table header Char"/>
    <w:basedOn w:val="DefaultParagraphFont"/>
    <w:link w:val="Tableheader"/>
    <w:rsid w:val="00887BCB"/>
    <w:rPr>
      <w:rFonts w:ascii="Arial" w:hAnsi="Arial"/>
      <w:b/>
      <w:kern w:val="20"/>
      <w:lang w:eastAsia="en-US"/>
    </w:rPr>
  </w:style>
  <w:style w:type="character" w:customStyle="1" w:styleId="Table-headingChar">
    <w:name w:val="Table-heading Char"/>
    <w:basedOn w:val="TableheaderChar"/>
    <w:link w:val="Table-heading"/>
    <w:rsid w:val="00887BCB"/>
    <w:rPr>
      <w:rFonts w:ascii="Arial" w:hAnsi="Arial"/>
      <w:b/>
      <w:kern w:val="20"/>
      <w:lang w:eastAsia="en-US"/>
    </w:rPr>
  </w:style>
  <w:style w:type="character" w:customStyle="1" w:styleId="Number-listChar">
    <w:name w:val="Number-list Char"/>
    <w:basedOn w:val="NumberlistChar0"/>
    <w:link w:val="Number-list"/>
    <w:rsid w:val="008F25F8"/>
    <w:rPr>
      <w:rFonts w:ascii="Arial" w:hAnsi="Arial"/>
      <w:kern w:val="20"/>
      <w:lang w:val="en-US" w:eastAsia="en-US"/>
    </w:rPr>
  </w:style>
  <w:style w:type="paragraph" w:customStyle="1" w:styleId="Abtract-text">
    <w:name w:val="Abtract-text"/>
    <w:basedOn w:val="Normal"/>
    <w:link w:val="Abtract-textChar"/>
    <w:qFormat/>
    <w:rsid w:val="0023015E"/>
    <w:pPr>
      <w:pBdr>
        <w:bottom w:val="single" w:sz="4" w:space="12" w:color="auto"/>
      </w:pBdr>
    </w:pPr>
  </w:style>
  <w:style w:type="character" w:customStyle="1" w:styleId="Abtract-textChar">
    <w:name w:val="Abtract-text Char"/>
    <w:basedOn w:val="DefaultParagraphFont"/>
    <w:link w:val="Abtract-text"/>
    <w:rsid w:val="0023015E"/>
    <w:rPr>
      <w:rFonts w:ascii="Arial" w:hAnsi="Arial"/>
      <w:kern w:val="20"/>
      <w:lang w:eastAsia="en-US"/>
    </w:rPr>
  </w:style>
  <w:style w:type="paragraph" w:styleId="ListParagraph">
    <w:name w:val="List Paragraph"/>
    <w:basedOn w:val="Normal"/>
    <w:rsid w:val="00824BD4"/>
    <w:pPr>
      <w:ind w:left="720"/>
      <w:contextualSpacing/>
    </w:pPr>
  </w:style>
  <w:style w:type="table" w:customStyle="1" w:styleId="TableGrid1">
    <w:name w:val="Table Grid1"/>
    <w:basedOn w:val="TableNormal"/>
    <w:next w:val="TableGrid"/>
    <w:uiPriority w:val="59"/>
    <w:rsid w:val="00F3705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A7E09"/>
    <w:rPr>
      <w:rFonts w:ascii="Arial" w:hAnsi="Arial"/>
      <w:b/>
      <w:kern w:val="28"/>
      <w:sz w:val="28"/>
      <w:szCs w:val="28"/>
      <w:lang w:eastAsia="en-US"/>
    </w:rPr>
  </w:style>
  <w:style w:type="table" w:customStyle="1" w:styleId="TableGrid2">
    <w:name w:val="Table Grid2"/>
    <w:basedOn w:val="TableNormal"/>
    <w:next w:val="TableGrid"/>
    <w:uiPriority w:val="59"/>
    <w:rsid w:val="00795AE1"/>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qFormat/>
    <w:rsid w:val="00CC4505"/>
    <w:pPr>
      <w:spacing w:after="240"/>
    </w:pPr>
    <w:rPr>
      <w:rFonts w:ascii="Arial" w:hAnsi="Arial"/>
      <w:kern w:val="20"/>
      <w:lang w:eastAsia="en-US"/>
    </w:rPr>
  </w:style>
  <w:style w:type="paragraph" w:styleId="Heading1">
    <w:name w:val="heading 1"/>
    <w:basedOn w:val="Normal"/>
    <w:next w:val="Normal"/>
    <w:link w:val="Heading1Char"/>
    <w:qFormat/>
    <w:rsid w:val="00B1293C"/>
    <w:pPr>
      <w:keepNext/>
      <w:spacing w:before="120"/>
      <w:ind w:left="567" w:hanging="567"/>
      <w:outlineLvl w:val="0"/>
    </w:pPr>
    <w:rPr>
      <w:b/>
      <w:caps/>
      <w:kern w:val="28"/>
      <w:sz w:val="28"/>
      <w:szCs w:val="28"/>
    </w:rPr>
  </w:style>
  <w:style w:type="paragraph" w:styleId="Heading2">
    <w:name w:val="heading 2"/>
    <w:basedOn w:val="Normal"/>
    <w:next w:val="Normal"/>
    <w:link w:val="Heading2Char"/>
    <w:qFormat/>
    <w:rsid w:val="00B1293C"/>
    <w:pPr>
      <w:keepNext/>
      <w:spacing w:before="120"/>
      <w:ind w:left="567" w:hanging="567"/>
      <w:outlineLvl w:val="1"/>
    </w:pPr>
    <w:rPr>
      <w:b/>
      <w:kern w:val="28"/>
      <w:sz w:val="28"/>
      <w:szCs w:val="28"/>
    </w:rPr>
  </w:style>
  <w:style w:type="paragraph" w:styleId="Heading3">
    <w:name w:val="heading 3"/>
    <w:basedOn w:val="Normal"/>
    <w:next w:val="Normal"/>
    <w:qFormat/>
    <w:rsid w:val="00F92CFE"/>
    <w:pPr>
      <w:keepNext/>
      <w:keepLines/>
      <w:spacing w:before="120"/>
      <w:ind w:left="567" w:hanging="567"/>
      <w:outlineLvl w:val="2"/>
    </w:pPr>
    <w:rPr>
      <w:b/>
      <w:kern w:val="24"/>
      <w:sz w:val="24"/>
      <w:szCs w:val="24"/>
    </w:rPr>
  </w:style>
  <w:style w:type="paragraph" w:styleId="Heading4">
    <w:name w:val="heading 4"/>
    <w:basedOn w:val="Normal"/>
    <w:next w:val="Normal"/>
    <w:rsid w:val="006861FC"/>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ame">
    <w:name w:val="Figure name"/>
    <w:basedOn w:val="Normal"/>
    <w:next w:val="Normal"/>
    <w:link w:val="FigurenameChar"/>
    <w:rsid w:val="006861FC"/>
    <w:pPr>
      <w:spacing w:before="120"/>
      <w:jc w:val="center"/>
    </w:pPr>
    <w:rPr>
      <w:b/>
      <w:i/>
    </w:rPr>
  </w:style>
  <w:style w:type="paragraph" w:customStyle="1" w:styleId="Tableheader">
    <w:name w:val="Table header"/>
    <w:basedOn w:val="Normal"/>
    <w:link w:val="TableheaderChar"/>
    <w:rsid w:val="006861FC"/>
    <w:pPr>
      <w:spacing w:before="60" w:after="60"/>
      <w:jc w:val="center"/>
    </w:pPr>
    <w:rPr>
      <w:b/>
    </w:rPr>
  </w:style>
  <w:style w:type="paragraph" w:customStyle="1" w:styleId="Tabletext">
    <w:name w:val="Table text"/>
    <w:basedOn w:val="Normal"/>
    <w:link w:val="TabletextChar"/>
    <w:rsid w:val="006861FC"/>
    <w:pPr>
      <w:spacing w:before="60" w:after="60"/>
    </w:pPr>
  </w:style>
  <w:style w:type="paragraph" w:customStyle="1" w:styleId="Papertitle">
    <w:name w:val="Paper title"/>
    <w:basedOn w:val="Heading1"/>
    <w:link w:val="PapertitleChar"/>
    <w:rsid w:val="00D11965"/>
    <w:pPr>
      <w:tabs>
        <w:tab w:val="center" w:pos="4252"/>
      </w:tabs>
      <w:ind w:left="0" w:firstLine="0"/>
    </w:pPr>
    <w:rPr>
      <w:sz w:val="32"/>
      <w:szCs w:val="32"/>
    </w:rPr>
  </w:style>
  <w:style w:type="paragraph" w:customStyle="1" w:styleId="Abstracttitle">
    <w:name w:val="Abstract title"/>
    <w:basedOn w:val="Heading1"/>
    <w:rsid w:val="006861FC"/>
  </w:style>
  <w:style w:type="paragraph" w:customStyle="1" w:styleId="Bulletlist">
    <w:name w:val="Bullet list"/>
    <w:basedOn w:val="BodyText"/>
    <w:link w:val="BulletlistChar"/>
    <w:rsid w:val="00F27CA3"/>
    <w:pPr>
      <w:numPr>
        <w:numId w:val="12"/>
      </w:numPr>
    </w:pPr>
  </w:style>
  <w:style w:type="paragraph" w:customStyle="1" w:styleId="Numberlist">
    <w:name w:val="Number list"/>
    <w:basedOn w:val="Normal"/>
    <w:link w:val="NumberlistChar"/>
    <w:rsid w:val="00F27CA3"/>
    <w:pPr>
      <w:numPr>
        <w:numId w:val="27"/>
      </w:numPr>
      <w:spacing w:after="120"/>
    </w:pPr>
    <w:rPr>
      <w:lang w:val="en-US"/>
    </w:rPr>
  </w:style>
  <w:style w:type="paragraph" w:customStyle="1" w:styleId="Tablename">
    <w:name w:val="Table name"/>
    <w:basedOn w:val="Normal"/>
    <w:link w:val="TablenameChar"/>
    <w:rsid w:val="00BB1E4D"/>
    <w:pPr>
      <w:keepNext/>
      <w:keepLines/>
      <w:spacing w:before="240" w:after="120"/>
      <w:jc w:val="center"/>
    </w:pPr>
    <w:rPr>
      <w:b/>
      <w:kern w:val="0"/>
    </w:rPr>
  </w:style>
  <w:style w:type="paragraph" w:customStyle="1" w:styleId="Authordetails">
    <w:name w:val="Author details"/>
    <w:basedOn w:val="Header"/>
    <w:link w:val="AuthordetailsChar"/>
    <w:rsid w:val="00F27CA3"/>
    <w:pPr>
      <w:keepLines/>
      <w:pBdr>
        <w:bottom w:val="single" w:sz="4" w:space="12" w:color="auto"/>
      </w:pBdr>
      <w:tabs>
        <w:tab w:val="center" w:pos="4153"/>
        <w:tab w:val="right" w:pos="8306"/>
      </w:tabs>
      <w:spacing w:after="120"/>
    </w:pPr>
    <w:rPr>
      <w:rFonts w:cs="Arial"/>
      <w:sz w:val="28"/>
    </w:rPr>
  </w:style>
  <w:style w:type="table" w:styleId="TableGrid">
    <w:name w:val="Table Grid"/>
    <w:basedOn w:val="TableNormal"/>
    <w:rsid w:val="00A80E12"/>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link w:val="HeaderChar"/>
    <w:rsid w:val="00D11965"/>
    <w:rPr>
      <w:rFonts w:ascii="Arial" w:hAnsi="Arial"/>
      <w:i/>
      <w:sz w:val="18"/>
      <w:lang w:eastAsia="en-US"/>
    </w:rPr>
  </w:style>
  <w:style w:type="character" w:styleId="Hyperlink">
    <w:name w:val="Hyperlink"/>
    <w:rsid w:val="00C726FD"/>
    <w:rPr>
      <w:color w:val="0000FF"/>
      <w:u w:val="single"/>
    </w:rPr>
  </w:style>
  <w:style w:type="paragraph" w:styleId="BodyText2">
    <w:name w:val="Body Text 2"/>
    <w:basedOn w:val="Normal"/>
    <w:rsid w:val="00C726FD"/>
    <w:pPr>
      <w:spacing w:after="0"/>
      <w:ind w:left="1440"/>
    </w:pPr>
    <w:rPr>
      <w:rFonts w:ascii="Times New Roman" w:hAnsi="Times New Roman"/>
      <w:kern w:val="0"/>
      <w:lang w:eastAsia="en-AU"/>
    </w:rPr>
  </w:style>
  <w:style w:type="character" w:styleId="FollowedHyperlink">
    <w:name w:val="FollowedHyperlink"/>
    <w:rsid w:val="00311CB4"/>
    <w:rPr>
      <w:color w:val="800080"/>
      <w:u w:val="single"/>
    </w:rPr>
  </w:style>
  <w:style w:type="character" w:styleId="Emphasis">
    <w:name w:val="Emphasis"/>
    <w:rsid w:val="00333857"/>
    <w:rPr>
      <w:i/>
      <w:iCs/>
    </w:rPr>
  </w:style>
  <w:style w:type="paragraph" w:styleId="Footer">
    <w:name w:val="footer"/>
    <w:rsid w:val="00D11965"/>
    <w:pPr>
      <w:tabs>
        <w:tab w:val="right" w:pos="8505"/>
      </w:tabs>
    </w:pPr>
    <w:rPr>
      <w:rFonts w:ascii="Arial" w:hAnsi="Arial"/>
      <w:lang w:eastAsia="en-US"/>
    </w:rPr>
  </w:style>
  <w:style w:type="character" w:styleId="PageNumber">
    <w:name w:val="page number"/>
    <w:basedOn w:val="DefaultParagraphFont"/>
    <w:rsid w:val="004340E1"/>
  </w:style>
  <w:style w:type="character" w:styleId="CommentReference">
    <w:name w:val="annotation reference"/>
    <w:semiHidden/>
    <w:rsid w:val="00C859BD"/>
    <w:rPr>
      <w:sz w:val="16"/>
      <w:szCs w:val="16"/>
    </w:rPr>
  </w:style>
  <w:style w:type="paragraph" w:styleId="CommentText">
    <w:name w:val="annotation text"/>
    <w:basedOn w:val="Normal"/>
    <w:semiHidden/>
    <w:rsid w:val="00C859BD"/>
  </w:style>
  <w:style w:type="paragraph" w:styleId="CommentSubject">
    <w:name w:val="annotation subject"/>
    <w:basedOn w:val="CommentText"/>
    <w:next w:val="CommentText"/>
    <w:semiHidden/>
    <w:rsid w:val="00C859BD"/>
    <w:rPr>
      <w:b/>
      <w:bCs/>
    </w:rPr>
  </w:style>
  <w:style w:type="paragraph" w:styleId="BalloonText">
    <w:name w:val="Balloon Text"/>
    <w:basedOn w:val="Normal"/>
    <w:semiHidden/>
    <w:rsid w:val="00C859BD"/>
    <w:rPr>
      <w:rFonts w:ascii="Tahoma" w:hAnsi="Tahoma" w:cs="Tahoma"/>
      <w:sz w:val="16"/>
      <w:szCs w:val="16"/>
    </w:rPr>
  </w:style>
  <w:style w:type="numbering" w:customStyle="1" w:styleId="Liststylebullet">
    <w:name w:val="List style bullet"/>
    <w:basedOn w:val="NoList"/>
    <w:rsid w:val="00F27CA3"/>
    <w:pPr>
      <w:numPr>
        <w:numId w:val="12"/>
      </w:numPr>
    </w:pPr>
  </w:style>
  <w:style w:type="paragraph" w:styleId="BodyText">
    <w:name w:val="Body Text"/>
    <w:basedOn w:val="Normal"/>
    <w:link w:val="BodyTextChar"/>
    <w:rsid w:val="00527CED"/>
    <w:pPr>
      <w:spacing w:after="120"/>
    </w:pPr>
  </w:style>
  <w:style w:type="character" w:customStyle="1" w:styleId="BodyTextChar">
    <w:name w:val="Body Text Char"/>
    <w:link w:val="BodyText"/>
    <w:rsid w:val="00527CED"/>
    <w:rPr>
      <w:rFonts w:ascii="Arial" w:hAnsi="Arial"/>
      <w:kern w:val="20"/>
    </w:rPr>
  </w:style>
  <w:style w:type="numbering" w:customStyle="1" w:styleId="Liststylenumbers">
    <w:name w:val="List style numbers"/>
    <w:basedOn w:val="NoList"/>
    <w:rsid w:val="00F27CA3"/>
    <w:pPr>
      <w:numPr>
        <w:numId w:val="16"/>
      </w:numPr>
    </w:pPr>
  </w:style>
  <w:style w:type="paragraph" w:customStyle="1" w:styleId="Bulletlist2">
    <w:name w:val="Bullet list 2"/>
    <w:basedOn w:val="Bulletlist"/>
    <w:rsid w:val="00F27CA3"/>
    <w:pPr>
      <w:numPr>
        <w:ilvl w:val="1"/>
        <w:numId w:val="27"/>
      </w:numPr>
    </w:pPr>
  </w:style>
  <w:style w:type="paragraph" w:customStyle="1" w:styleId="Headertext">
    <w:name w:val="Header text"/>
    <w:basedOn w:val="Header"/>
    <w:link w:val="HeadertextChar"/>
    <w:rsid w:val="00D01A4E"/>
  </w:style>
  <w:style w:type="paragraph" w:customStyle="1" w:styleId="Title-paper">
    <w:name w:val="Title-paper"/>
    <w:basedOn w:val="Papertitle"/>
    <w:link w:val="Title-paperChar"/>
    <w:qFormat/>
    <w:rsid w:val="009102F1"/>
  </w:style>
  <w:style w:type="character" w:customStyle="1" w:styleId="HeaderChar">
    <w:name w:val="Header Char"/>
    <w:basedOn w:val="DefaultParagraphFont"/>
    <w:link w:val="Header"/>
    <w:rsid w:val="00D01A4E"/>
    <w:rPr>
      <w:rFonts w:ascii="Arial" w:hAnsi="Arial"/>
      <w:i/>
      <w:sz w:val="18"/>
      <w:lang w:eastAsia="en-US"/>
    </w:rPr>
  </w:style>
  <w:style w:type="character" w:customStyle="1" w:styleId="HeadertextChar">
    <w:name w:val="Header text Char"/>
    <w:basedOn w:val="HeaderChar"/>
    <w:link w:val="Headertext"/>
    <w:rsid w:val="00D01A4E"/>
    <w:rPr>
      <w:rFonts w:ascii="Arial" w:hAnsi="Arial"/>
      <w:i/>
      <w:sz w:val="18"/>
      <w:lang w:eastAsia="en-US"/>
    </w:rPr>
  </w:style>
  <w:style w:type="paragraph" w:customStyle="1" w:styleId="Bullet-list">
    <w:name w:val="Bullet-list"/>
    <w:basedOn w:val="Bulletlist"/>
    <w:link w:val="Bullet-listChar"/>
    <w:qFormat/>
    <w:rsid w:val="009102F1"/>
  </w:style>
  <w:style w:type="character" w:customStyle="1" w:styleId="Heading1Char">
    <w:name w:val="Heading 1 Char"/>
    <w:basedOn w:val="DefaultParagraphFont"/>
    <w:link w:val="Heading1"/>
    <w:rsid w:val="009102F1"/>
    <w:rPr>
      <w:rFonts w:ascii="Arial" w:hAnsi="Arial"/>
      <w:b/>
      <w:caps/>
      <w:kern w:val="28"/>
      <w:sz w:val="28"/>
      <w:szCs w:val="28"/>
      <w:lang w:eastAsia="en-US"/>
    </w:rPr>
  </w:style>
  <w:style w:type="character" w:customStyle="1" w:styleId="PapertitleChar">
    <w:name w:val="Paper title Char"/>
    <w:basedOn w:val="Heading1Char"/>
    <w:link w:val="Papertitle"/>
    <w:rsid w:val="009102F1"/>
    <w:rPr>
      <w:rFonts w:ascii="Arial" w:hAnsi="Arial"/>
      <w:b/>
      <w:caps/>
      <w:kern w:val="28"/>
      <w:sz w:val="32"/>
      <w:szCs w:val="32"/>
      <w:lang w:eastAsia="en-US"/>
    </w:rPr>
  </w:style>
  <w:style w:type="character" w:customStyle="1" w:styleId="Title-paperChar">
    <w:name w:val="Title-paper Char"/>
    <w:basedOn w:val="PapertitleChar"/>
    <w:link w:val="Title-paper"/>
    <w:rsid w:val="009102F1"/>
    <w:rPr>
      <w:rFonts w:ascii="Arial" w:hAnsi="Arial"/>
      <w:b/>
      <w:caps/>
      <w:kern w:val="28"/>
      <w:sz w:val="32"/>
      <w:szCs w:val="32"/>
      <w:lang w:eastAsia="en-US"/>
    </w:rPr>
  </w:style>
  <w:style w:type="paragraph" w:customStyle="1" w:styleId="Numberlist0">
    <w:name w:val="Numbe rlist"/>
    <w:basedOn w:val="Numberlist"/>
    <w:link w:val="NumberlistChar0"/>
    <w:rsid w:val="009102F1"/>
    <w:pPr>
      <w:spacing w:after="240"/>
    </w:pPr>
  </w:style>
  <w:style w:type="character" w:customStyle="1" w:styleId="BulletlistChar">
    <w:name w:val="Bullet list Char"/>
    <w:basedOn w:val="BodyTextChar"/>
    <w:link w:val="Bulletlist"/>
    <w:rsid w:val="009102F1"/>
    <w:rPr>
      <w:rFonts w:ascii="Arial" w:hAnsi="Arial"/>
      <w:kern w:val="20"/>
      <w:lang w:eastAsia="en-US"/>
    </w:rPr>
  </w:style>
  <w:style w:type="character" w:customStyle="1" w:styleId="Bullet-listChar">
    <w:name w:val="Bullet-list Char"/>
    <w:basedOn w:val="BulletlistChar"/>
    <w:link w:val="Bullet-list"/>
    <w:rsid w:val="009102F1"/>
    <w:rPr>
      <w:rFonts w:ascii="Arial" w:hAnsi="Arial"/>
      <w:kern w:val="20"/>
      <w:lang w:eastAsia="en-US"/>
    </w:rPr>
  </w:style>
  <w:style w:type="paragraph" w:customStyle="1" w:styleId="Bullet-last">
    <w:name w:val="Bullet-last"/>
    <w:basedOn w:val="Bulletlist"/>
    <w:link w:val="Bullet-lastChar"/>
    <w:qFormat/>
    <w:rsid w:val="009102F1"/>
    <w:pPr>
      <w:spacing w:after="240"/>
    </w:pPr>
    <w:rPr>
      <w:lang w:val="en-US"/>
    </w:rPr>
  </w:style>
  <w:style w:type="character" w:customStyle="1" w:styleId="NumberlistChar">
    <w:name w:val="Number list Char"/>
    <w:basedOn w:val="DefaultParagraphFont"/>
    <w:link w:val="Numberlist"/>
    <w:rsid w:val="009102F1"/>
    <w:rPr>
      <w:rFonts w:ascii="Arial" w:hAnsi="Arial"/>
      <w:kern w:val="20"/>
      <w:lang w:val="en-US" w:eastAsia="en-US"/>
    </w:rPr>
  </w:style>
  <w:style w:type="character" w:customStyle="1" w:styleId="NumberlistChar0">
    <w:name w:val="Numbe rlist Char"/>
    <w:basedOn w:val="NumberlistChar"/>
    <w:link w:val="Numberlist0"/>
    <w:rsid w:val="009102F1"/>
    <w:rPr>
      <w:rFonts w:ascii="Arial" w:hAnsi="Arial"/>
      <w:kern w:val="20"/>
      <w:lang w:val="en-US" w:eastAsia="en-US"/>
    </w:rPr>
  </w:style>
  <w:style w:type="paragraph" w:customStyle="1" w:styleId="Tableheading">
    <w:name w:val="Table heading"/>
    <w:basedOn w:val="Tablename"/>
    <w:link w:val="TableheadingChar"/>
    <w:qFormat/>
    <w:rsid w:val="00887BCB"/>
  </w:style>
  <w:style w:type="character" w:customStyle="1" w:styleId="Bullet-lastChar">
    <w:name w:val="Bullet-last Char"/>
    <w:basedOn w:val="BulletlistChar"/>
    <w:link w:val="Bullet-last"/>
    <w:rsid w:val="009102F1"/>
    <w:rPr>
      <w:rFonts w:ascii="Arial" w:hAnsi="Arial"/>
      <w:kern w:val="20"/>
      <w:lang w:val="en-US" w:eastAsia="en-US"/>
    </w:rPr>
  </w:style>
  <w:style w:type="paragraph" w:customStyle="1" w:styleId="Figurecapture">
    <w:name w:val="Figure capture"/>
    <w:basedOn w:val="Figurename"/>
    <w:link w:val="FigurecaptureChar"/>
    <w:qFormat/>
    <w:rsid w:val="00887BCB"/>
  </w:style>
  <w:style w:type="character" w:customStyle="1" w:styleId="TablenameChar">
    <w:name w:val="Table name Char"/>
    <w:basedOn w:val="DefaultParagraphFont"/>
    <w:link w:val="Tablename"/>
    <w:rsid w:val="00887BCB"/>
    <w:rPr>
      <w:rFonts w:ascii="Arial" w:hAnsi="Arial"/>
      <w:b/>
      <w:lang w:eastAsia="en-US"/>
    </w:rPr>
  </w:style>
  <w:style w:type="character" w:customStyle="1" w:styleId="TableheadingChar">
    <w:name w:val="Table heading Char"/>
    <w:basedOn w:val="TablenameChar"/>
    <w:link w:val="Tableheading"/>
    <w:rsid w:val="00887BCB"/>
    <w:rPr>
      <w:rFonts w:ascii="Arial" w:hAnsi="Arial"/>
      <w:b/>
      <w:lang w:eastAsia="en-US"/>
    </w:rPr>
  </w:style>
  <w:style w:type="paragraph" w:customStyle="1" w:styleId="AuthorName">
    <w:name w:val="Author Name"/>
    <w:basedOn w:val="Authordetails"/>
    <w:link w:val="AuthorNameChar"/>
    <w:qFormat/>
    <w:rsid w:val="00D5215D"/>
  </w:style>
  <w:style w:type="character" w:customStyle="1" w:styleId="FigurenameChar">
    <w:name w:val="Figure name Char"/>
    <w:basedOn w:val="DefaultParagraphFont"/>
    <w:link w:val="Figurename"/>
    <w:rsid w:val="00887BCB"/>
    <w:rPr>
      <w:rFonts w:ascii="Arial" w:hAnsi="Arial"/>
      <w:b/>
      <w:i/>
      <w:kern w:val="20"/>
      <w:lang w:eastAsia="en-US"/>
    </w:rPr>
  </w:style>
  <w:style w:type="character" w:customStyle="1" w:styleId="FigurecaptureChar">
    <w:name w:val="Figure capture Char"/>
    <w:basedOn w:val="FigurenameChar"/>
    <w:link w:val="Figurecapture"/>
    <w:rsid w:val="00887BCB"/>
    <w:rPr>
      <w:rFonts w:ascii="Arial" w:hAnsi="Arial"/>
      <w:b/>
      <w:i/>
      <w:kern w:val="20"/>
      <w:lang w:eastAsia="en-US"/>
    </w:rPr>
  </w:style>
  <w:style w:type="paragraph" w:customStyle="1" w:styleId="Table-text">
    <w:name w:val="Table-text"/>
    <w:basedOn w:val="Tabletext"/>
    <w:link w:val="Table-textChar"/>
    <w:qFormat/>
    <w:rsid w:val="00887BCB"/>
  </w:style>
  <w:style w:type="character" w:customStyle="1" w:styleId="AuthordetailsChar">
    <w:name w:val="Author details Char"/>
    <w:basedOn w:val="HeaderChar"/>
    <w:link w:val="Authordetails"/>
    <w:rsid w:val="00887BCB"/>
    <w:rPr>
      <w:rFonts w:ascii="Arial" w:hAnsi="Arial" w:cs="Arial"/>
      <w:i/>
      <w:sz w:val="28"/>
      <w:lang w:eastAsia="en-US"/>
    </w:rPr>
  </w:style>
  <w:style w:type="character" w:customStyle="1" w:styleId="AuthorNameChar">
    <w:name w:val="Author Name Char"/>
    <w:basedOn w:val="AuthordetailsChar"/>
    <w:link w:val="AuthorName"/>
    <w:rsid w:val="00D5215D"/>
    <w:rPr>
      <w:rFonts w:ascii="Arial" w:hAnsi="Arial" w:cs="Arial"/>
      <w:i/>
      <w:sz w:val="28"/>
      <w:lang w:eastAsia="en-US"/>
    </w:rPr>
  </w:style>
  <w:style w:type="paragraph" w:customStyle="1" w:styleId="Table-heading">
    <w:name w:val="Table-heading"/>
    <w:basedOn w:val="Tableheader"/>
    <w:link w:val="Table-headingChar"/>
    <w:rsid w:val="00887BCB"/>
  </w:style>
  <w:style w:type="character" w:customStyle="1" w:styleId="TabletextChar">
    <w:name w:val="Table text Char"/>
    <w:basedOn w:val="DefaultParagraphFont"/>
    <w:link w:val="Tabletext"/>
    <w:rsid w:val="00887BCB"/>
    <w:rPr>
      <w:rFonts w:ascii="Arial" w:hAnsi="Arial"/>
      <w:kern w:val="20"/>
      <w:lang w:eastAsia="en-US"/>
    </w:rPr>
  </w:style>
  <w:style w:type="character" w:customStyle="1" w:styleId="Table-textChar">
    <w:name w:val="Table-text Char"/>
    <w:basedOn w:val="TabletextChar"/>
    <w:link w:val="Table-text"/>
    <w:rsid w:val="00887BCB"/>
    <w:rPr>
      <w:rFonts w:ascii="Arial" w:hAnsi="Arial"/>
      <w:kern w:val="20"/>
      <w:lang w:eastAsia="en-US"/>
    </w:rPr>
  </w:style>
  <w:style w:type="paragraph" w:customStyle="1" w:styleId="Number-list">
    <w:name w:val="Number-list"/>
    <w:basedOn w:val="Numberlist0"/>
    <w:link w:val="Number-listChar"/>
    <w:qFormat/>
    <w:rsid w:val="008F25F8"/>
  </w:style>
  <w:style w:type="character" w:customStyle="1" w:styleId="TableheaderChar">
    <w:name w:val="Table header Char"/>
    <w:basedOn w:val="DefaultParagraphFont"/>
    <w:link w:val="Tableheader"/>
    <w:rsid w:val="00887BCB"/>
    <w:rPr>
      <w:rFonts w:ascii="Arial" w:hAnsi="Arial"/>
      <w:b/>
      <w:kern w:val="20"/>
      <w:lang w:eastAsia="en-US"/>
    </w:rPr>
  </w:style>
  <w:style w:type="character" w:customStyle="1" w:styleId="Table-headingChar">
    <w:name w:val="Table-heading Char"/>
    <w:basedOn w:val="TableheaderChar"/>
    <w:link w:val="Table-heading"/>
    <w:rsid w:val="00887BCB"/>
    <w:rPr>
      <w:rFonts w:ascii="Arial" w:hAnsi="Arial"/>
      <w:b/>
      <w:kern w:val="20"/>
      <w:lang w:eastAsia="en-US"/>
    </w:rPr>
  </w:style>
  <w:style w:type="character" w:customStyle="1" w:styleId="Number-listChar">
    <w:name w:val="Number-list Char"/>
    <w:basedOn w:val="NumberlistChar0"/>
    <w:link w:val="Number-list"/>
    <w:rsid w:val="008F25F8"/>
    <w:rPr>
      <w:rFonts w:ascii="Arial" w:hAnsi="Arial"/>
      <w:kern w:val="20"/>
      <w:lang w:val="en-US" w:eastAsia="en-US"/>
    </w:rPr>
  </w:style>
  <w:style w:type="paragraph" w:customStyle="1" w:styleId="Abtract-text">
    <w:name w:val="Abtract-text"/>
    <w:basedOn w:val="Normal"/>
    <w:link w:val="Abtract-textChar"/>
    <w:qFormat/>
    <w:rsid w:val="0023015E"/>
    <w:pPr>
      <w:pBdr>
        <w:bottom w:val="single" w:sz="4" w:space="12" w:color="auto"/>
      </w:pBdr>
    </w:pPr>
  </w:style>
  <w:style w:type="character" w:customStyle="1" w:styleId="Abtract-textChar">
    <w:name w:val="Abtract-text Char"/>
    <w:basedOn w:val="DefaultParagraphFont"/>
    <w:link w:val="Abtract-text"/>
    <w:rsid w:val="0023015E"/>
    <w:rPr>
      <w:rFonts w:ascii="Arial" w:hAnsi="Arial"/>
      <w:kern w:val="20"/>
      <w:lang w:eastAsia="en-US"/>
    </w:rPr>
  </w:style>
  <w:style w:type="paragraph" w:styleId="ListParagraph">
    <w:name w:val="List Paragraph"/>
    <w:basedOn w:val="Normal"/>
    <w:rsid w:val="00824BD4"/>
    <w:pPr>
      <w:ind w:left="720"/>
      <w:contextualSpacing/>
    </w:pPr>
  </w:style>
  <w:style w:type="table" w:customStyle="1" w:styleId="TableGrid1">
    <w:name w:val="Table Grid1"/>
    <w:basedOn w:val="TableNormal"/>
    <w:next w:val="TableGrid"/>
    <w:uiPriority w:val="59"/>
    <w:rsid w:val="00F37053"/>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3A7E09"/>
    <w:rPr>
      <w:rFonts w:ascii="Arial" w:hAnsi="Arial"/>
      <w:b/>
      <w:kern w:val="28"/>
      <w:sz w:val="28"/>
      <w:szCs w:val="28"/>
      <w:lang w:eastAsia="en-US"/>
    </w:rPr>
  </w:style>
  <w:style w:type="table" w:customStyle="1" w:styleId="TableGrid2">
    <w:name w:val="Table Grid2"/>
    <w:basedOn w:val="TableNormal"/>
    <w:next w:val="TableGrid"/>
    <w:uiPriority w:val="59"/>
    <w:rsid w:val="00795AE1"/>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801355">
      <w:bodyDiv w:val="1"/>
      <w:marLeft w:val="0"/>
      <w:marRight w:val="0"/>
      <w:marTop w:val="0"/>
      <w:marBottom w:val="0"/>
      <w:divBdr>
        <w:top w:val="none" w:sz="0" w:space="0" w:color="auto"/>
        <w:left w:val="none" w:sz="0" w:space="0" w:color="auto"/>
        <w:bottom w:val="none" w:sz="0" w:space="0" w:color="auto"/>
        <w:right w:val="none" w:sz="0" w:space="0" w:color="auto"/>
      </w:divBdr>
      <w:divsChild>
        <w:div w:id="82067094">
          <w:marLeft w:val="0"/>
          <w:marRight w:val="0"/>
          <w:marTop w:val="0"/>
          <w:marBottom w:val="0"/>
          <w:divBdr>
            <w:top w:val="none" w:sz="0" w:space="0" w:color="auto"/>
            <w:left w:val="none" w:sz="0" w:space="0" w:color="auto"/>
            <w:bottom w:val="none" w:sz="0" w:space="0" w:color="auto"/>
            <w:right w:val="none" w:sz="0" w:space="0" w:color="auto"/>
          </w:divBdr>
        </w:div>
        <w:div w:id="563419130">
          <w:marLeft w:val="0"/>
          <w:marRight w:val="0"/>
          <w:marTop w:val="0"/>
          <w:marBottom w:val="0"/>
          <w:divBdr>
            <w:top w:val="none" w:sz="0" w:space="0" w:color="auto"/>
            <w:left w:val="none" w:sz="0" w:space="0" w:color="auto"/>
            <w:bottom w:val="none" w:sz="0" w:space="0" w:color="auto"/>
            <w:right w:val="none" w:sz="0" w:space="0" w:color="auto"/>
          </w:divBdr>
        </w:div>
        <w:div w:id="1828858835">
          <w:marLeft w:val="0"/>
          <w:marRight w:val="0"/>
          <w:marTop w:val="0"/>
          <w:marBottom w:val="0"/>
          <w:divBdr>
            <w:top w:val="none" w:sz="0" w:space="0" w:color="auto"/>
            <w:left w:val="none" w:sz="0" w:space="0" w:color="auto"/>
            <w:bottom w:val="none" w:sz="0" w:space="0" w:color="auto"/>
            <w:right w:val="none" w:sz="0" w:space="0" w:color="auto"/>
          </w:divBdr>
        </w:div>
      </w:divsChild>
    </w:div>
    <w:div w:id="1837453672">
      <w:bodyDiv w:val="1"/>
      <w:marLeft w:val="0"/>
      <w:marRight w:val="0"/>
      <w:marTop w:val="0"/>
      <w:marBottom w:val="0"/>
      <w:divBdr>
        <w:top w:val="none" w:sz="0" w:space="0" w:color="auto"/>
        <w:left w:val="none" w:sz="0" w:space="0" w:color="auto"/>
        <w:bottom w:val="none" w:sz="0" w:space="0" w:color="auto"/>
        <w:right w:val="none" w:sz="0" w:space="0" w:color="auto"/>
      </w:divBdr>
      <w:divsChild>
        <w:div w:id="1591350062">
          <w:marLeft w:val="0"/>
          <w:marRight w:val="0"/>
          <w:marTop w:val="0"/>
          <w:marBottom w:val="0"/>
          <w:divBdr>
            <w:top w:val="none" w:sz="0" w:space="0" w:color="auto"/>
            <w:left w:val="none" w:sz="0" w:space="0" w:color="auto"/>
            <w:bottom w:val="none" w:sz="0" w:space="0" w:color="auto"/>
            <w:right w:val="none" w:sz="0" w:space="0" w:color="auto"/>
          </w:divBdr>
        </w:div>
        <w:div w:id="1722094299">
          <w:marLeft w:val="0"/>
          <w:marRight w:val="0"/>
          <w:marTop w:val="0"/>
          <w:marBottom w:val="0"/>
          <w:divBdr>
            <w:top w:val="none" w:sz="0" w:space="0" w:color="auto"/>
            <w:left w:val="none" w:sz="0" w:space="0" w:color="auto"/>
            <w:bottom w:val="none" w:sz="0" w:space="0" w:color="auto"/>
            <w:right w:val="none" w:sz="0" w:space="0" w:color="auto"/>
          </w:divBdr>
        </w:div>
        <w:div w:id="19829996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12</Pages>
  <Words>5317</Words>
  <Characters>30313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Conference-paper-template</vt:lpstr>
    </vt:vector>
  </TitlesOfParts>
  <Company>ARRB Transport Research Ltd</Company>
  <LinksUpToDate>false</LinksUpToDate>
  <CharactersWithSpaces>35559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Conference-paper-template</dc:title>
  <dc:creator>%USERPROFILE%</dc:creator>
  <cp:lastModifiedBy>Andreas Nataatmadja</cp:lastModifiedBy>
  <cp:revision>4</cp:revision>
  <cp:lastPrinted>2016-07-04T04:24:00Z</cp:lastPrinted>
  <dcterms:created xsi:type="dcterms:W3CDTF">2016-10-04T05:04:00Z</dcterms:created>
  <dcterms:modified xsi:type="dcterms:W3CDTF">2016-10-11T05:24:00Z</dcterms:modified>
</cp:coreProperties>
</file>