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8A6F4" w14:textId="0E01FF4F" w:rsidR="0073069E" w:rsidRPr="00166772" w:rsidRDefault="0073069E" w:rsidP="005E3605">
      <w:pPr>
        <w:spacing w:line="480" w:lineRule="auto"/>
        <w:jc w:val="center"/>
        <w:rPr>
          <w:rFonts w:ascii="Arial" w:hAnsi="Arial" w:cs="Arial"/>
          <w:b/>
        </w:rPr>
      </w:pPr>
      <w:r w:rsidRPr="00166772">
        <w:rPr>
          <w:rFonts w:ascii="Arial" w:hAnsi="Arial" w:cs="Arial"/>
          <w:b/>
        </w:rPr>
        <w:t>SHIFT WORK</w:t>
      </w:r>
      <w:r w:rsidR="006E5314" w:rsidRPr="00166772">
        <w:rPr>
          <w:rFonts w:ascii="Arial" w:hAnsi="Arial" w:cs="Arial"/>
          <w:b/>
        </w:rPr>
        <w:t xml:space="preserve"> AND </w:t>
      </w:r>
      <w:r w:rsidR="00AB554B" w:rsidRPr="00166772">
        <w:rPr>
          <w:rFonts w:ascii="Arial" w:hAnsi="Arial" w:cs="Arial"/>
          <w:b/>
        </w:rPr>
        <w:t>POOR</w:t>
      </w:r>
      <w:r w:rsidR="006E5314" w:rsidRPr="00166772">
        <w:rPr>
          <w:rFonts w:ascii="Arial" w:hAnsi="Arial" w:cs="Arial"/>
          <w:b/>
        </w:rPr>
        <w:t xml:space="preserve"> MENTAL HEALTH</w:t>
      </w:r>
      <w:r w:rsidRPr="00166772">
        <w:rPr>
          <w:rFonts w:ascii="Arial" w:hAnsi="Arial" w:cs="Arial"/>
          <w:b/>
        </w:rPr>
        <w:t xml:space="preserve"> A META-ANALYSIS</w:t>
      </w:r>
      <w:r w:rsidRPr="00166772" w:rsidDel="00A57047">
        <w:rPr>
          <w:rFonts w:ascii="Arial" w:hAnsi="Arial" w:cs="Arial"/>
          <w:b/>
        </w:rPr>
        <w:t xml:space="preserve"> </w:t>
      </w:r>
      <w:r w:rsidRPr="00166772">
        <w:rPr>
          <w:rFonts w:ascii="Arial" w:hAnsi="Arial" w:cs="Arial"/>
          <w:b/>
        </w:rPr>
        <w:t>OF LONGITUDINAL STUDIES</w:t>
      </w:r>
    </w:p>
    <w:p w14:paraId="7597ECC8" w14:textId="2A7B9773" w:rsidR="00861232" w:rsidRPr="00EF5BCE" w:rsidRDefault="00861232" w:rsidP="00861232">
      <w:pPr>
        <w:pStyle w:val="Authors"/>
        <w:spacing w:line="480" w:lineRule="auto"/>
      </w:pPr>
      <w:r w:rsidRPr="00D274C9">
        <w:t>Luciana Torquati</w:t>
      </w:r>
      <w:r w:rsidRPr="00861232">
        <w:rPr>
          <w:vertAlign w:val="superscript"/>
        </w:rPr>
        <w:t>1,2</w:t>
      </w:r>
      <w:r>
        <w:t>, PhD</w:t>
      </w:r>
      <w:r w:rsidRPr="00D274C9">
        <w:t>, Gregore I. Mielke</w:t>
      </w:r>
      <w:r w:rsidRPr="00861232">
        <w:rPr>
          <w:vertAlign w:val="superscript"/>
        </w:rPr>
        <w:t>2</w:t>
      </w:r>
      <w:r w:rsidRPr="00D274C9">
        <w:t>,</w:t>
      </w:r>
      <w:r>
        <w:t xml:space="preserve"> PhD,</w:t>
      </w:r>
      <w:r w:rsidRPr="00D274C9">
        <w:t xml:space="preserve"> Wendy J. Brown</w:t>
      </w:r>
      <w:r w:rsidRPr="00861232">
        <w:rPr>
          <w:vertAlign w:val="superscript"/>
        </w:rPr>
        <w:t>2</w:t>
      </w:r>
      <w:r w:rsidRPr="00D274C9">
        <w:t>,</w:t>
      </w:r>
      <w:r>
        <w:t xml:space="preserve"> PhD,</w:t>
      </w:r>
      <w:r w:rsidRPr="00D274C9">
        <w:t xml:space="preserve"> Nicola W. Burton</w:t>
      </w:r>
      <w:r w:rsidRPr="00861232">
        <w:rPr>
          <w:vertAlign w:val="superscript"/>
        </w:rPr>
        <w:t>3</w:t>
      </w:r>
      <w:r w:rsidRPr="00D274C9">
        <w:t>,</w:t>
      </w:r>
      <w:r>
        <w:t xml:space="preserve"> PhD,</w:t>
      </w:r>
      <w:r w:rsidRPr="00D274C9">
        <w:t xml:space="preserve"> </w:t>
      </w:r>
      <w:r>
        <w:t xml:space="preserve">and </w:t>
      </w:r>
      <w:r w:rsidRPr="00D274C9">
        <w:t>Tracy L. Kolbe-Alexander</w:t>
      </w:r>
      <w:r w:rsidRPr="00861232">
        <w:rPr>
          <w:vertAlign w:val="superscript"/>
        </w:rPr>
        <w:t>4</w:t>
      </w:r>
      <w:r>
        <w:t>, PhD</w:t>
      </w:r>
    </w:p>
    <w:p w14:paraId="6A85A66C" w14:textId="7C8EECDF" w:rsidR="00861232" w:rsidRDefault="00861232" w:rsidP="00861232">
      <w:pPr>
        <w:spacing w:line="360" w:lineRule="auto"/>
        <w:jc w:val="both"/>
        <w:rPr>
          <w:rFonts w:ascii="Arial" w:hAnsi="Arial" w:cs="Arial"/>
          <w:i/>
        </w:rPr>
      </w:pPr>
      <w:r w:rsidRPr="00861232">
        <w:rPr>
          <w:rFonts w:ascii="Arial" w:hAnsi="Arial" w:cs="Arial"/>
          <w:i/>
          <w:vertAlign w:val="superscript"/>
        </w:rPr>
        <w:t xml:space="preserve">1 </w:t>
      </w:r>
      <w:r w:rsidRPr="00861232">
        <w:rPr>
          <w:rFonts w:ascii="Arial" w:hAnsi="Arial" w:cs="Arial"/>
          <w:i/>
        </w:rPr>
        <w:t>Sport and Health Science</w:t>
      </w:r>
      <w:r>
        <w:rPr>
          <w:rFonts w:ascii="Arial" w:hAnsi="Arial" w:cs="Arial"/>
          <w:i/>
        </w:rPr>
        <w:t>s</w:t>
      </w:r>
      <w:bookmarkStart w:id="0" w:name="_GoBack"/>
      <w:bookmarkEnd w:id="0"/>
      <w:r w:rsidRPr="00861232">
        <w:rPr>
          <w:rFonts w:ascii="Arial" w:hAnsi="Arial" w:cs="Arial"/>
          <w:i/>
        </w:rPr>
        <w:t>, University of Exeter, United Kingdom</w:t>
      </w:r>
      <w:r>
        <w:rPr>
          <w:rFonts w:ascii="Arial" w:hAnsi="Arial" w:cs="Arial"/>
          <w:i/>
        </w:rPr>
        <w:t xml:space="preserve">; </w:t>
      </w:r>
      <w:r w:rsidRPr="00861232">
        <w:rPr>
          <w:rFonts w:ascii="Arial" w:hAnsi="Arial" w:cs="Arial"/>
          <w:i/>
          <w:vertAlign w:val="superscript"/>
        </w:rPr>
        <w:t>2</w:t>
      </w:r>
      <w:r w:rsidRPr="00861232">
        <w:rPr>
          <w:rFonts w:ascii="Arial" w:hAnsi="Arial" w:cs="Arial"/>
          <w:i/>
        </w:rPr>
        <w:t xml:space="preserve"> Human Movement and Nutrition Sciences, University of Queensland, Australia</w:t>
      </w:r>
      <w:r>
        <w:rPr>
          <w:rFonts w:ascii="Arial" w:hAnsi="Arial" w:cs="Arial"/>
          <w:i/>
        </w:rPr>
        <w:t xml:space="preserve">; </w:t>
      </w:r>
      <w:r w:rsidRPr="00861232">
        <w:rPr>
          <w:rFonts w:ascii="Arial" w:hAnsi="Arial" w:cs="Arial"/>
          <w:i/>
          <w:vertAlign w:val="superscript"/>
        </w:rPr>
        <w:t>3</w:t>
      </w:r>
      <w:r w:rsidRPr="00861232">
        <w:rPr>
          <w:rFonts w:ascii="Arial" w:hAnsi="Arial" w:cs="Arial"/>
          <w:i/>
        </w:rPr>
        <w:t xml:space="preserve"> School of Applied Psychology, Griffith University, Australia</w:t>
      </w:r>
      <w:r>
        <w:rPr>
          <w:rFonts w:ascii="Arial" w:hAnsi="Arial" w:cs="Arial"/>
          <w:i/>
        </w:rPr>
        <w:t xml:space="preserve">; </w:t>
      </w:r>
      <w:r>
        <w:rPr>
          <w:rFonts w:ascii="Arial" w:hAnsi="Arial" w:cs="Arial"/>
          <w:i/>
          <w:vertAlign w:val="superscript"/>
        </w:rPr>
        <w:t>4</w:t>
      </w:r>
      <w:r w:rsidRPr="00861232">
        <w:rPr>
          <w:rFonts w:ascii="Arial" w:hAnsi="Arial" w:cs="Arial"/>
          <w:i/>
        </w:rPr>
        <w:t xml:space="preserve"> School of Health and Wellbeing, University of Southern Queensland, Australia</w:t>
      </w:r>
    </w:p>
    <w:p w14:paraId="1FE36254" w14:textId="77777777" w:rsidR="00861232" w:rsidRPr="00861232" w:rsidRDefault="00861232" w:rsidP="00861232">
      <w:pPr>
        <w:spacing w:line="360" w:lineRule="auto"/>
        <w:jc w:val="both"/>
        <w:rPr>
          <w:rFonts w:ascii="Arial" w:hAnsi="Arial" w:cs="Arial"/>
          <w:i/>
          <w:vertAlign w:val="superscript"/>
        </w:rPr>
      </w:pPr>
    </w:p>
    <w:p w14:paraId="4399441C" w14:textId="77777777" w:rsidR="0073069E" w:rsidRPr="00166772" w:rsidRDefault="0073069E" w:rsidP="005E3605">
      <w:pPr>
        <w:spacing w:line="480" w:lineRule="auto"/>
        <w:jc w:val="both"/>
        <w:rPr>
          <w:rFonts w:ascii="Arial" w:hAnsi="Arial" w:cs="Arial"/>
          <w:b/>
        </w:rPr>
      </w:pPr>
      <w:r w:rsidRPr="00166772">
        <w:rPr>
          <w:rFonts w:ascii="Arial" w:hAnsi="Arial" w:cs="Arial"/>
          <w:b/>
        </w:rPr>
        <w:t xml:space="preserve">ABSTRACT </w:t>
      </w:r>
    </w:p>
    <w:p w14:paraId="69D6C51B" w14:textId="5F3FBAC3" w:rsidR="0073069E" w:rsidRPr="00166772" w:rsidRDefault="0073069E" w:rsidP="005E3605">
      <w:pPr>
        <w:spacing w:line="480" w:lineRule="auto"/>
        <w:jc w:val="both"/>
        <w:rPr>
          <w:rFonts w:ascii="Arial" w:hAnsi="Arial" w:cs="Arial"/>
          <w:lang w:val="en-GB"/>
        </w:rPr>
      </w:pPr>
      <w:r w:rsidRPr="00166772">
        <w:rPr>
          <w:rFonts w:ascii="Arial" w:hAnsi="Arial" w:cs="Arial"/>
        </w:rPr>
        <w:t xml:space="preserve">Objectives. To assess the pooled effects of shift work on </w:t>
      </w:r>
      <w:r w:rsidR="009F73DD" w:rsidRPr="00166772">
        <w:rPr>
          <w:rFonts w:ascii="Arial" w:hAnsi="Arial" w:cs="Arial"/>
        </w:rPr>
        <w:t>poor</w:t>
      </w:r>
      <w:r w:rsidR="00216B85" w:rsidRPr="00166772">
        <w:rPr>
          <w:rFonts w:ascii="Arial" w:hAnsi="Arial" w:cs="Arial"/>
        </w:rPr>
        <w:t xml:space="preserve"> </w:t>
      </w:r>
      <w:r w:rsidRPr="00166772">
        <w:rPr>
          <w:rFonts w:ascii="Arial" w:hAnsi="Arial" w:cs="Arial"/>
        </w:rPr>
        <w:t xml:space="preserve">mental health and evaluate whether these differ </w:t>
      </w:r>
      <w:r w:rsidR="00B46BB9" w:rsidRPr="00166772">
        <w:rPr>
          <w:rFonts w:ascii="Arial" w:hAnsi="Arial" w:cs="Arial"/>
        </w:rPr>
        <w:t>in</w:t>
      </w:r>
      <w:r w:rsidRPr="00166772">
        <w:rPr>
          <w:rFonts w:ascii="Arial" w:hAnsi="Arial" w:cs="Arial"/>
        </w:rPr>
        <w:t xml:space="preserve"> men and women.</w:t>
      </w:r>
      <w:r w:rsidRPr="00166772">
        <w:rPr>
          <w:rFonts w:ascii="Arial" w:hAnsi="Arial" w:cs="Arial"/>
          <w:lang w:val="en-GB"/>
        </w:rPr>
        <w:t> </w:t>
      </w:r>
    </w:p>
    <w:p w14:paraId="6F547BF7" w14:textId="21796C0C" w:rsidR="0073069E" w:rsidRPr="00166772" w:rsidRDefault="0073069E" w:rsidP="005E3605">
      <w:pPr>
        <w:spacing w:line="480" w:lineRule="auto"/>
        <w:jc w:val="both"/>
        <w:rPr>
          <w:rFonts w:ascii="Arial" w:hAnsi="Arial" w:cs="Arial"/>
          <w:lang w:val="en-GB"/>
        </w:rPr>
      </w:pPr>
      <w:r w:rsidRPr="00166772">
        <w:rPr>
          <w:rFonts w:ascii="Arial" w:hAnsi="Arial" w:cs="Arial"/>
        </w:rPr>
        <w:t xml:space="preserve">Method: PubMed, Scopus and Web of Science databases were searched for either longitudinal or case-control studies of shift work exposure associated with </w:t>
      </w:r>
      <w:r w:rsidR="006E5314" w:rsidRPr="00166772">
        <w:rPr>
          <w:rFonts w:ascii="Arial" w:hAnsi="Arial" w:cs="Arial"/>
        </w:rPr>
        <w:t xml:space="preserve">adverse </w:t>
      </w:r>
      <w:r w:rsidRPr="00166772">
        <w:rPr>
          <w:rFonts w:ascii="Arial" w:hAnsi="Arial" w:cs="Arial"/>
        </w:rPr>
        <w:t xml:space="preserve">mental health outcomes. </w:t>
      </w:r>
      <w:r w:rsidR="004B0DE0" w:rsidRPr="00166772">
        <w:rPr>
          <w:rFonts w:ascii="Arial" w:hAnsi="Arial" w:cs="Arial"/>
        </w:rPr>
        <w:t>These o</w:t>
      </w:r>
      <w:r w:rsidRPr="00166772">
        <w:rPr>
          <w:rFonts w:ascii="Arial" w:hAnsi="Arial" w:cs="Arial"/>
        </w:rPr>
        <w:t>utcomes were</w:t>
      </w:r>
      <w:r w:rsidR="004B0DE0" w:rsidRPr="00166772">
        <w:rPr>
          <w:rFonts w:ascii="Arial" w:hAnsi="Arial" w:cs="Arial"/>
        </w:rPr>
        <w:t xml:space="preserve"> </w:t>
      </w:r>
      <w:r w:rsidRPr="00166772">
        <w:rPr>
          <w:rFonts w:ascii="Arial" w:hAnsi="Arial" w:cs="Arial"/>
        </w:rPr>
        <w:t xml:space="preserve">grouped </w:t>
      </w:r>
      <w:r w:rsidR="00B46BB9" w:rsidRPr="00166772">
        <w:rPr>
          <w:rFonts w:ascii="Arial" w:hAnsi="Arial" w:cs="Arial"/>
        </w:rPr>
        <w:t>as:</w:t>
      </w:r>
      <w:r w:rsidRPr="00166772">
        <w:rPr>
          <w:rFonts w:ascii="Arial" w:hAnsi="Arial" w:cs="Arial"/>
        </w:rPr>
        <w:t xml:space="preserve"> anxiety symptoms, depressive symptoms or general </w:t>
      </w:r>
      <w:r w:rsidR="0078665E" w:rsidRPr="00166772">
        <w:rPr>
          <w:rFonts w:ascii="Arial" w:hAnsi="Arial" w:cs="Arial"/>
        </w:rPr>
        <w:t xml:space="preserve">poor </w:t>
      </w:r>
      <w:r w:rsidRPr="00166772">
        <w:rPr>
          <w:rFonts w:ascii="Arial" w:hAnsi="Arial" w:cs="Arial"/>
        </w:rPr>
        <w:t>mental health</w:t>
      </w:r>
      <w:r w:rsidR="00216B85" w:rsidRPr="00166772">
        <w:rPr>
          <w:rFonts w:ascii="Arial" w:hAnsi="Arial" w:cs="Arial"/>
        </w:rPr>
        <w:t xml:space="preserve"> symptoms</w:t>
      </w:r>
      <w:r w:rsidRPr="00166772">
        <w:rPr>
          <w:rFonts w:ascii="Arial" w:hAnsi="Arial" w:cs="Arial"/>
        </w:rPr>
        <w:t>. We calculate pooled effect sizes (ES) using random-effect models, and meta-regression analysis to explore sources of heterogeneity.</w:t>
      </w:r>
      <w:r w:rsidRPr="00166772">
        <w:rPr>
          <w:rFonts w:ascii="Arial" w:hAnsi="Arial" w:cs="Arial"/>
          <w:lang w:val="en-GB"/>
        </w:rPr>
        <w:t> </w:t>
      </w:r>
    </w:p>
    <w:p w14:paraId="1724A6CC" w14:textId="7E345C46" w:rsidR="0073069E" w:rsidRPr="00166772" w:rsidRDefault="0073069E" w:rsidP="005E3605">
      <w:pPr>
        <w:spacing w:line="480" w:lineRule="auto"/>
        <w:jc w:val="both"/>
        <w:rPr>
          <w:rFonts w:ascii="Arial" w:hAnsi="Arial" w:cs="Arial"/>
          <w:lang w:val="en-GB"/>
        </w:rPr>
      </w:pPr>
      <w:r w:rsidRPr="00166772">
        <w:rPr>
          <w:rFonts w:ascii="Arial" w:hAnsi="Arial" w:cs="Arial"/>
        </w:rPr>
        <w:t xml:space="preserve">Results: Seven articles were included, with 28,431 unique participants. Compared </w:t>
      </w:r>
      <w:r w:rsidR="00B46BB9" w:rsidRPr="00166772">
        <w:rPr>
          <w:rFonts w:ascii="Arial" w:hAnsi="Arial" w:cs="Arial"/>
        </w:rPr>
        <w:t>with</w:t>
      </w:r>
      <w:r w:rsidRPr="00166772">
        <w:rPr>
          <w:rFonts w:ascii="Arial" w:hAnsi="Arial" w:cs="Arial"/>
        </w:rPr>
        <w:t xml:space="preserve"> day workers, shift workers had a higher risk of </w:t>
      </w:r>
      <w:r w:rsidR="009C7600" w:rsidRPr="00166772">
        <w:rPr>
          <w:rFonts w:ascii="Arial" w:hAnsi="Arial" w:cs="Arial"/>
        </w:rPr>
        <w:t xml:space="preserve">any </w:t>
      </w:r>
      <w:r w:rsidR="004B0DE0" w:rsidRPr="00166772">
        <w:rPr>
          <w:rFonts w:ascii="Arial" w:hAnsi="Arial" w:cs="Arial"/>
        </w:rPr>
        <w:t>adverse mental</w:t>
      </w:r>
      <w:r w:rsidR="009C7600" w:rsidRPr="00166772">
        <w:rPr>
          <w:rFonts w:ascii="Arial" w:hAnsi="Arial" w:cs="Arial"/>
        </w:rPr>
        <w:t xml:space="preserve"> health </w:t>
      </w:r>
      <w:r w:rsidR="009F73DD" w:rsidRPr="00166772">
        <w:rPr>
          <w:rFonts w:ascii="Arial" w:hAnsi="Arial" w:cs="Arial"/>
        </w:rPr>
        <w:t xml:space="preserve">outcomes </w:t>
      </w:r>
      <w:r w:rsidR="009C7600" w:rsidRPr="00166772">
        <w:rPr>
          <w:rFonts w:ascii="Arial" w:hAnsi="Arial" w:cs="Arial"/>
        </w:rPr>
        <w:t>(ES: 1.28; 95%CI: 1.02-1.62, I</w:t>
      </w:r>
      <w:r w:rsidR="009C7600" w:rsidRPr="00166772">
        <w:rPr>
          <w:rFonts w:ascii="Arial" w:hAnsi="Arial" w:cs="Arial"/>
          <w:vertAlign w:val="superscript"/>
        </w:rPr>
        <w:t>2</w:t>
      </w:r>
      <w:r w:rsidR="009C7600" w:rsidRPr="00166772">
        <w:rPr>
          <w:rFonts w:ascii="Arial" w:hAnsi="Arial" w:cs="Arial"/>
        </w:rPr>
        <w:t xml:space="preserve">:70.6%), specifically </w:t>
      </w:r>
      <w:r w:rsidR="004B0DE0" w:rsidRPr="00166772">
        <w:rPr>
          <w:rFonts w:ascii="Arial" w:hAnsi="Arial" w:cs="Arial"/>
        </w:rPr>
        <w:t>for</w:t>
      </w:r>
      <w:r w:rsidR="009C7600" w:rsidRPr="00166772">
        <w:rPr>
          <w:rFonts w:ascii="Arial" w:hAnsi="Arial" w:cs="Arial"/>
        </w:rPr>
        <w:t xml:space="preserve"> </w:t>
      </w:r>
      <w:r w:rsidR="00216B85" w:rsidRPr="00166772">
        <w:rPr>
          <w:rFonts w:ascii="Arial" w:hAnsi="Arial" w:cs="Arial"/>
        </w:rPr>
        <w:t>depressive symptoms (ES: 1.33; 95%CI: 1.02-1.74, I</w:t>
      </w:r>
      <w:r w:rsidR="00216B85" w:rsidRPr="00166772">
        <w:rPr>
          <w:rFonts w:ascii="Arial" w:hAnsi="Arial" w:cs="Arial"/>
          <w:vertAlign w:val="superscript"/>
        </w:rPr>
        <w:t>2</w:t>
      </w:r>
      <w:r w:rsidR="00216B85" w:rsidRPr="00166772">
        <w:rPr>
          <w:rFonts w:ascii="Arial" w:hAnsi="Arial" w:cs="Arial"/>
        </w:rPr>
        <w:t>: 31.5%)</w:t>
      </w:r>
      <w:r w:rsidR="009C7600" w:rsidRPr="00166772">
        <w:rPr>
          <w:rFonts w:ascii="Arial" w:hAnsi="Arial" w:cs="Arial"/>
        </w:rPr>
        <w:t>.</w:t>
      </w:r>
      <w:r w:rsidRPr="00166772">
        <w:rPr>
          <w:rFonts w:ascii="Arial" w:hAnsi="Arial" w:cs="Arial"/>
        </w:rPr>
        <w:t>Gender and overall risk of bias explained 90% and 0.61% of the heterogeneity of results</w:t>
      </w:r>
      <w:r w:rsidR="00B46BB9" w:rsidRPr="00166772">
        <w:rPr>
          <w:rFonts w:ascii="Arial" w:hAnsi="Arial" w:cs="Arial"/>
        </w:rPr>
        <w:t>, respectively</w:t>
      </w:r>
      <w:r w:rsidRPr="00166772">
        <w:rPr>
          <w:rFonts w:ascii="Arial" w:hAnsi="Arial" w:cs="Arial"/>
        </w:rPr>
        <w:t xml:space="preserve">. Sensitivity analysis showed </w:t>
      </w:r>
      <w:r w:rsidR="00B46BB9" w:rsidRPr="00166772">
        <w:rPr>
          <w:rFonts w:ascii="Arial" w:hAnsi="Arial" w:cs="Arial"/>
        </w:rPr>
        <w:t xml:space="preserve">that the </w:t>
      </w:r>
      <w:r w:rsidR="00216343" w:rsidRPr="00166772">
        <w:rPr>
          <w:rFonts w:ascii="Arial" w:hAnsi="Arial" w:cs="Arial"/>
        </w:rPr>
        <w:t xml:space="preserve">pooled </w:t>
      </w:r>
      <w:r w:rsidR="00371066" w:rsidRPr="00166772">
        <w:rPr>
          <w:rFonts w:ascii="Arial" w:hAnsi="Arial" w:cs="Arial"/>
        </w:rPr>
        <w:t>effect size for</w:t>
      </w:r>
      <w:r w:rsidRPr="00166772">
        <w:rPr>
          <w:rFonts w:ascii="Arial" w:hAnsi="Arial" w:cs="Arial"/>
        </w:rPr>
        <w:t xml:space="preserve"> </w:t>
      </w:r>
      <w:r w:rsidR="004B0DE0" w:rsidRPr="00166772">
        <w:rPr>
          <w:rFonts w:ascii="Arial" w:hAnsi="Arial" w:cs="Arial"/>
        </w:rPr>
        <w:t xml:space="preserve">adverse mental health outcome </w:t>
      </w:r>
      <w:r w:rsidR="00371066" w:rsidRPr="00166772">
        <w:rPr>
          <w:rFonts w:ascii="Arial" w:hAnsi="Arial" w:cs="Arial"/>
        </w:rPr>
        <w:t xml:space="preserve">was higher </w:t>
      </w:r>
      <w:r w:rsidRPr="00166772">
        <w:rPr>
          <w:rFonts w:ascii="Arial" w:hAnsi="Arial" w:cs="Arial"/>
        </w:rPr>
        <w:t xml:space="preserve">in female shift workers </w:t>
      </w:r>
      <w:r w:rsidR="00371066" w:rsidRPr="00166772">
        <w:rPr>
          <w:rFonts w:ascii="Arial" w:hAnsi="Arial" w:cs="Arial"/>
        </w:rPr>
        <w:t>than</w:t>
      </w:r>
      <w:r w:rsidRPr="00166772">
        <w:rPr>
          <w:rFonts w:ascii="Arial" w:hAnsi="Arial" w:cs="Arial"/>
        </w:rPr>
        <w:t xml:space="preserve"> </w:t>
      </w:r>
      <w:r w:rsidR="00B46BB9" w:rsidRPr="00166772">
        <w:rPr>
          <w:rFonts w:ascii="Arial" w:hAnsi="Arial" w:cs="Arial"/>
        </w:rPr>
        <w:t xml:space="preserve">female </w:t>
      </w:r>
      <w:r w:rsidRPr="00166772">
        <w:rPr>
          <w:rFonts w:ascii="Arial" w:hAnsi="Arial" w:cs="Arial"/>
        </w:rPr>
        <w:t>day workers (</w:t>
      </w:r>
      <w:r w:rsidR="00371066" w:rsidRPr="00166772">
        <w:rPr>
          <w:rFonts w:ascii="Arial" w:hAnsi="Arial" w:cs="Arial"/>
        </w:rPr>
        <w:t>ES</w:t>
      </w:r>
      <w:r w:rsidRPr="00166772">
        <w:rPr>
          <w:rFonts w:ascii="Arial" w:hAnsi="Arial" w:cs="Arial"/>
        </w:rPr>
        <w:t xml:space="preserve"> 1.73, 95%CI 1.09-2.76).</w:t>
      </w:r>
      <w:r w:rsidRPr="00166772">
        <w:rPr>
          <w:rFonts w:ascii="Arial" w:hAnsi="Arial" w:cs="Arial"/>
          <w:lang w:val="en-GB"/>
        </w:rPr>
        <w:t> </w:t>
      </w:r>
      <w:r w:rsidR="00371066" w:rsidRPr="00166772">
        <w:rPr>
          <w:rFonts w:ascii="Arial" w:hAnsi="Arial" w:cs="Arial"/>
          <w:lang w:val="en-GB"/>
        </w:rPr>
        <w:t xml:space="preserve"> </w:t>
      </w:r>
    </w:p>
    <w:p w14:paraId="741FA185" w14:textId="1F977DC8" w:rsidR="0073069E" w:rsidRPr="00166772" w:rsidRDefault="0073069E" w:rsidP="005E3605">
      <w:pPr>
        <w:spacing w:line="480" w:lineRule="auto"/>
        <w:jc w:val="both"/>
        <w:rPr>
          <w:rFonts w:ascii="Arial" w:hAnsi="Arial" w:cs="Arial"/>
          <w:lang w:val="en-GB"/>
        </w:rPr>
      </w:pPr>
      <w:r w:rsidRPr="00166772">
        <w:rPr>
          <w:rFonts w:ascii="Arial" w:hAnsi="Arial" w:cs="Arial"/>
        </w:rPr>
        <w:lastRenderedPageBreak/>
        <w:t xml:space="preserve">Conclusions: Shift workers, in particular women, are at increased risk of depressive symptoms and </w:t>
      </w:r>
      <w:r w:rsidR="00BD6EBA" w:rsidRPr="00166772">
        <w:rPr>
          <w:rFonts w:ascii="Arial" w:hAnsi="Arial" w:cs="Arial"/>
        </w:rPr>
        <w:t>adverse</w:t>
      </w:r>
      <w:r w:rsidR="0078665E" w:rsidRPr="00166772">
        <w:rPr>
          <w:rFonts w:ascii="Arial" w:hAnsi="Arial" w:cs="Arial"/>
        </w:rPr>
        <w:t xml:space="preserve"> </w:t>
      </w:r>
      <w:r w:rsidRPr="00166772">
        <w:rPr>
          <w:rFonts w:ascii="Arial" w:hAnsi="Arial" w:cs="Arial"/>
        </w:rPr>
        <w:t>mental health</w:t>
      </w:r>
      <w:r w:rsidR="00BD6EBA" w:rsidRPr="00166772">
        <w:rPr>
          <w:rFonts w:ascii="Arial" w:hAnsi="Arial" w:cs="Arial"/>
        </w:rPr>
        <w:t xml:space="preserve"> outcomes</w:t>
      </w:r>
      <w:r w:rsidRPr="00166772">
        <w:rPr>
          <w:rFonts w:ascii="Arial" w:hAnsi="Arial" w:cs="Arial"/>
        </w:rPr>
        <w:t xml:space="preserve">. </w:t>
      </w:r>
      <w:r w:rsidR="00662DB2" w:rsidRPr="00166772">
        <w:rPr>
          <w:rFonts w:ascii="Arial" w:hAnsi="Arial" w:cs="Arial"/>
        </w:rPr>
        <w:t>W</w:t>
      </w:r>
      <w:r w:rsidRPr="00166772">
        <w:rPr>
          <w:rFonts w:ascii="Arial" w:hAnsi="Arial" w:cs="Arial"/>
        </w:rPr>
        <w:t xml:space="preserve">orkplace health promotion programs and policies </w:t>
      </w:r>
      <w:r w:rsidR="006E5314" w:rsidRPr="00166772">
        <w:rPr>
          <w:rFonts w:ascii="Arial" w:hAnsi="Arial" w:cs="Arial"/>
        </w:rPr>
        <w:t xml:space="preserve">are needed to </w:t>
      </w:r>
      <w:r w:rsidRPr="00166772">
        <w:rPr>
          <w:rFonts w:ascii="Arial" w:hAnsi="Arial" w:cs="Arial"/>
        </w:rPr>
        <w:t xml:space="preserve">minimise shift workers’ risk of </w:t>
      </w:r>
      <w:r w:rsidR="00BD6EBA" w:rsidRPr="00166772">
        <w:rPr>
          <w:rFonts w:ascii="Arial" w:hAnsi="Arial" w:cs="Arial"/>
        </w:rPr>
        <w:t>poor</w:t>
      </w:r>
      <w:r w:rsidR="00216B85" w:rsidRPr="00166772">
        <w:rPr>
          <w:rFonts w:ascii="Arial" w:hAnsi="Arial" w:cs="Arial"/>
        </w:rPr>
        <w:t xml:space="preserve"> </w:t>
      </w:r>
      <w:r w:rsidRPr="00166772">
        <w:rPr>
          <w:rFonts w:ascii="Arial" w:hAnsi="Arial" w:cs="Arial"/>
        </w:rPr>
        <w:t>mental health. </w:t>
      </w:r>
      <w:r w:rsidRPr="00166772">
        <w:rPr>
          <w:rFonts w:ascii="Arial" w:hAnsi="Arial" w:cs="Arial"/>
          <w:lang w:val="en-GB"/>
        </w:rPr>
        <w:t> </w:t>
      </w:r>
    </w:p>
    <w:p w14:paraId="7C845B1B" w14:textId="77777777" w:rsidR="0073069E" w:rsidRPr="00166772" w:rsidRDefault="0073069E" w:rsidP="005E3605">
      <w:pPr>
        <w:pageBreakBefore/>
        <w:spacing w:after="240" w:line="480" w:lineRule="auto"/>
        <w:jc w:val="both"/>
        <w:rPr>
          <w:rFonts w:ascii="Arial" w:hAnsi="Arial" w:cs="Arial"/>
          <w:b/>
        </w:rPr>
      </w:pPr>
      <w:r w:rsidRPr="00166772">
        <w:rPr>
          <w:rFonts w:ascii="Arial" w:hAnsi="Arial" w:cs="Arial"/>
          <w:b/>
        </w:rPr>
        <w:lastRenderedPageBreak/>
        <w:t>BACKGROUND</w:t>
      </w:r>
    </w:p>
    <w:p w14:paraId="7CA81B4F" w14:textId="7C5703C2" w:rsidR="0073069E" w:rsidRPr="00166772" w:rsidRDefault="0073069E" w:rsidP="005E3605">
      <w:pPr>
        <w:spacing w:line="480" w:lineRule="auto"/>
        <w:jc w:val="both"/>
        <w:rPr>
          <w:rFonts w:ascii="Arial" w:hAnsi="Arial" w:cs="Arial"/>
        </w:rPr>
      </w:pPr>
      <w:r w:rsidRPr="00166772">
        <w:rPr>
          <w:rFonts w:ascii="Arial" w:hAnsi="Arial" w:cs="Arial"/>
        </w:rPr>
        <w:t>Shift work is characterised by alternating and rotating morning, afternoon, and night shifts, with employees often working outside the standard hours of 7am to 6pm</w:t>
      </w:r>
      <w:r w:rsidRPr="00166772">
        <w:rPr>
          <w:rFonts w:ascii="Arial" w:hAnsi="Arial" w:cs="Arial"/>
          <w:noProof/>
          <w:vertAlign w:val="superscript"/>
        </w:rPr>
        <w:t>1</w:t>
      </w:r>
      <w:r w:rsidRPr="00166772">
        <w:rPr>
          <w:rFonts w:ascii="Arial" w:hAnsi="Arial" w:cs="Arial"/>
        </w:rPr>
        <w:t>. About 20% of the working population in the United States, Australia and Europe are engaged in this work pattern</w:t>
      </w:r>
      <w:r w:rsidRPr="00166772">
        <w:rPr>
          <w:rFonts w:ascii="Arial" w:hAnsi="Arial" w:cs="Arial"/>
          <w:noProof/>
          <w:vertAlign w:val="superscript"/>
        </w:rPr>
        <w:t>2, 3</w:t>
      </w:r>
      <w:r w:rsidRPr="00166772">
        <w:rPr>
          <w:rFonts w:ascii="Arial" w:hAnsi="Arial" w:cs="Arial"/>
        </w:rPr>
        <w:t>. Given service and production demands, industries in the transport, hospitality, manufacturing and health-care sectors depend on shift work</w:t>
      </w:r>
      <w:r w:rsidRPr="00166772">
        <w:rPr>
          <w:rFonts w:ascii="Arial" w:hAnsi="Arial" w:cs="Arial"/>
          <w:noProof/>
          <w:vertAlign w:val="superscript"/>
        </w:rPr>
        <w:t>3</w:t>
      </w:r>
      <w:r w:rsidRPr="00166772">
        <w:rPr>
          <w:rFonts w:ascii="Arial" w:hAnsi="Arial" w:cs="Arial"/>
        </w:rPr>
        <w:t>. Because shift work includes night work, the normal sleep-wake cycle (circadian rhythm) is disrupted, with potential consequences for shift workers’ physical and mental health</w:t>
      </w:r>
      <w:r w:rsidRPr="00166772">
        <w:rPr>
          <w:rFonts w:ascii="Arial" w:hAnsi="Arial" w:cs="Arial"/>
          <w:noProof/>
          <w:vertAlign w:val="superscript"/>
        </w:rPr>
        <w:t>4, 5</w:t>
      </w:r>
      <w:r w:rsidRPr="00166772">
        <w:rPr>
          <w:rFonts w:ascii="Arial" w:hAnsi="Arial" w:cs="Arial"/>
        </w:rPr>
        <w:t>.</w:t>
      </w:r>
    </w:p>
    <w:p w14:paraId="582C9351" w14:textId="01A3C606" w:rsidR="0073069E" w:rsidRPr="00166772" w:rsidRDefault="0073069E" w:rsidP="005E3605">
      <w:pPr>
        <w:pStyle w:val="NormalWeb"/>
        <w:spacing w:line="480" w:lineRule="auto"/>
        <w:jc w:val="both"/>
        <w:rPr>
          <w:rFonts w:ascii="Arial" w:hAnsi="Arial" w:cs="Arial"/>
          <w:sz w:val="24"/>
          <w:szCs w:val="24"/>
        </w:rPr>
      </w:pPr>
      <w:r w:rsidRPr="00166772">
        <w:rPr>
          <w:rFonts w:ascii="Arial" w:hAnsi="Arial" w:cs="Arial"/>
          <w:sz w:val="24"/>
          <w:szCs w:val="24"/>
        </w:rPr>
        <w:t>Altered sleep patterns due to shift work have been associated with irritability, depressed mood, anxiety and nervousness</w:t>
      </w:r>
      <w:r w:rsidRPr="00166772">
        <w:rPr>
          <w:rFonts w:ascii="Arial" w:hAnsi="Arial" w:cs="Arial"/>
          <w:noProof/>
          <w:sz w:val="24"/>
          <w:szCs w:val="24"/>
          <w:vertAlign w:val="superscript"/>
        </w:rPr>
        <w:t>6, 7</w:t>
      </w:r>
      <w:r w:rsidRPr="00166772">
        <w:rPr>
          <w:rFonts w:ascii="Arial" w:hAnsi="Arial" w:cs="Arial"/>
          <w:sz w:val="24"/>
          <w:szCs w:val="24"/>
        </w:rPr>
        <w:t>. Sleeping at odd times of the day, together with shift schedules, create challenges for maintaining healthy work-life balance in shift workers, as opportunities for family, social, and leisure activities are constrained</w:t>
      </w:r>
      <w:r w:rsidRPr="00166772">
        <w:rPr>
          <w:rFonts w:ascii="Arial" w:hAnsi="Arial" w:cs="Arial"/>
          <w:noProof/>
          <w:sz w:val="24"/>
          <w:szCs w:val="24"/>
          <w:vertAlign w:val="superscript"/>
        </w:rPr>
        <w:t>8, 9</w:t>
      </w:r>
      <w:r w:rsidRPr="00166772">
        <w:rPr>
          <w:rFonts w:ascii="Arial" w:hAnsi="Arial" w:cs="Arial"/>
          <w:sz w:val="24"/>
          <w:szCs w:val="24"/>
        </w:rPr>
        <w:t xml:space="preserve">. This may lead to social isolation and contribute to poor mental health in this </w:t>
      </w:r>
      <w:r w:rsidR="001E7B64" w:rsidRPr="00166772">
        <w:rPr>
          <w:rFonts w:ascii="Arial" w:hAnsi="Arial" w:cs="Arial"/>
          <w:sz w:val="24"/>
          <w:szCs w:val="24"/>
        </w:rPr>
        <w:t xml:space="preserve">occupational </w:t>
      </w:r>
      <w:r w:rsidRPr="00166772">
        <w:rPr>
          <w:rFonts w:ascii="Arial" w:hAnsi="Arial" w:cs="Arial"/>
          <w:sz w:val="24"/>
          <w:szCs w:val="24"/>
        </w:rPr>
        <w:t>group</w:t>
      </w:r>
      <w:r w:rsidRPr="00166772">
        <w:rPr>
          <w:rFonts w:ascii="Arial" w:hAnsi="Arial" w:cs="Arial"/>
          <w:noProof/>
          <w:sz w:val="24"/>
          <w:szCs w:val="24"/>
          <w:vertAlign w:val="superscript"/>
        </w:rPr>
        <w:t>8</w:t>
      </w:r>
      <w:r w:rsidRPr="00166772">
        <w:rPr>
          <w:rFonts w:ascii="Arial" w:hAnsi="Arial" w:cs="Arial"/>
          <w:sz w:val="24"/>
          <w:szCs w:val="24"/>
        </w:rPr>
        <w:t>. Mental disorders accounted for 14.4% of the total global burden of disease in 2017</w:t>
      </w:r>
      <w:r w:rsidRPr="00166772">
        <w:rPr>
          <w:sz w:val="24"/>
          <w:szCs w:val="24"/>
        </w:rPr>
        <w:t xml:space="preserve"> </w:t>
      </w:r>
      <w:r w:rsidRPr="00166772">
        <w:rPr>
          <w:rFonts w:ascii="Arial" w:hAnsi="Arial" w:cs="Arial"/>
          <w:noProof/>
          <w:sz w:val="24"/>
          <w:szCs w:val="24"/>
          <w:vertAlign w:val="superscript"/>
        </w:rPr>
        <w:t>10</w:t>
      </w:r>
      <w:r w:rsidRPr="00166772">
        <w:rPr>
          <w:sz w:val="24"/>
          <w:szCs w:val="24"/>
        </w:rPr>
        <w:t xml:space="preserve">, </w:t>
      </w:r>
      <w:r w:rsidRPr="00166772">
        <w:rPr>
          <w:rFonts w:ascii="Arial" w:hAnsi="Arial" w:cs="Arial"/>
          <w:sz w:val="24"/>
          <w:szCs w:val="24"/>
        </w:rPr>
        <w:t>and are estimated to cost billions of dollars to the health system</w:t>
      </w:r>
      <w:r w:rsidRPr="00166772">
        <w:rPr>
          <w:sz w:val="24"/>
          <w:szCs w:val="24"/>
        </w:rPr>
        <w:t xml:space="preserve"> </w:t>
      </w:r>
      <w:r w:rsidRPr="00166772">
        <w:rPr>
          <w:rFonts w:ascii="Arial" w:hAnsi="Arial" w:cs="Arial"/>
          <w:noProof/>
          <w:sz w:val="24"/>
          <w:szCs w:val="24"/>
          <w:vertAlign w:val="superscript"/>
        </w:rPr>
        <w:t>11</w:t>
      </w:r>
      <w:r w:rsidRPr="00166772">
        <w:rPr>
          <w:rFonts w:ascii="Arial" w:hAnsi="Arial" w:cs="Arial"/>
          <w:sz w:val="24"/>
          <w:szCs w:val="24"/>
        </w:rPr>
        <w:t>.</w:t>
      </w:r>
    </w:p>
    <w:p w14:paraId="411C80BD" w14:textId="06A516DD" w:rsidR="0073069E" w:rsidRPr="00166772" w:rsidRDefault="0073069E" w:rsidP="005E3605">
      <w:pPr>
        <w:pStyle w:val="NormalWeb"/>
        <w:spacing w:line="480" w:lineRule="auto"/>
        <w:jc w:val="both"/>
        <w:rPr>
          <w:rFonts w:ascii="Arial" w:hAnsi="Arial" w:cs="Arial"/>
          <w:sz w:val="24"/>
          <w:szCs w:val="24"/>
        </w:rPr>
      </w:pPr>
      <w:r w:rsidRPr="00166772">
        <w:rPr>
          <w:rFonts w:ascii="Arial" w:hAnsi="Arial" w:cs="Arial"/>
          <w:sz w:val="24"/>
          <w:szCs w:val="24"/>
        </w:rPr>
        <w:t>Cross-sectional studies have suggested a positive association between shift work and poor mental health.</w:t>
      </w:r>
      <w:r w:rsidRPr="00166772">
        <w:rPr>
          <w:rFonts w:ascii="Arial" w:hAnsi="Arial" w:cs="Arial"/>
          <w:noProof/>
          <w:sz w:val="24"/>
          <w:szCs w:val="24"/>
          <w:vertAlign w:val="superscript"/>
        </w:rPr>
        <w:t>12</w:t>
      </w:r>
      <w:r w:rsidRPr="00166772">
        <w:rPr>
          <w:rFonts w:ascii="Arial" w:hAnsi="Arial" w:cs="Arial"/>
          <w:sz w:val="24"/>
          <w:szCs w:val="24"/>
        </w:rPr>
        <w:t xml:space="preserve"> In a large cohort study of Dutch employees, Driesen et al. reported that shift workers were twice as likely to report depressed mood as those working day-only s</w:t>
      </w:r>
      <w:r w:rsidR="00B46BB9" w:rsidRPr="00166772">
        <w:rPr>
          <w:rFonts w:ascii="Arial" w:hAnsi="Arial" w:cs="Arial"/>
          <w:sz w:val="24"/>
          <w:szCs w:val="24"/>
        </w:rPr>
        <w:t>hifts (OR 2.05 95%CI 1.52-2.77).</w:t>
      </w:r>
      <w:r w:rsidRPr="00166772">
        <w:rPr>
          <w:rFonts w:ascii="Arial" w:hAnsi="Arial" w:cs="Arial"/>
          <w:noProof/>
          <w:sz w:val="24"/>
          <w:szCs w:val="24"/>
          <w:vertAlign w:val="superscript"/>
        </w:rPr>
        <w:t>12</w:t>
      </w:r>
      <w:r w:rsidRPr="00166772">
        <w:rPr>
          <w:rFonts w:ascii="Arial" w:hAnsi="Arial" w:cs="Arial"/>
          <w:sz w:val="24"/>
          <w:szCs w:val="24"/>
        </w:rPr>
        <w:t xml:space="preserve"> Similarly, Lee et al found that Korean nurses who worked shifts had 1.5 times greater odds of experiencing higher severity of depressive symptoms than non-shift workers (OR = 1.52, CI = 1.38–1.67) </w:t>
      </w:r>
      <w:r w:rsidRPr="00166772">
        <w:rPr>
          <w:rFonts w:ascii="Arial" w:hAnsi="Arial" w:cs="Arial"/>
          <w:noProof/>
          <w:sz w:val="24"/>
          <w:szCs w:val="24"/>
          <w:vertAlign w:val="superscript"/>
        </w:rPr>
        <w:t>13</w:t>
      </w:r>
      <w:r w:rsidRPr="00166772">
        <w:rPr>
          <w:rFonts w:ascii="Arial" w:hAnsi="Arial" w:cs="Arial"/>
          <w:sz w:val="24"/>
          <w:szCs w:val="24"/>
        </w:rPr>
        <w:t xml:space="preserve">. Longitudinal studies have however, provided conflicting results. Some studies </w:t>
      </w:r>
      <w:r w:rsidRPr="00166772">
        <w:rPr>
          <w:rFonts w:ascii="Arial" w:hAnsi="Arial" w:cs="Arial"/>
          <w:sz w:val="24"/>
          <w:szCs w:val="24"/>
        </w:rPr>
        <w:lastRenderedPageBreak/>
        <w:t>have found increased risks of anxiety and depression in shift workers</w:t>
      </w:r>
      <w:r w:rsidRPr="00166772">
        <w:rPr>
          <w:rFonts w:ascii="Arial" w:hAnsi="Arial" w:cs="Arial"/>
          <w:noProof/>
          <w:sz w:val="24"/>
          <w:szCs w:val="24"/>
          <w:vertAlign w:val="superscript"/>
        </w:rPr>
        <w:t>14, 15</w:t>
      </w:r>
      <w:r w:rsidRPr="00166772">
        <w:rPr>
          <w:rFonts w:ascii="Arial" w:hAnsi="Arial" w:cs="Arial"/>
          <w:sz w:val="24"/>
          <w:szCs w:val="24"/>
        </w:rPr>
        <w:t>, while others h</w:t>
      </w:r>
      <w:r w:rsidR="00B578E4" w:rsidRPr="00166772">
        <w:rPr>
          <w:rFonts w:ascii="Arial" w:hAnsi="Arial" w:cs="Arial"/>
          <w:sz w:val="24"/>
          <w:szCs w:val="24"/>
        </w:rPr>
        <w:t xml:space="preserve">ave found that shift workers </w:t>
      </w:r>
      <w:r w:rsidR="00662DB2" w:rsidRPr="00166772">
        <w:rPr>
          <w:rFonts w:ascii="Arial" w:hAnsi="Arial" w:cs="Arial"/>
          <w:sz w:val="24"/>
          <w:szCs w:val="24"/>
        </w:rPr>
        <w:t>s</w:t>
      </w:r>
      <w:r w:rsidR="00B578E4" w:rsidRPr="00166772">
        <w:rPr>
          <w:rFonts w:ascii="Arial" w:hAnsi="Arial" w:cs="Arial"/>
          <w:sz w:val="24"/>
          <w:szCs w:val="24"/>
        </w:rPr>
        <w:t>cored higher</w:t>
      </w:r>
      <w:r w:rsidR="00662DB2" w:rsidRPr="00166772">
        <w:rPr>
          <w:rFonts w:ascii="Arial" w:hAnsi="Arial" w:cs="Arial"/>
          <w:sz w:val="24"/>
          <w:szCs w:val="24"/>
        </w:rPr>
        <w:t xml:space="preserve"> for psychological wellbeing</w:t>
      </w:r>
      <w:r w:rsidR="00B578E4" w:rsidRPr="00166772">
        <w:rPr>
          <w:rFonts w:ascii="Arial" w:hAnsi="Arial" w:cs="Arial"/>
          <w:sz w:val="24"/>
          <w:szCs w:val="24"/>
        </w:rPr>
        <w:t xml:space="preserve"> and general mental health</w:t>
      </w:r>
      <w:r w:rsidRPr="00166772">
        <w:rPr>
          <w:rFonts w:ascii="Arial" w:hAnsi="Arial" w:cs="Arial"/>
          <w:sz w:val="24"/>
          <w:szCs w:val="24"/>
        </w:rPr>
        <w:t xml:space="preserve"> </w:t>
      </w:r>
      <w:r w:rsidR="00B46BB9" w:rsidRPr="00166772">
        <w:rPr>
          <w:rFonts w:ascii="Arial" w:hAnsi="Arial" w:cs="Arial"/>
          <w:sz w:val="24"/>
          <w:szCs w:val="24"/>
        </w:rPr>
        <w:t>than non-shift workers</w:t>
      </w:r>
      <w:r w:rsidRPr="00166772">
        <w:rPr>
          <w:rFonts w:ascii="Arial" w:hAnsi="Arial" w:cs="Arial"/>
          <w:noProof/>
          <w:sz w:val="24"/>
          <w:szCs w:val="24"/>
          <w:vertAlign w:val="superscript"/>
        </w:rPr>
        <w:t>16, 17</w:t>
      </w:r>
      <w:r w:rsidRPr="00166772">
        <w:rPr>
          <w:rFonts w:ascii="Arial" w:hAnsi="Arial" w:cs="Arial"/>
          <w:sz w:val="24"/>
          <w:szCs w:val="24"/>
        </w:rPr>
        <w:t>.  The contradictory findings from these studies may be explained by differences in occupations</w:t>
      </w:r>
      <w:r w:rsidR="009874BC" w:rsidRPr="00166772">
        <w:rPr>
          <w:rFonts w:ascii="Arial" w:hAnsi="Arial" w:cs="Arial"/>
          <w:sz w:val="24"/>
          <w:szCs w:val="24"/>
        </w:rPr>
        <w:t>,</w:t>
      </w:r>
      <w:r w:rsidRPr="00166772">
        <w:rPr>
          <w:rFonts w:ascii="Arial" w:hAnsi="Arial" w:cs="Arial"/>
          <w:sz w:val="24"/>
          <w:szCs w:val="24"/>
        </w:rPr>
        <w:t xml:space="preserve"> industry sectors and the context of shift work in different countries. </w:t>
      </w:r>
    </w:p>
    <w:p w14:paraId="7D83A53A" w14:textId="0B360E1A" w:rsidR="0073069E" w:rsidRPr="00166772" w:rsidRDefault="00AB554B" w:rsidP="005E3605">
      <w:pPr>
        <w:spacing w:line="480" w:lineRule="auto"/>
        <w:jc w:val="both"/>
        <w:rPr>
          <w:rFonts w:ascii="Arial" w:hAnsi="Arial" w:cs="Arial"/>
        </w:rPr>
      </w:pPr>
      <w:r w:rsidRPr="00166772">
        <w:rPr>
          <w:rFonts w:ascii="Arial" w:hAnsi="Arial" w:cs="Arial"/>
        </w:rPr>
        <w:t>T</w:t>
      </w:r>
      <w:r w:rsidR="0073069E" w:rsidRPr="00166772">
        <w:rPr>
          <w:rFonts w:ascii="Arial" w:hAnsi="Arial" w:cs="Arial"/>
        </w:rPr>
        <w:t xml:space="preserve">olerance to shift work </w:t>
      </w:r>
      <w:r w:rsidR="00DC7751" w:rsidRPr="00166772">
        <w:rPr>
          <w:rFonts w:ascii="Arial" w:hAnsi="Arial" w:cs="Arial"/>
        </w:rPr>
        <w:t xml:space="preserve">is </w:t>
      </w:r>
      <w:r w:rsidR="0073069E" w:rsidRPr="00166772">
        <w:rPr>
          <w:rFonts w:ascii="Arial" w:hAnsi="Arial" w:cs="Arial"/>
        </w:rPr>
        <w:t>defined as the ability to adapt to it without adverse health effects. This may explain individual differences in responses to shift work exposure</w:t>
      </w:r>
      <w:r w:rsidR="0073069E" w:rsidRPr="00166772">
        <w:rPr>
          <w:rFonts w:ascii="Arial" w:hAnsi="Arial" w:cs="Arial"/>
          <w:noProof/>
          <w:vertAlign w:val="superscript"/>
        </w:rPr>
        <w:t>18</w:t>
      </w:r>
      <w:r w:rsidR="0073069E" w:rsidRPr="00166772">
        <w:rPr>
          <w:rFonts w:ascii="Arial" w:hAnsi="Arial" w:cs="Arial"/>
        </w:rPr>
        <w:t xml:space="preserve">, as well as gender-differences. A recent systematic review of data from 60 studies of several occupations in 23 countries has shown that </w:t>
      </w:r>
      <w:r w:rsidR="0073069E" w:rsidRPr="00166772">
        <w:rPr>
          <w:rFonts w:ascii="Arial" w:hAnsi="Arial" w:cs="Arial"/>
          <w:lang w:val="en-US"/>
        </w:rPr>
        <w:t>male shift workers have better sleep and less fatigue than female shift workers.</w:t>
      </w:r>
      <w:r w:rsidR="0073069E" w:rsidRPr="00166772">
        <w:rPr>
          <w:rFonts w:ascii="Arial" w:hAnsi="Arial" w:cs="Arial"/>
          <w:noProof/>
          <w:vertAlign w:val="superscript"/>
        </w:rPr>
        <w:t>18</w:t>
      </w:r>
      <w:r w:rsidR="0073069E" w:rsidRPr="00166772">
        <w:rPr>
          <w:rFonts w:ascii="Arial" w:hAnsi="Arial" w:cs="Arial"/>
        </w:rPr>
        <w:t xml:space="preserve"> </w:t>
      </w:r>
      <w:r w:rsidRPr="00166772">
        <w:rPr>
          <w:rFonts w:ascii="Arial" w:hAnsi="Arial" w:cs="Arial"/>
        </w:rPr>
        <w:t>A</w:t>
      </w:r>
      <w:r w:rsidR="0073069E" w:rsidRPr="00166772">
        <w:rPr>
          <w:rFonts w:ascii="Arial" w:hAnsi="Arial" w:cs="Arial"/>
        </w:rPr>
        <w:t xml:space="preserve"> prospective study of working conditions in the general Swedish population has shown that female shift workers had </w:t>
      </w:r>
      <w:r w:rsidR="00B46BB9" w:rsidRPr="00166772">
        <w:rPr>
          <w:rFonts w:ascii="Arial" w:hAnsi="Arial" w:cs="Arial"/>
        </w:rPr>
        <w:t>higher</w:t>
      </w:r>
      <w:r w:rsidR="0073069E" w:rsidRPr="00166772">
        <w:rPr>
          <w:rFonts w:ascii="Arial" w:hAnsi="Arial" w:cs="Arial"/>
        </w:rPr>
        <w:t xml:space="preserve"> risk of low psychological wellbeing than male shift workers (RR 1.6</w:t>
      </w:r>
      <w:r w:rsidR="00DB186D" w:rsidRPr="00166772">
        <w:rPr>
          <w:rFonts w:ascii="Arial" w:hAnsi="Arial" w:cs="Arial"/>
        </w:rPr>
        <w:t>0</w:t>
      </w:r>
      <w:r w:rsidR="0073069E" w:rsidRPr="00166772">
        <w:rPr>
          <w:rFonts w:ascii="Arial" w:hAnsi="Arial" w:cs="Arial"/>
        </w:rPr>
        <w:t>, 95%CI 1.0-2.8)</w:t>
      </w:r>
      <w:r w:rsidR="0073069E" w:rsidRPr="00166772">
        <w:rPr>
          <w:noProof/>
          <w:vertAlign w:val="superscript"/>
        </w:rPr>
        <w:t>17</w:t>
      </w:r>
      <w:r w:rsidR="0073069E" w:rsidRPr="00166772">
        <w:rPr>
          <w:rFonts w:ascii="Arial" w:hAnsi="Arial" w:cs="Arial"/>
        </w:rPr>
        <w:t>.</w:t>
      </w:r>
      <w:r w:rsidR="00DC7751" w:rsidRPr="00166772">
        <w:rPr>
          <w:rFonts w:ascii="Arial" w:hAnsi="Arial" w:cs="Arial"/>
        </w:rPr>
        <w:t xml:space="preserve"> </w:t>
      </w:r>
      <w:r w:rsidR="0073069E" w:rsidRPr="00166772">
        <w:rPr>
          <w:rFonts w:ascii="Arial" w:hAnsi="Arial" w:cs="Arial"/>
        </w:rPr>
        <w:t xml:space="preserve">In contrast, </w:t>
      </w:r>
      <w:r w:rsidR="0073069E" w:rsidRPr="00166772">
        <w:rPr>
          <w:rFonts w:ascii="Arial" w:hAnsi="Arial" w:cs="Arial"/>
          <w:noProof/>
        </w:rPr>
        <w:t>Bara and Arber</w:t>
      </w:r>
      <w:r w:rsidR="0073069E" w:rsidRPr="00166772">
        <w:rPr>
          <w:rFonts w:ascii="Arial" w:hAnsi="Arial" w:cs="Arial"/>
          <w:noProof/>
          <w:vertAlign w:val="superscript"/>
        </w:rPr>
        <w:t>15</w:t>
      </w:r>
      <w:r w:rsidR="0073069E" w:rsidRPr="00166772">
        <w:rPr>
          <w:rFonts w:ascii="Arial" w:hAnsi="Arial" w:cs="Arial"/>
        </w:rPr>
        <w:t xml:space="preserve"> reported that male night workers in the UK have higher risks of poor mental health (OR 2.58, 95%CI </w:t>
      </w:r>
      <w:r w:rsidR="0073069E" w:rsidRPr="00166772">
        <w:rPr>
          <w:rFonts w:ascii="Arial" w:hAnsi="Arial" w:cs="Arial"/>
          <w:lang w:val="en-US"/>
        </w:rPr>
        <w:t xml:space="preserve">1.22-5.48) </w:t>
      </w:r>
      <w:r w:rsidR="0073069E" w:rsidRPr="00166772">
        <w:rPr>
          <w:rFonts w:ascii="Arial" w:hAnsi="Arial" w:cs="Arial"/>
        </w:rPr>
        <w:t>and anxiety/depression (OR 6.08, 95%CI 2.06-17.92), than their female counterparts (OR 1.06, 95%CI 0.49-2.27 and 1.69, 95%CI 0.60-4.76; respectively).</w:t>
      </w:r>
      <w:r w:rsidR="00C6527C" w:rsidRPr="00166772">
        <w:rPr>
          <w:rFonts w:ascii="Arial" w:hAnsi="Arial" w:cs="Arial"/>
        </w:rPr>
        <w:t>Given these findings, the</w:t>
      </w:r>
      <w:r w:rsidR="0073069E" w:rsidRPr="00166772">
        <w:rPr>
          <w:rFonts w:ascii="Arial" w:hAnsi="Arial" w:cs="Arial"/>
        </w:rPr>
        <w:t xml:space="preserve"> associations between shift work and the risk of poor mental health in men and women are unclear. Therefore, the aim of this study was to assess the pooled effects of shift work exposure on </w:t>
      </w:r>
      <w:r w:rsidR="00DC7751" w:rsidRPr="00166772">
        <w:rPr>
          <w:rFonts w:ascii="Arial" w:hAnsi="Arial" w:cs="Arial"/>
        </w:rPr>
        <w:t xml:space="preserve">adverse </w:t>
      </w:r>
      <w:r w:rsidR="0073069E" w:rsidRPr="00166772">
        <w:rPr>
          <w:rFonts w:ascii="Arial" w:hAnsi="Arial" w:cs="Arial"/>
        </w:rPr>
        <w:t xml:space="preserve">mental health outcomes and evaluate whether these differ </w:t>
      </w:r>
      <w:r w:rsidR="009D5B12" w:rsidRPr="00166772">
        <w:rPr>
          <w:rFonts w:ascii="Arial" w:hAnsi="Arial" w:cs="Arial"/>
        </w:rPr>
        <w:t>in</w:t>
      </w:r>
      <w:r w:rsidR="0073069E" w:rsidRPr="00166772">
        <w:rPr>
          <w:rFonts w:ascii="Arial" w:hAnsi="Arial" w:cs="Arial"/>
        </w:rPr>
        <w:t xml:space="preserve"> men and women. </w:t>
      </w:r>
    </w:p>
    <w:p w14:paraId="3E66A8B8" w14:textId="77777777" w:rsidR="0073069E" w:rsidRPr="00166772" w:rsidRDefault="0073069E" w:rsidP="005E3605">
      <w:pPr>
        <w:pageBreakBefore/>
        <w:spacing w:after="240" w:line="480" w:lineRule="auto"/>
        <w:jc w:val="both"/>
        <w:rPr>
          <w:rFonts w:ascii="Arial" w:hAnsi="Arial" w:cs="Arial"/>
          <w:b/>
        </w:rPr>
      </w:pPr>
      <w:r w:rsidRPr="00166772">
        <w:rPr>
          <w:rFonts w:ascii="Arial" w:hAnsi="Arial" w:cs="Arial"/>
          <w:b/>
        </w:rPr>
        <w:lastRenderedPageBreak/>
        <w:t>METHODS</w:t>
      </w:r>
    </w:p>
    <w:p w14:paraId="03635E0F" w14:textId="50E01500" w:rsidR="0073069E" w:rsidRPr="00166772" w:rsidRDefault="0073069E" w:rsidP="005E3605">
      <w:pPr>
        <w:widowControl w:val="0"/>
        <w:autoSpaceDE w:val="0"/>
        <w:autoSpaceDN w:val="0"/>
        <w:adjustRightInd w:val="0"/>
        <w:spacing w:after="400" w:line="480" w:lineRule="auto"/>
        <w:ind w:right="400"/>
        <w:jc w:val="both"/>
        <w:rPr>
          <w:rFonts w:ascii="Arial" w:hAnsi="Arial" w:cs="Arial"/>
          <w:color w:val="262626"/>
        </w:rPr>
      </w:pPr>
      <w:r w:rsidRPr="00166772">
        <w:rPr>
          <w:rFonts w:ascii="Arial" w:hAnsi="Arial" w:cs="Arial"/>
        </w:rPr>
        <w:t xml:space="preserve">We followed the framework </w:t>
      </w:r>
      <w:r w:rsidR="009D5B12" w:rsidRPr="00166772">
        <w:rPr>
          <w:rFonts w:ascii="Arial" w:hAnsi="Arial" w:cs="Arial"/>
        </w:rPr>
        <w:t xml:space="preserve">proposed </w:t>
      </w:r>
      <w:r w:rsidRPr="00166772">
        <w:rPr>
          <w:rFonts w:ascii="Arial" w:hAnsi="Arial" w:cs="Arial"/>
        </w:rPr>
        <w:t>by the Meta-Analysis Of Observational Studies in Epidemiology (MOOSE) group</w:t>
      </w:r>
      <w:r w:rsidRPr="00166772">
        <w:rPr>
          <w:rFonts w:ascii="Arial" w:hAnsi="Arial" w:cs="Arial"/>
          <w:noProof/>
          <w:vertAlign w:val="superscript"/>
        </w:rPr>
        <w:t>19</w:t>
      </w:r>
      <w:r w:rsidRPr="00166772">
        <w:rPr>
          <w:rFonts w:ascii="Arial" w:hAnsi="Arial" w:cs="Arial"/>
        </w:rPr>
        <w:t xml:space="preserve"> for design, research strategy, analysis and reporting. Peer-reviewed publications were searched using three major databases: PubMed, Scopus, and Web of Science. All searches were performed using title/abstract/keywords fields combining shift work and mental health terms, with publication up to August 2018. Search terms used to identify studies with </w:t>
      </w:r>
      <w:r w:rsidR="000F3B93" w:rsidRPr="00166772">
        <w:rPr>
          <w:rFonts w:ascii="Arial" w:hAnsi="Arial" w:cs="Arial"/>
        </w:rPr>
        <w:t xml:space="preserve">adverse </w:t>
      </w:r>
      <w:r w:rsidRPr="00166772">
        <w:rPr>
          <w:rFonts w:ascii="Arial" w:hAnsi="Arial" w:cs="Arial"/>
        </w:rPr>
        <w:t xml:space="preserve">mental health outcomes were based on a previous publication on optimal strategies to retrieve mental health content in MEDLINE </w:t>
      </w:r>
      <w:r w:rsidRPr="00166772">
        <w:rPr>
          <w:rFonts w:ascii="Arial" w:hAnsi="Arial" w:cs="Arial"/>
          <w:noProof/>
          <w:vertAlign w:val="superscript"/>
        </w:rPr>
        <w:t>20</w:t>
      </w:r>
      <w:r w:rsidRPr="00166772">
        <w:rPr>
          <w:rFonts w:ascii="Arial" w:hAnsi="Arial" w:cs="Arial"/>
        </w:rPr>
        <w:t xml:space="preserve">, and included truncated wildcard terms such as “depress*”, “anxi*”, “psychol*”, “stress*”; and other key words including “mental health”, “mental distress”, “mental OR psychological wellbeing”. We used hierarchical MeSH terms in the PubMed database to optimise inclusion of a range of </w:t>
      </w:r>
      <w:r w:rsidR="000F3B93" w:rsidRPr="00166772">
        <w:rPr>
          <w:rFonts w:ascii="Arial" w:hAnsi="Arial" w:cs="Arial"/>
        </w:rPr>
        <w:t xml:space="preserve">adverse </w:t>
      </w:r>
      <w:r w:rsidRPr="00166772">
        <w:rPr>
          <w:rFonts w:ascii="Arial" w:hAnsi="Arial" w:cs="Arial"/>
        </w:rPr>
        <w:t>mental health outcomes (i.e. ‘mental health” [mh]; “emotions” [mh]; “mental disorders” [mh]). Shift work search terms were similar to those used in a previous systematic review on shift work and metabolic risk factors:</w:t>
      </w:r>
      <w:r w:rsidRPr="00166772">
        <w:rPr>
          <w:rFonts w:ascii="Arial" w:hAnsi="Arial" w:cs="Arial"/>
          <w:noProof/>
          <w:vertAlign w:val="superscript"/>
        </w:rPr>
        <w:t>21</w:t>
      </w:r>
      <w:r w:rsidRPr="00166772">
        <w:rPr>
          <w:rFonts w:ascii="Arial" w:hAnsi="Arial" w:cs="Arial"/>
        </w:rPr>
        <w:t xml:space="preserve"> “shift work” OR “shiftwork” OR “irregular hours” OR “rotating shift” OR “rotating hours”. A complete list of all search term combinations used in each database is available on request. Reference lists of the included articles were also scanned for relevant studies and for systematic reviews on shift work and mental health. </w:t>
      </w:r>
    </w:p>
    <w:p w14:paraId="161C164E" w14:textId="77777777" w:rsidR="0073069E" w:rsidRPr="00166772" w:rsidRDefault="0073069E" w:rsidP="005E3605">
      <w:pPr>
        <w:spacing w:line="480" w:lineRule="auto"/>
        <w:jc w:val="both"/>
        <w:rPr>
          <w:rFonts w:ascii="Arial" w:hAnsi="Arial" w:cs="Arial"/>
        </w:rPr>
      </w:pPr>
      <w:r w:rsidRPr="00166772">
        <w:rPr>
          <w:rFonts w:ascii="Arial" w:hAnsi="Arial" w:cs="Arial"/>
        </w:rPr>
        <w:t>Two authors scanned titles and abstracts independently to determine whether each article met the following inclusion criteria:</w:t>
      </w:r>
    </w:p>
    <w:p w14:paraId="4E90724C" w14:textId="77777777" w:rsidR="0073069E" w:rsidRPr="00166772" w:rsidRDefault="0073069E" w:rsidP="005E3605">
      <w:pPr>
        <w:spacing w:line="480" w:lineRule="auto"/>
        <w:jc w:val="both"/>
        <w:rPr>
          <w:rFonts w:ascii="Arial" w:hAnsi="Arial" w:cs="Arial"/>
        </w:rPr>
      </w:pPr>
    </w:p>
    <w:p w14:paraId="167D9DC9" w14:textId="77777777" w:rsidR="0073069E" w:rsidRPr="00166772" w:rsidRDefault="0073069E" w:rsidP="005E3605">
      <w:pPr>
        <w:spacing w:line="480" w:lineRule="auto"/>
        <w:jc w:val="both"/>
        <w:rPr>
          <w:rFonts w:ascii="Arial" w:hAnsi="Arial" w:cs="Arial"/>
        </w:rPr>
      </w:pPr>
    </w:p>
    <w:p w14:paraId="6C1AE921" w14:textId="77777777" w:rsidR="0073069E" w:rsidRPr="00166772" w:rsidRDefault="0073069E" w:rsidP="005E3605">
      <w:pPr>
        <w:numPr>
          <w:ilvl w:val="0"/>
          <w:numId w:val="2"/>
        </w:numPr>
        <w:spacing w:line="480" w:lineRule="auto"/>
        <w:jc w:val="both"/>
        <w:rPr>
          <w:rFonts w:ascii="Arial" w:hAnsi="Arial" w:cs="Arial"/>
        </w:rPr>
      </w:pPr>
      <w:r w:rsidRPr="00166772">
        <w:rPr>
          <w:rFonts w:ascii="Arial" w:hAnsi="Arial" w:cs="Arial"/>
        </w:rPr>
        <w:lastRenderedPageBreak/>
        <w:t xml:space="preserve">Prospective cohort or case-control study </w:t>
      </w:r>
    </w:p>
    <w:p w14:paraId="5F6E9145" w14:textId="77777777" w:rsidR="0073069E" w:rsidRPr="00166772" w:rsidRDefault="0073069E" w:rsidP="005E3605">
      <w:pPr>
        <w:numPr>
          <w:ilvl w:val="0"/>
          <w:numId w:val="2"/>
        </w:numPr>
        <w:spacing w:line="480" w:lineRule="auto"/>
        <w:rPr>
          <w:rFonts w:ascii="Arial" w:hAnsi="Arial" w:cs="Arial"/>
        </w:rPr>
      </w:pPr>
      <w:r w:rsidRPr="00166772">
        <w:rPr>
          <w:rFonts w:ascii="Arial" w:hAnsi="Arial" w:cs="Arial"/>
        </w:rPr>
        <w:t xml:space="preserve">Included a measure of shift work defined as either night shift, irregular work, rotational work, or a combination of these </w:t>
      </w:r>
    </w:p>
    <w:p w14:paraId="2FC7EEB1" w14:textId="78896010" w:rsidR="0073069E" w:rsidRPr="00166772" w:rsidRDefault="0073069E" w:rsidP="005E3605">
      <w:pPr>
        <w:numPr>
          <w:ilvl w:val="0"/>
          <w:numId w:val="2"/>
        </w:numPr>
        <w:spacing w:line="480" w:lineRule="auto"/>
        <w:rPr>
          <w:rFonts w:ascii="Arial" w:hAnsi="Arial" w:cs="Arial"/>
        </w:rPr>
      </w:pPr>
      <w:r w:rsidRPr="00166772">
        <w:rPr>
          <w:rFonts w:ascii="Arial" w:hAnsi="Arial" w:cs="Arial"/>
        </w:rPr>
        <w:t>Provided an estimate of risk</w:t>
      </w:r>
      <w:r w:rsidR="000F3B93" w:rsidRPr="00166772">
        <w:rPr>
          <w:rFonts w:ascii="Arial" w:hAnsi="Arial" w:cs="Arial"/>
        </w:rPr>
        <w:t xml:space="preserve"> of </w:t>
      </w:r>
      <w:r w:rsidR="0078665E" w:rsidRPr="00166772">
        <w:rPr>
          <w:rFonts w:ascii="Arial" w:hAnsi="Arial" w:cs="Arial"/>
        </w:rPr>
        <w:t xml:space="preserve">adverse mental health </w:t>
      </w:r>
      <w:r w:rsidR="00AB554B" w:rsidRPr="00166772">
        <w:rPr>
          <w:rFonts w:ascii="Arial" w:hAnsi="Arial" w:cs="Arial"/>
        </w:rPr>
        <w:t xml:space="preserve">outcome </w:t>
      </w:r>
      <w:r w:rsidR="000F3B93" w:rsidRPr="00166772">
        <w:rPr>
          <w:rFonts w:ascii="Arial" w:hAnsi="Arial" w:cs="Arial"/>
        </w:rPr>
        <w:t xml:space="preserve">which was assessed </w:t>
      </w:r>
      <w:r w:rsidRPr="00166772">
        <w:rPr>
          <w:rFonts w:ascii="Arial" w:hAnsi="Arial" w:cs="Arial"/>
        </w:rPr>
        <w:t xml:space="preserve">1) </w:t>
      </w:r>
      <w:r w:rsidR="000F3B93" w:rsidRPr="00166772">
        <w:rPr>
          <w:rFonts w:ascii="Arial" w:hAnsi="Arial" w:cs="Arial"/>
        </w:rPr>
        <w:t>via s</w:t>
      </w:r>
      <w:r w:rsidR="00AB554B" w:rsidRPr="00166772">
        <w:rPr>
          <w:rFonts w:ascii="Arial" w:hAnsi="Arial" w:cs="Arial"/>
        </w:rPr>
        <w:t>elf-</w:t>
      </w:r>
      <w:r w:rsidR="000F3B93" w:rsidRPr="00166772">
        <w:rPr>
          <w:rFonts w:ascii="Arial" w:hAnsi="Arial" w:cs="Arial"/>
        </w:rPr>
        <w:t xml:space="preserve">report using a </w:t>
      </w:r>
      <w:r w:rsidRPr="00166772">
        <w:rPr>
          <w:rFonts w:ascii="Arial" w:hAnsi="Arial" w:cs="Arial"/>
        </w:rPr>
        <w:t xml:space="preserve">validated scale score </w:t>
      </w:r>
      <w:r w:rsidR="00AB554B" w:rsidRPr="00166772">
        <w:rPr>
          <w:rFonts w:ascii="Arial" w:hAnsi="Arial" w:cs="Arial"/>
        </w:rPr>
        <w:t xml:space="preserve">outcomes (e.g. poor psychological wellbeing, general poor mental health) </w:t>
      </w:r>
      <w:r w:rsidR="009F73DD" w:rsidRPr="00166772">
        <w:rPr>
          <w:rFonts w:ascii="Arial" w:hAnsi="Arial" w:cs="Arial"/>
        </w:rPr>
        <w:t>and/</w:t>
      </w:r>
      <w:r w:rsidRPr="00166772">
        <w:rPr>
          <w:rFonts w:ascii="Arial" w:hAnsi="Arial" w:cs="Arial"/>
        </w:rPr>
        <w:t xml:space="preserve">or 2) </w:t>
      </w:r>
      <w:r w:rsidR="00B363F8" w:rsidRPr="00166772">
        <w:rPr>
          <w:rFonts w:ascii="Arial" w:hAnsi="Arial" w:cs="Arial"/>
        </w:rPr>
        <w:t>diagnosed by a professional as</w:t>
      </w:r>
      <w:r w:rsidR="000F3B93" w:rsidRPr="00166772">
        <w:rPr>
          <w:rFonts w:ascii="Arial" w:hAnsi="Arial" w:cs="Arial"/>
        </w:rPr>
        <w:t xml:space="preserve"> </w:t>
      </w:r>
      <w:r w:rsidRPr="00166772">
        <w:rPr>
          <w:rFonts w:ascii="Arial" w:hAnsi="Arial" w:cs="Arial"/>
        </w:rPr>
        <w:t xml:space="preserve">mental illness </w:t>
      </w:r>
      <w:r w:rsidR="00216B85" w:rsidRPr="00166772">
        <w:rPr>
          <w:rFonts w:ascii="Arial" w:hAnsi="Arial" w:cs="Arial"/>
        </w:rPr>
        <w:t>(</w:t>
      </w:r>
      <w:r w:rsidR="00AB554B" w:rsidRPr="00166772">
        <w:rPr>
          <w:rFonts w:ascii="Arial" w:hAnsi="Arial" w:cs="Arial"/>
        </w:rPr>
        <w:t>e.g.</w:t>
      </w:r>
      <w:r w:rsidRPr="00166772">
        <w:rPr>
          <w:rFonts w:ascii="Arial" w:hAnsi="Arial" w:cs="Arial"/>
        </w:rPr>
        <w:t xml:space="preserve"> anxiety, </w:t>
      </w:r>
      <w:r w:rsidR="00AB554B" w:rsidRPr="00166772">
        <w:rPr>
          <w:rFonts w:ascii="Arial" w:hAnsi="Arial" w:cs="Arial"/>
        </w:rPr>
        <w:t xml:space="preserve">clinical </w:t>
      </w:r>
      <w:r w:rsidRPr="00166772">
        <w:rPr>
          <w:rFonts w:ascii="Arial" w:hAnsi="Arial" w:cs="Arial"/>
        </w:rPr>
        <w:t>depression).</w:t>
      </w:r>
      <w:r w:rsidRPr="00166772">
        <w:rPr>
          <w:rFonts w:ascii="Arial" w:hAnsi="Arial" w:cs="Arial"/>
          <w:noProof/>
          <w:vertAlign w:val="superscript"/>
        </w:rPr>
        <w:t>22</w:t>
      </w:r>
    </w:p>
    <w:p w14:paraId="241CC1FC" w14:textId="77777777" w:rsidR="0073069E" w:rsidRPr="00166772" w:rsidRDefault="0073069E" w:rsidP="005E3605">
      <w:pPr>
        <w:numPr>
          <w:ilvl w:val="0"/>
          <w:numId w:val="2"/>
        </w:numPr>
        <w:spacing w:line="480" w:lineRule="auto"/>
        <w:rPr>
          <w:rFonts w:ascii="Arial" w:hAnsi="Arial" w:cs="Arial"/>
        </w:rPr>
      </w:pPr>
      <w:r w:rsidRPr="00166772">
        <w:rPr>
          <w:rFonts w:ascii="Arial" w:hAnsi="Arial" w:cs="Arial"/>
        </w:rPr>
        <w:t xml:space="preserve">Described shift work as the main exposure and had an independent referent group. </w:t>
      </w:r>
    </w:p>
    <w:p w14:paraId="7E4AB789" w14:textId="77777777" w:rsidR="0073069E" w:rsidRPr="00166772" w:rsidRDefault="0073069E" w:rsidP="005E3605">
      <w:pPr>
        <w:numPr>
          <w:ilvl w:val="0"/>
          <w:numId w:val="2"/>
        </w:numPr>
        <w:spacing w:line="480" w:lineRule="auto"/>
        <w:rPr>
          <w:rFonts w:ascii="Arial" w:hAnsi="Arial" w:cs="Arial"/>
        </w:rPr>
      </w:pPr>
      <w:r w:rsidRPr="00166772">
        <w:rPr>
          <w:rFonts w:ascii="Arial" w:hAnsi="Arial" w:cs="Arial"/>
        </w:rPr>
        <w:t xml:space="preserve">English language </w:t>
      </w:r>
    </w:p>
    <w:p w14:paraId="136FFE8E" w14:textId="77777777" w:rsidR="0073069E" w:rsidRPr="00166772" w:rsidRDefault="0056045B" w:rsidP="0056045B">
      <w:pPr>
        <w:pStyle w:val="ListParagraph"/>
        <w:numPr>
          <w:ilvl w:val="0"/>
          <w:numId w:val="2"/>
        </w:numPr>
        <w:spacing w:line="480" w:lineRule="auto"/>
        <w:rPr>
          <w:rFonts w:ascii="Arial" w:hAnsi="Arial" w:cs="Arial"/>
        </w:rPr>
      </w:pPr>
      <w:r w:rsidRPr="00166772">
        <w:rPr>
          <w:rFonts w:ascii="Arial" w:hAnsi="Arial" w:cs="Arial"/>
        </w:rPr>
        <w:t>Peer-reviewed journal article or government report.</w:t>
      </w:r>
    </w:p>
    <w:p w14:paraId="4A8543C2" w14:textId="77777777" w:rsidR="0056045B" w:rsidRPr="00166772" w:rsidRDefault="0056045B" w:rsidP="0056045B">
      <w:pPr>
        <w:pStyle w:val="ListParagraph"/>
        <w:spacing w:line="480" w:lineRule="auto"/>
        <w:ind w:left="360"/>
        <w:rPr>
          <w:rFonts w:ascii="Arial" w:hAnsi="Arial" w:cs="Arial"/>
        </w:rPr>
      </w:pPr>
    </w:p>
    <w:p w14:paraId="75854FD3" w14:textId="77777777" w:rsidR="0073069E" w:rsidRPr="00166772" w:rsidRDefault="0073069E" w:rsidP="005E3605">
      <w:pPr>
        <w:spacing w:line="480" w:lineRule="auto"/>
        <w:jc w:val="both"/>
        <w:rPr>
          <w:rFonts w:ascii="Arial" w:hAnsi="Arial" w:cs="Arial"/>
        </w:rPr>
      </w:pPr>
      <w:r w:rsidRPr="00166772">
        <w:rPr>
          <w:rFonts w:ascii="Arial" w:hAnsi="Arial" w:cs="Arial"/>
        </w:rPr>
        <w:t>Studies were excluded if shift work exposure was a secondary factor to insomnia, family/social conflict, or similar outcomes. For example, studies of job strain, or relationships at work and similar exposures, were excluded. There was no exclusion based on year of publication.</w:t>
      </w:r>
    </w:p>
    <w:p w14:paraId="16545681" w14:textId="77777777" w:rsidR="0073069E" w:rsidRPr="00166772" w:rsidRDefault="0073069E" w:rsidP="005E3605">
      <w:pPr>
        <w:spacing w:line="480" w:lineRule="auto"/>
        <w:ind w:left="720"/>
        <w:jc w:val="both"/>
        <w:rPr>
          <w:rFonts w:ascii="Arial" w:hAnsi="Arial" w:cs="Arial"/>
        </w:rPr>
      </w:pPr>
    </w:p>
    <w:p w14:paraId="3C87484A" w14:textId="6D6FA831" w:rsidR="0073069E" w:rsidRPr="00166772" w:rsidRDefault="0073069E" w:rsidP="005E3605">
      <w:pPr>
        <w:spacing w:line="480" w:lineRule="auto"/>
        <w:jc w:val="both"/>
        <w:rPr>
          <w:rFonts w:ascii="Arial" w:hAnsi="Arial" w:cs="Arial"/>
        </w:rPr>
      </w:pPr>
      <w:r w:rsidRPr="00166772">
        <w:rPr>
          <w:rFonts w:ascii="Arial" w:hAnsi="Arial" w:cs="Arial"/>
        </w:rPr>
        <w:t xml:space="preserve">After selecting potentially eligible studies based on title/abstract, a full-text scan was performed. </w:t>
      </w:r>
      <w:r w:rsidR="00B937DE" w:rsidRPr="00166772">
        <w:rPr>
          <w:rFonts w:ascii="Arial" w:hAnsi="Arial" w:cs="Arial"/>
        </w:rPr>
        <w:t xml:space="preserve">Disagreement on study inclusion </w:t>
      </w:r>
      <w:r w:rsidR="005D1E2D" w:rsidRPr="00166772">
        <w:rPr>
          <w:rFonts w:ascii="Arial" w:hAnsi="Arial" w:cs="Arial"/>
        </w:rPr>
        <w:t>arose for</w:t>
      </w:r>
      <w:r w:rsidR="00C37892" w:rsidRPr="00166772">
        <w:rPr>
          <w:rFonts w:ascii="Arial" w:hAnsi="Arial" w:cs="Arial"/>
        </w:rPr>
        <w:t xml:space="preserve"> </w:t>
      </w:r>
      <w:r w:rsidR="00216343" w:rsidRPr="00166772">
        <w:rPr>
          <w:rFonts w:ascii="Arial" w:hAnsi="Arial" w:cs="Arial"/>
        </w:rPr>
        <w:t xml:space="preserve">two studies, </w:t>
      </w:r>
      <w:r w:rsidR="00B937DE" w:rsidRPr="00166772">
        <w:rPr>
          <w:rFonts w:ascii="Arial" w:hAnsi="Arial" w:cs="Arial"/>
        </w:rPr>
        <w:t xml:space="preserve">which analysed </w:t>
      </w:r>
      <w:r w:rsidR="005D1E2D" w:rsidRPr="00166772">
        <w:rPr>
          <w:rFonts w:ascii="Arial" w:hAnsi="Arial" w:cs="Arial"/>
        </w:rPr>
        <w:t xml:space="preserve">data from </w:t>
      </w:r>
      <w:r w:rsidR="00B937DE" w:rsidRPr="00166772">
        <w:rPr>
          <w:rFonts w:ascii="Arial" w:hAnsi="Arial" w:cs="Arial"/>
        </w:rPr>
        <w:t>the same cohort</w:t>
      </w:r>
      <w:r w:rsidR="005D1E2D" w:rsidRPr="00166772">
        <w:rPr>
          <w:rFonts w:ascii="Arial" w:hAnsi="Arial" w:cs="Arial"/>
        </w:rPr>
        <w:t>,</w:t>
      </w:r>
      <w:r w:rsidR="00B937DE" w:rsidRPr="00166772">
        <w:rPr>
          <w:rFonts w:ascii="Arial" w:hAnsi="Arial" w:cs="Arial"/>
        </w:rPr>
        <w:t xml:space="preserve"> but</w:t>
      </w:r>
      <w:r w:rsidR="005D1E2D" w:rsidRPr="00166772">
        <w:rPr>
          <w:rFonts w:ascii="Arial" w:hAnsi="Arial" w:cs="Arial"/>
        </w:rPr>
        <w:t xml:space="preserve"> with</w:t>
      </w:r>
      <w:r w:rsidR="00B937DE" w:rsidRPr="00166772">
        <w:rPr>
          <w:rFonts w:ascii="Arial" w:hAnsi="Arial" w:cs="Arial"/>
        </w:rPr>
        <w:t xml:space="preserve"> different outcomes</w:t>
      </w:r>
      <w:r w:rsidR="00906DE0" w:rsidRPr="00166772">
        <w:rPr>
          <w:rFonts w:ascii="Arial" w:hAnsi="Arial" w:cs="Arial"/>
          <w:vertAlign w:val="superscript"/>
        </w:rPr>
        <w:t>7,23</w:t>
      </w:r>
      <w:r w:rsidR="00B937DE" w:rsidRPr="00166772">
        <w:rPr>
          <w:rFonts w:ascii="Arial" w:hAnsi="Arial" w:cs="Arial"/>
        </w:rPr>
        <w:t xml:space="preserve">. These were resolved by consulting with a third reviewer to reach consensus, </w:t>
      </w:r>
      <w:r w:rsidR="005D1E2D" w:rsidRPr="00166772">
        <w:rPr>
          <w:rFonts w:ascii="Arial" w:hAnsi="Arial" w:cs="Arial"/>
        </w:rPr>
        <w:t>which was to</w:t>
      </w:r>
      <w:r w:rsidR="00645EB3" w:rsidRPr="00166772">
        <w:rPr>
          <w:rFonts w:ascii="Arial" w:hAnsi="Arial" w:cs="Arial"/>
        </w:rPr>
        <w:t xml:space="preserve"> </w:t>
      </w:r>
      <w:r w:rsidR="00B937DE" w:rsidRPr="00166772">
        <w:rPr>
          <w:rFonts w:ascii="Arial" w:hAnsi="Arial" w:cs="Arial"/>
        </w:rPr>
        <w:t>include the study with the most recent analysis</w:t>
      </w:r>
      <w:r w:rsidR="009F73DD" w:rsidRPr="00166772">
        <w:rPr>
          <w:rFonts w:ascii="Arial" w:hAnsi="Arial" w:cs="Arial"/>
          <w:vertAlign w:val="superscript"/>
        </w:rPr>
        <w:t>7</w:t>
      </w:r>
      <w:r w:rsidR="00BD6EBA" w:rsidRPr="00166772">
        <w:rPr>
          <w:rFonts w:ascii="Arial" w:hAnsi="Arial" w:cs="Arial"/>
        </w:rPr>
        <w:t>.</w:t>
      </w:r>
      <w:r w:rsidRPr="00166772">
        <w:rPr>
          <w:rFonts w:ascii="Arial" w:hAnsi="Arial" w:cs="Arial"/>
        </w:rPr>
        <w:t xml:space="preserve"> After full-text review, seven articles met all the selection criteria</w:t>
      </w:r>
      <w:r w:rsidR="005D1E2D" w:rsidRPr="00166772">
        <w:rPr>
          <w:rFonts w:ascii="Arial" w:hAnsi="Arial" w:cs="Arial"/>
        </w:rPr>
        <w:t>; their data</w:t>
      </w:r>
      <w:r w:rsidRPr="00166772">
        <w:rPr>
          <w:rFonts w:ascii="Arial" w:hAnsi="Arial" w:cs="Arial"/>
        </w:rPr>
        <w:t xml:space="preserve"> were included in the meta-analysis.</w:t>
      </w:r>
    </w:p>
    <w:p w14:paraId="2CED05EB" w14:textId="77777777" w:rsidR="0073069E" w:rsidRPr="00166772" w:rsidRDefault="0073069E" w:rsidP="005E3605">
      <w:pPr>
        <w:spacing w:line="480" w:lineRule="auto"/>
        <w:jc w:val="both"/>
        <w:rPr>
          <w:rFonts w:ascii="Arial" w:hAnsi="Arial" w:cs="Arial"/>
        </w:rPr>
      </w:pPr>
    </w:p>
    <w:p w14:paraId="1C08C358" w14:textId="77777777" w:rsidR="0073069E" w:rsidRPr="00166772" w:rsidRDefault="0073069E" w:rsidP="005E3605">
      <w:pPr>
        <w:spacing w:line="480" w:lineRule="auto"/>
        <w:jc w:val="both"/>
        <w:rPr>
          <w:rFonts w:ascii="Arial" w:hAnsi="Arial" w:cs="Arial"/>
          <w:i/>
        </w:rPr>
      </w:pPr>
      <w:r w:rsidRPr="00166772">
        <w:rPr>
          <w:rFonts w:ascii="Arial" w:hAnsi="Arial" w:cs="Arial"/>
          <w:i/>
        </w:rPr>
        <w:t>Data-extraction</w:t>
      </w:r>
    </w:p>
    <w:p w14:paraId="173AB893" w14:textId="3EFBE2FA" w:rsidR="0073069E" w:rsidRPr="00166772" w:rsidRDefault="0073069E" w:rsidP="005E3605">
      <w:pPr>
        <w:spacing w:line="480" w:lineRule="auto"/>
        <w:jc w:val="both"/>
        <w:rPr>
          <w:rFonts w:ascii="Arial" w:hAnsi="Arial" w:cs="Arial"/>
        </w:rPr>
      </w:pPr>
      <w:r w:rsidRPr="00166772">
        <w:rPr>
          <w:rFonts w:ascii="Arial" w:hAnsi="Arial" w:cs="Arial"/>
        </w:rPr>
        <w:lastRenderedPageBreak/>
        <w:t xml:space="preserve">Two authors independently extracted data from each included study. This included information on author/year, study design, follow-up duration/years, sample size, participants’ age and gender, industry in which participants worked and/or cohort name (if ongoing cohort study), definition and assessment of shift work, duration of exposure to shift work (if reported), </w:t>
      </w:r>
      <w:r w:rsidR="00686242" w:rsidRPr="00166772">
        <w:rPr>
          <w:rFonts w:ascii="Arial" w:hAnsi="Arial" w:cs="Arial"/>
        </w:rPr>
        <w:t xml:space="preserve">adverse </w:t>
      </w:r>
      <w:r w:rsidRPr="00166772">
        <w:rPr>
          <w:rFonts w:ascii="Arial" w:hAnsi="Arial" w:cs="Arial"/>
        </w:rPr>
        <w:t xml:space="preserve">mental health outcome, and variables used in the adjusted model for risk estimate. Risk estimates were extracted for both crude and adjusted models of odds ratio, relative risk, </w:t>
      </w:r>
      <w:r w:rsidR="005D1E2D" w:rsidRPr="00166772">
        <w:rPr>
          <w:rFonts w:ascii="Arial" w:hAnsi="Arial" w:cs="Arial"/>
        </w:rPr>
        <w:t>or</w:t>
      </w:r>
      <w:r w:rsidRPr="00166772">
        <w:rPr>
          <w:rFonts w:ascii="Arial" w:hAnsi="Arial" w:cs="Arial"/>
        </w:rPr>
        <w:t xml:space="preserve"> hazard ratio. These were included in the analys</w:t>
      </w:r>
      <w:r w:rsidR="005D1E2D" w:rsidRPr="00166772">
        <w:rPr>
          <w:rFonts w:ascii="Arial" w:hAnsi="Arial" w:cs="Arial"/>
        </w:rPr>
        <w:t>e</w:t>
      </w:r>
      <w:r w:rsidRPr="00166772">
        <w:rPr>
          <w:rFonts w:ascii="Arial" w:hAnsi="Arial" w:cs="Arial"/>
        </w:rPr>
        <w:t>s if they were measured using validated tools and specific to the outcome reported (e.g. General Health Questionnaire (GHQ) used to identify poor mental health).</w:t>
      </w:r>
    </w:p>
    <w:p w14:paraId="42C79C52" w14:textId="77777777" w:rsidR="0073069E" w:rsidRPr="00166772" w:rsidRDefault="0073069E" w:rsidP="005E3605">
      <w:pPr>
        <w:spacing w:line="480" w:lineRule="auto"/>
        <w:jc w:val="both"/>
        <w:rPr>
          <w:rFonts w:ascii="Arial" w:hAnsi="Arial" w:cs="Arial"/>
        </w:rPr>
      </w:pPr>
    </w:p>
    <w:p w14:paraId="7EC4C31D" w14:textId="77777777" w:rsidR="0073069E" w:rsidRPr="00166772" w:rsidRDefault="0073069E" w:rsidP="005E3605">
      <w:pPr>
        <w:spacing w:line="480" w:lineRule="auto"/>
        <w:jc w:val="both"/>
        <w:rPr>
          <w:rFonts w:ascii="Arial" w:hAnsi="Arial" w:cs="Arial"/>
          <w:i/>
        </w:rPr>
      </w:pPr>
      <w:r w:rsidRPr="00166772">
        <w:rPr>
          <w:rFonts w:ascii="Arial" w:hAnsi="Arial" w:cs="Arial"/>
          <w:i/>
        </w:rPr>
        <w:t>Risk of bias assessment</w:t>
      </w:r>
    </w:p>
    <w:p w14:paraId="5D7E1AC2" w14:textId="7CA0C883" w:rsidR="0073069E" w:rsidRPr="00166772" w:rsidRDefault="0073069E" w:rsidP="005E3605">
      <w:pPr>
        <w:spacing w:line="480" w:lineRule="auto"/>
        <w:jc w:val="both"/>
        <w:rPr>
          <w:rFonts w:ascii="Arial" w:hAnsi="Arial" w:cs="Arial"/>
        </w:rPr>
      </w:pPr>
      <w:r w:rsidRPr="00166772">
        <w:rPr>
          <w:rFonts w:ascii="Arial" w:hAnsi="Arial" w:cs="Arial"/>
        </w:rPr>
        <w:t xml:space="preserve">We used a tool from a previous meta-analysis on shift workers’ risk of poor </w:t>
      </w:r>
      <w:r w:rsidR="00686242" w:rsidRPr="00166772">
        <w:rPr>
          <w:rFonts w:ascii="Arial" w:hAnsi="Arial" w:cs="Arial"/>
        </w:rPr>
        <w:t xml:space="preserve">physical </w:t>
      </w:r>
      <w:r w:rsidRPr="00166772">
        <w:rPr>
          <w:rFonts w:ascii="Arial" w:hAnsi="Arial" w:cs="Arial"/>
        </w:rPr>
        <w:t>health outcomes</w:t>
      </w:r>
      <w:r w:rsidR="004971DB" w:rsidRPr="00166772">
        <w:rPr>
          <w:rFonts w:ascii="Arial" w:hAnsi="Arial" w:cs="Arial"/>
          <w:noProof/>
          <w:vertAlign w:val="superscript"/>
        </w:rPr>
        <w:t>24</w:t>
      </w:r>
      <w:r w:rsidRPr="00166772">
        <w:rPr>
          <w:rFonts w:ascii="Arial" w:hAnsi="Arial" w:cs="Arial"/>
        </w:rPr>
        <w:t xml:space="preserve"> to assess the risk of bias in the included studies</w:t>
      </w:r>
      <w:r w:rsidR="00686242" w:rsidRPr="00166772">
        <w:rPr>
          <w:rFonts w:ascii="Arial" w:hAnsi="Arial" w:cs="Arial"/>
        </w:rPr>
        <w:t xml:space="preserve"> in our meta-analysis</w:t>
      </w:r>
      <w:r w:rsidRPr="00166772">
        <w:rPr>
          <w:rFonts w:ascii="Arial" w:hAnsi="Arial" w:cs="Arial"/>
        </w:rPr>
        <w:t xml:space="preserve">. Two authors independently </w:t>
      </w:r>
      <w:r w:rsidR="00B34DB6" w:rsidRPr="00166772">
        <w:rPr>
          <w:rFonts w:ascii="Arial" w:hAnsi="Arial" w:cs="Arial"/>
        </w:rPr>
        <w:t>assessed</w:t>
      </w:r>
      <w:r w:rsidRPr="00166772">
        <w:rPr>
          <w:rFonts w:ascii="Arial" w:hAnsi="Arial" w:cs="Arial"/>
        </w:rPr>
        <w:t xml:space="preserve"> the following major domains of bias: (1) exposure definition, (2) exposure assessment, (3) reliability of assessments, (4) confounding, and (5) analysis methods (research-specific bias). The tool also considered the following minor domains of bias: (1a) blinding of assessors, (2a) attrition, (3a) selective reporting, (4a) funding, and (5a) conflict of interest. Each criterion was rated as high, low, or unclear risk of bias, as described in Appendix I. Based on these ratings, we classified studies as low (if all major domains and more than 2 minor domains scored low risk); moderate (if 4 major domains and 2 or more minor domains scored low risk); or high risk (if </w:t>
      </w:r>
      <w:r w:rsidR="005D1E2D" w:rsidRPr="00166772">
        <w:rPr>
          <w:rFonts w:ascii="Arial" w:hAnsi="Arial" w:cs="Arial"/>
        </w:rPr>
        <w:t>fewer</w:t>
      </w:r>
      <w:r w:rsidRPr="00166772">
        <w:rPr>
          <w:rFonts w:ascii="Arial" w:hAnsi="Arial" w:cs="Arial"/>
        </w:rPr>
        <w:t xml:space="preserve"> than 4 major domains scored low risk) of bias. </w:t>
      </w:r>
    </w:p>
    <w:p w14:paraId="49D55B9E" w14:textId="77777777" w:rsidR="0073069E" w:rsidRPr="00166772" w:rsidRDefault="0073069E" w:rsidP="005E3605">
      <w:pPr>
        <w:spacing w:line="480" w:lineRule="auto"/>
        <w:jc w:val="both"/>
        <w:rPr>
          <w:rFonts w:ascii="Arial" w:hAnsi="Arial" w:cs="Arial"/>
        </w:rPr>
      </w:pPr>
    </w:p>
    <w:p w14:paraId="19289FC2" w14:textId="77777777" w:rsidR="0073069E" w:rsidRPr="00166772" w:rsidRDefault="0073069E" w:rsidP="005E3605">
      <w:pPr>
        <w:widowControl w:val="0"/>
        <w:tabs>
          <w:tab w:val="left" w:pos="220"/>
          <w:tab w:val="left" w:pos="720"/>
        </w:tabs>
        <w:autoSpaceDE w:val="0"/>
        <w:autoSpaceDN w:val="0"/>
        <w:adjustRightInd w:val="0"/>
        <w:spacing w:line="480" w:lineRule="auto"/>
        <w:jc w:val="both"/>
        <w:rPr>
          <w:rFonts w:ascii="Arial" w:hAnsi="Arial" w:cs="Arial"/>
          <w:i/>
          <w:color w:val="262626"/>
        </w:rPr>
      </w:pPr>
      <w:r w:rsidRPr="00166772">
        <w:rPr>
          <w:rFonts w:ascii="Arial" w:hAnsi="Arial" w:cs="Arial"/>
          <w:i/>
          <w:color w:val="262626"/>
        </w:rPr>
        <w:lastRenderedPageBreak/>
        <w:t>Data management and statistical analyses</w:t>
      </w:r>
    </w:p>
    <w:p w14:paraId="46858368" w14:textId="57DD886E" w:rsidR="0073069E" w:rsidRPr="00166772" w:rsidRDefault="0073069E" w:rsidP="005E3605">
      <w:pPr>
        <w:widowControl w:val="0"/>
        <w:tabs>
          <w:tab w:val="left" w:pos="220"/>
          <w:tab w:val="left" w:pos="720"/>
        </w:tabs>
        <w:autoSpaceDE w:val="0"/>
        <w:autoSpaceDN w:val="0"/>
        <w:adjustRightInd w:val="0"/>
        <w:spacing w:line="480" w:lineRule="auto"/>
        <w:jc w:val="both"/>
        <w:rPr>
          <w:rFonts w:ascii="Arial" w:hAnsi="Arial" w:cs="Arial"/>
          <w:color w:val="262626"/>
        </w:rPr>
      </w:pPr>
      <w:r w:rsidRPr="00166772">
        <w:rPr>
          <w:rFonts w:ascii="Arial" w:hAnsi="Arial" w:cs="Arial"/>
          <w:color w:val="262626"/>
        </w:rPr>
        <w:t xml:space="preserve">Odds ratios, risk ratios and hazard risks were extracted from each study as a measure of risk estimates, including their respective standard errors or 95% confidence intervals (95%CI). The reference group used in all studies was non-shift workers, defined as those workers either not doing rotational shifts with night shift included, or those who only worked day shifts (7:00-18:00h). For each study, we extracted those estimates with the highest level of adjustment for covariates. When studies calculated the risk estimates for men and women separately, two independent estimates were included in the meta-analysis. For those studies with analyses of sub-groups based on years of shift work, we included data from cumulative groups wherever possible. If a study included more than one type of work schedule (e.g. rotational shifts or permanent night shift), we extracted risk estimates for both groups. We created three categories of </w:t>
      </w:r>
      <w:r w:rsidR="00216B85" w:rsidRPr="00166772">
        <w:rPr>
          <w:rFonts w:ascii="Arial" w:hAnsi="Arial" w:cs="Arial"/>
          <w:color w:val="262626"/>
        </w:rPr>
        <w:t xml:space="preserve">adverse mental health </w:t>
      </w:r>
      <w:r w:rsidRPr="00166772">
        <w:rPr>
          <w:rFonts w:ascii="Arial" w:hAnsi="Arial" w:cs="Arial"/>
          <w:color w:val="262626"/>
        </w:rPr>
        <w:t xml:space="preserve">outcomes </w:t>
      </w:r>
      <w:r w:rsidR="00AC7611" w:rsidRPr="00166772">
        <w:rPr>
          <w:rFonts w:ascii="Arial" w:hAnsi="Arial" w:cs="Arial"/>
          <w:color w:val="262626"/>
        </w:rPr>
        <w:t>1</w:t>
      </w:r>
      <w:r w:rsidRPr="00166772">
        <w:rPr>
          <w:rFonts w:ascii="Arial" w:hAnsi="Arial" w:cs="Arial"/>
          <w:color w:val="262626"/>
        </w:rPr>
        <w:t xml:space="preserve">) Depressive symptoms; </w:t>
      </w:r>
      <w:r w:rsidR="00AC7611" w:rsidRPr="00166772">
        <w:rPr>
          <w:rFonts w:ascii="Arial" w:hAnsi="Arial" w:cs="Arial"/>
          <w:color w:val="262626"/>
        </w:rPr>
        <w:t>2</w:t>
      </w:r>
      <w:r w:rsidRPr="00166772">
        <w:rPr>
          <w:rFonts w:ascii="Arial" w:hAnsi="Arial" w:cs="Arial"/>
          <w:color w:val="262626"/>
        </w:rPr>
        <w:t>) Anxiety symptoms.</w:t>
      </w:r>
      <w:r w:rsidR="00AC7611" w:rsidRPr="00166772">
        <w:rPr>
          <w:rFonts w:ascii="Arial" w:hAnsi="Arial" w:cs="Arial"/>
          <w:color w:val="262626"/>
        </w:rPr>
        <w:t xml:space="preserve"> 3</w:t>
      </w:r>
      <w:r w:rsidR="009F73DD" w:rsidRPr="00166772">
        <w:rPr>
          <w:rFonts w:ascii="Arial" w:hAnsi="Arial" w:cs="Arial"/>
          <w:color w:val="262626"/>
        </w:rPr>
        <w:t>) G</w:t>
      </w:r>
      <w:r w:rsidR="00AC7611" w:rsidRPr="00166772">
        <w:rPr>
          <w:rFonts w:ascii="Arial" w:hAnsi="Arial" w:cs="Arial"/>
          <w:color w:val="262626"/>
        </w:rPr>
        <w:t xml:space="preserve">eneral </w:t>
      </w:r>
      <w:r w:rsidR="0078665E" w:rsidRPr="00166772">
        <w:rPr>
          <w:rFonts w:ascii="Arial" w:hAnsi="Arial" w:cs="Arial"/>
          <w:color w:val="262626"/>
        </w:rPr>
        <w:t xml:space="preserve">poor </w:t>
      </w:r>
      <w:r w:rsidR="00AC7611" w:rsidRPr="00166772">
        <w:rPr>
          <w:rFonts w:ascii="Arial" w:hAnsi="Arial" w:cs="Arial"/>
          <w:color w:val="262626"/>
        </w:rPr>
        <w:t xml:space="preserve">mental health </w:t>
      </w:r>
      <w:r w:rsidR="0078665E" w:rsidRPr="00166772">
        <w:rPr>
          <w:rFonts w:ascii="Arial" w:hAnsi="Arial" w:cs="Arial"/>
          <w:color w:val="262626"/>
        </w:rPr>
        <w:t xml:space="preserve">symptoms </w:t>
      </w:r>
      <w:r w:rsidR="00AC7611" w:rsidRPr="00166772">
        <w:rPr>
          <w:rFonts w:ascii="Arial" w:hAnsi="Arial" w:cs="Arial"/>
          <w:color w:val="262626"/>
        </w:rPr>
        <w:t>(</w:t>
      </w:r>
      <w:r w:rsidR="00B363F8" w:rsidRPr="00166772">
        <w:rPr>
          <w:rFonts w:ascii="Arial" w:hAnsi="Arial" w:cs="Arial"/>
          <w:color w:val="262626"/>
        </w:rPr>
        <w:t xml:space="preserve">e.g. </w:t>
      </w:r>
      <w:r w:rsidR="00AC7611" w:rsidRPr="00166772">
        <w:rPr>
          <w:rFonts w:ascii="Arial" w:hAnsi="Arial" w:cs="Arial"/>
          <w:color w:val="262626"/>
        </w:rPr>
        <w:t>risk estimates using GHQ score cut-off</w:t>
      </w:r>
      <w:r w:rsidR="00B363F8" w:rsidRPr="00166772">
        <w:rPr>
          <w:rFonts w:ascii="Arial" w:hAnsi="Arial" w:cs="Arial"/>
          <w:color w:val="262626"/>
        </w:rPr>
        <w:t xml:space="preserve"> for caseness).</w:t>
      </w:r>
    </w:p>
    <w:p w14:paraId="0B0F13E3" w14:textId="77777777" w:rsidR="0073069E" w:rsidRPr="00166772" w:rsidRDefault="0073069E" w:rsidP="005E3605">
      <w:pPr>
        <w:widowControl w:val="0"/>
        <w:tabs>
          <w:tab w:val="left" w:pos="220"/>
          <w:tab w:val="left" w:pos="720"/>
        </w:tabs>
        <w:autoSpaceDE w:val="0"/>
        <w:autoSpaceDN w:val="0"/>
        <w:adjustRightInd w:val="0"/>
        <w:spacing w:line="480" w:lineRule="auto"/>
        <w:jc w:val="both"/>
        <w:rPr>
          <w:rFonts w:ascii="Arial" w:hAnsi="Arial" w:cs="Arial"/>
          <w:color w:val="262626"/>
        </w:rPr>
      </w:pPr>
    </w:p>
    <w:p w14:paraId="5C7A9C8B" w14:textId="546AC17B" w:rsidR="0073069E" w:rsidRPr="00166772" w:rsidRDefault="0073069E" w:rsidP="005E3605">
      <w:pPr>
        <w:widowControl w:val="0"/>
        <w:tabs>
          <w:tab w:val="left" w:pos="220"/>
          <w:tab w:val="left" w:pos="720"/>
        </w:tabs>
        <w:autoSpaceDE w:val="0"/>
        <w:autoSpaceDN w:val="0"/>
        <w:adjustRightInd w:val="0"/>
        <w:spacing w:line="480" w:lineRule="auto"/>
        <w:jc w:val="both"/>
        <w:rPr>
          <w:rFonts w:ascii="Arial" w:hAnsi="Arial" w:cs="Arial"/>
          <w:color w:val="262626"/>
        </w:rPr>
      </w:pPr>
      <w:r w:rsidRPr="00166772">
        <w:rPr>
          <w:rFonts w:ascii="Arial" w:hAnsi="Arial" w:cs="Arial"/>
          <w:color w:val="262626"/>
        </w:rPr>
        <w:t xml:space="preserve">Risk estimates were used to calculate the pooled effect-size (ES) using random-effects models, to assess the association between shift work and overall risk of </w:t>
      </w:r>
      <w:r w:rsidR="00B363F8" w:rsidRPr="00166772">
        <w:rPr>
          <w:rFonts w:ascii="Arial" w:hAnsi="Arial" w:cs="Arial"/>
          <w:color w:val="262626"/>
        </w:rPr>
        <w:t>adverse</w:t>
      </w:r>
      <w:r w:rsidRPr="00166772">
        <w:rPr>
          <w:rFonts w:ascii="Arial" w:hAnsi="Arial" w:cs="Arial"/>
          <w:color w:val="262626"/>
        </w:rPr>
        <w:t xml:space="preserve"> mental health outcome</w:t>
      </w:r>
      <w:r w:rsidR="00C6527C" w:rsidRPr="00166772">
        <w:rPr>
          <w:rFonts w:ascii="Arial" w:hAnsi="Arial" w:cs="Arial"/>
          <w:color w:val="262626"/>
        </w:rPr>
        <w:t>s</w:t>
      </w:r>
      <w:r w:rsidR="00B363F8" w:rsidRPr="00166772">
        <w:rPr>
          <w:rFonts w:ascii="Arial" w:hAnsi="Arial" w:cs="Arial"/>
          <w:color w:val="262626"/>
        </w:rPr>
        <w:t xml:space="preserve"> (all three categories combined)</w:t>
      </w:r>
      <w:r w:rsidRPr="00166772">
        <w:rPr>
          <w:rFonts w:ascii="Arial" w:hAnsi="Arial" w:cs="Arial"/>
          <w:color w:val="262626"/>
        </w:rPr>
        <w:t xml:space="preserve">. </w:t>
      </w:r>
      <w:r w:rsidR="00E06A82" w:rsidRPr="00166772">
        <w:rPr>
          <w:rFonts w:ascii="Arial" w:hAnsi="Arial" w:cs="Arial"/>
          <w:color w:val="262626"/>
          <w:lang w:val="en-GB"/>
        </w:rPr>
        <w:t>We chose this approach as</w:t>
      </w:r>
      <w:r w:rsidR="005D1E2D" w:rsidRPr="00166772">
        <w:rPr>
          <w:rFonts w:ascii="Arial" w:hAnsi="Arial" w:cs="Arial"/>
          <w:color w:val="262626"/>
          <w:lang w:val="en-GB"/>
        </w:rPr>
        <w:t>,</w:t>
      </w:r>
      <w:r w:rsidR="00E06A82" w:rsidRPr="00166772">
        <w:rPr>
          <w:rFonts w:ascii="Arial" w:hAnsi="Arial" w:cs="Arial"/>
          <w:color w:val="262626"/>
          <w:lang w:val="en-GB"/>
        </w:rPr>
        <w:t xml:space="preserve"> unlike fixed-effect model</w:t>
      </w:r>
      <w:r w:rsidR="005D1E2D" w:rsidRPr="00166772">
        <w:rPr>
          <w:rFonts w:ascii="Arial" w:hAnsi="Arial" w:cs="Arial"/>
          <w:color w:val="262626"/>
          <w:lang w:val="en-GB"/>
        </w:rPr>
        <w:t>s</w:t>
      </w:r>
      <w:r w:rsidR="00E06A82" w:rsidRPr="00166772">
        <w:rPr>
          <w:rFonts w:ascii="Arial" w:hAnsi="Arial" w:cs="Arial"/>
          <w:color w:val="262626"/>
          <w:lang w:val="en-GB"/>
        </w:rPr>
        <w:t>, random effect</w:t>
      </w:r>
      <w:r w:rsidR="005D1E2D" w:rsidRPr="00166772">
        <w:rPr>
          <w:rFonts w:ascii="Arial" w:hAnsi="Arial" w:cs="Arial"/>
          <w:color w:val="262626"/>
          <w:lang w:val="en-GB"/>
        </w:rPr>
        <w:t xml:space="preserve"> models assume</w:t>
      </w:r>
      <w:r w:rsidR="00E06A82" w:rsidRPr="00166772">
        <w:rPr>
          <w:rFonts w:ascii="Arial" w:hAnsi="Arial" w:cs="Arial"/>
          <w:color w:val="262626"/>
          <w:lang w:val="en-GB"/>
        </w:rPr>
        <w:t xml:space="preserve"> that</w:t>
      </w:r>
      <w:r w:rsidR="005D1E2D" w:rsidRPr="00166772">
        <w:rPr>
          <w:rFonts w:ascii="Arial" w:hAnsi="Arial" w:cs="Arial"/>
          <w:color w:val="262626"/>
          <w:lang w:val="en-GB"/>
        </w:rPr>
        <w:t xml:space="preserve"> the</w:t>
      </w:r>
      <w:r w:rsidR="00E06A82" w:rsidRPr="00166772">
        <w:rPr>
          <w:rFonts w:ascii="Arial" w:hAnsi="Arial" w:cs="Arial"/>
          <w:color w:val="262626"/>
          <w:lang w:val="en-GB"/>
        </w:rPr>
        <w:t xml:space="preserve"> shift-work effect might vary between studies</w:t>
      </w:r>
      <w:r w:rsidR="005D1E2D" w:rsidRPr="00166772">
        <w:rPr>
          <w:rFonts w:ascii="Arial" w:hAnsi="Arial" w:cs="Arial"/>
          <w:color w:val="262626"/>
          <w:lang w:val="en-GB"/>
        </w:rPr>
        <w:t>,</w:t>
      </w:r>
      <w:r w:rsidR="00E06A82" w:rsidRPr="00166772">
        <w:rPr>
          <w:rFonts w:ascii="Arial" w:hAnsi="Arial" w:cs="Arial"/>
          <w:color w:val="262626"/>
          <w:lang w:val="en-GB"/>
        </w:rPr>
        <w:t xml:space="preserve"> but also within subjects in each study</w:t>
      </w:r>
      <w:r w:rsidR="009F73DD" w:rsidRPr="00166772">
        <w:rPr>
          <w:rFonts w:ascii="Arial" w:hAnsi="Arial" w:cs="Arial"/>
          <w:color w:val="262626"/>
          <w:vertAlign w:val="superscript"/>
          <w:lang w:val="en-GB"/>
        </w:rPr>
        <w:t>2</w:t>
      </w:r>
      <w:r w:rsidR="004971DB" w:rsidRPr="00166772">
        <w:rPr>
          <w:rFonts w:ascii="Arial" w:hAnsi="Arial" w:cs="Arial"/>
          <w:color w:val="262626"/>
          <w:vertAlign w:val="superscript"/>
          <w:lang w:val="en-GB"/>
        </w:rPr>
        <w:t>5</w:t>
      </w:r>
      <w:r w:rsidR="00216343" w:rsidRPr="00166772">
        <w:rPr>
          <w:rFonts w:ascii="Arial" w:hAnsi="Arial" w:cs="Arial"/>
          <w:color w:val="262626"/>
          <w:lang w:val="en-GB"/>
        </w:rPr>
        <w:t xml:space="preserve">. </w:t>
      </w:r>
      <w:r w:rsidRPr="00166772">
        <w:rPr>
          <w:rFonts w:ascii="Arial" w:hAnsi="Arial" w:cs="Arial"/>
          <w:color w:val="262626"/>
        </w:rPr>
        <w:t>We first conducted an “overall effect analysis” including all estimates in a ‘non-exposure vs. exposure’ meta-analysis, with shift work as the exposure group. We then conducted two sub-group analyses</w:t>
      </w:r>
      <w:r w:rsidR="005D1E2D" w:rsidRPr="00166772">
        <w:rPr>
          <w:rFonts w:ascii="Arial" w:hAnsi="Arial" w:cs="Arial"/>
          <w:color w:val="262626"/>
        </w:rPr>
        <w:t>:</w:t>
      </w:r>
      <w:r w:rsidRPr="00166772">
        <w:rPr>
          <w:rFonts w:ascii="Arial" w:hAnsi="Arial" w:cs="Arial"/>
          <w:color w:val="262626"/>
        </w:rPr>
        <w:t xml:space="preserve"> 1) by </w:t>
      </w:r>
      <w:r w:rsidR="00C6527C" w:rsidRPr="00166772">
        <w:rPr>
          <w:rFonts w:ascii="Arial" w:hAnsi="Arial" w:cs="Arial"/>
          <w:color w:val="262626"/>
        </w:rPr>
        <w:t xml:space="preserve">poor </w:t>
      </w:r>
      <w:r w:rsidRPr="00166772">
        <w:rPr>
          <w:rFonts w:ascii="Arial" w:hAnsi="Arial" w:cs="Arial"/>
          <w:color w:val="262626"/>
        </w:rPr>
        <w:t>mental health outcomes, using the classification previously described (</w:t>
      </w:r>
      <w:r w:rsidR="00AC7611" w:rsidRPr="00166772">
        <w:rPr>
          <w:rFonts w:ascii="Arial" w:hAnsi="Arial" w:cs="Arial"/>
          <w:color w:val="262626"/>
        </w:rPr>
        <w:t xml:space="preserve">depressive symptoms, anxiety symptoms, </w:t>
      </w:r>
      <w:r w:rsidRPr="00166772">
        <w:rPr>
          <w:rFonts w:ascii="Arial" w:hAnsi="Arial" w:cs="Arial"/>
          <w:color w:val="262626"/>
        </w:rPr>
        <w:lastRenderedPageBreak/>
        <w:t xml:space="preserve">general </w:t>
      </w:r>
      <w:r w:rsidR="0078665E" w:rsidRPr="00166772">
        <w:rPr>
          <w:rFonts w:ascii="Arial" w:hAnsi="Arial" w:cs="Arial"/>
          <w:color w:val="262626"/>
        </w:rPr>
        <w:t xml:space="preserve">poor </w:t>
      </w:r>
      <w:r w:rsidRPr="00166772">
        <w:rPr>
          <w:rFonts w:ascii="Arial" w:hAnsi="Arial" w:cs="Arial"/>
          <w:color w:val="262626"/>
        </w:rPr>
        <w:t>mental health</w:t>
      </w:r>
      <w:r w:rsidR="0078665E" w:rsidRPr="00166772">
        <w:rPr>
          <w:rFonts w:ascii="Arial" w:hAnsi="Arial" w:cs="Arial"/>
          <w:color w:val="262626"/>
        </w:rPr>
        <w:t xml:space="preserve"> symptoms</w:t>
      </w:r>
      <w:r w:rsidRPr="00166772">
        <w:rPr>
          <w:rFonts w:ascii="Arial" w:hAnsi="Arial" w:cs="Arial"/>
          <w:color w:val="262626"/>
        </w:rPr>
        <w:t xml:space="preserve">,); and 2) by gender to assess the risk of </w:t>
      </w:r>
      <w:r w:rsidR="00B363F8" w:rsidRPr="00166772">
        <w:rPr>
          <w:rFonts w:ascii="Arial" w:hAnsi="Arial" w:cs="Arial"/>
          <w:color w:val="262626"/>
        </w:rPr>
        <w:t xml:space="preserve">adverse </w:t>
      </w:r>
      <w:r w:rsidRPr="00166772">
        <w:rPr>
          <w:rFonts w:ascii="Arial" w:hAnsi="Arial" w:cs="Arial"/>
          <w:color w:val="262626"/>
        </w:rPr>
        <w:t>mental health outcome</w:t>
      </w:r>
      <w:r w:rsidR="00C6527C" w:rsidRPr="00166772">
        <w:rPr>
          <w:rFonts w:ascii="Arial" w:hAnsi="Arial" w:cs="Arial"/>
          <w:color w:val="262626"/>
        </w:rPr>
        <w:t>s</w:t>
      </w:r>
      <w:r w:rsidR="00B363F8" w:rsidRPr="00166772">
        <w:rPr>
          <w:rFonts w:ascii="Arial" w:hAnsi="Arial" w:cs="Arial"/>
          <w:color w:val="262626"/>
        </w:rPr>
        <w:t xml:space="preserve"> (all three categories combined)</w:t>
      </w:r>
      <w:r w:rsidRPr="00166772">
        <w:rPr>
          <w:rFonts w:ascii="Arial" w:hAnsi="Arial" w:cs="Arial"/>
          <w:color w:val="262626"/>
        </w:rPr>
        <w:t>.</w:t>
      </w:r>
    </w:p>
    <w:p w14:paraId="66D4595C" w14:textId="77777777" w:rsidR="0073069E" w:rsidRPr="00166772" w:rsidRDefault="0073069E" w:rsidP="005E3605">
      <w:pPr>
        <w:widowControl w:val="0"/>
        <w:tabs>
          <w:tab w:val="left" w:pos="220"/>
          <w:tab w:val="left" w:pos="720"/>
        </w:tabs>
        <w:autoSpaceDE w:val="0"/>
        <w:autoSpaceDN w:val="0"/>
        <w:adjustRightInd w:val="0"/>
        <w:spacing w:line="480" w:lineRule="auto"/>
        <w:jc w:val="both"/>
        <w:rPr>
          <w:rFonts w:ascii="Arial" w:hAnsi="Arial" w:cs="Arial"/>
          <w:color w:val="262626"/>
        </w:rPr>
      </w:pPr>
    </w:p>
    <w:p w14:paraId="7B750898" w14:textId="0D7BAED5" w:rsidR="0073069E" w:rsidRPr="00166772" w:rsidRDefault="0073069E" w:rsidP="005E3605">
      <w:pPr>
        <w:widowControl w:val="0"/>
        <w:tabs>
          <w:tab w:val="left" w:pos="220"/>
          <w:tab w:val="left" w:pos="720"/>
        </w:tabs>
        <w:autoSpaceDE w:val="0"/>
        <w:autoSpaceDN w:val="0"/>
        <w:adjustRightInd w:val="0"/>
        <w:spacing w:line="480" w:lineRule="auto"/>
        <w:jc w:val="both"/>
        <w:rPr>
          <w:rFonts w:ascii="Arial" w:hAnsi="Arial" w:cs="Arial"/>
          <w:color w:val="262626"/>
        </w:rPr>
      </w:pPr>
      <w:r w:rsidRPr="00166772">
        <w:rPr>
          <w:rFonts w:ascii="Arial" w:hAnsi="Arial" w:cs="Arial"/>
          <w:color w:val="262626"/>
        </w:rPr>
        <w:t>The I-squared test was used to assess heterogeneity. To assess robustness of data and potential sources of heterogeneity, we conducted sensitivity analyses using univariate meta-regression. Variables included in the sensitivity analyses were: type of poor mental health outcome (depressive symptoms, anxiety symptoms</w:t>
      </w:r>
      <w:r w:rsidR="0078665E" w:rsidRPr="00166772">
        <w:rPr>
          <w:rFonts w:ascii="Arial" w:hAnsi="Arial" w:cs="Arial"/>
          <w:color w:val="262626"/>
        </w:rPr>
        <w:t>, general poor mental health symptoms</w:t>
      </w:r>
      <w:r w:rsidRPr="00166772">
        <w:rPr>
          <w:rFonts w:ascii="Arial" w:hAnsi="Arial" w:cs="Arial"/>
          <w:color w:val="262626"/>
        </w:rPr>
        <w:t>)</w:t>
      </w:r>
      <w:r w:rsidR="005D1E2D" w:rsidRPr="00166772">
        <w:rPr>
          <w:rFonts w:ascii="Arial" w:hAnsi="Arial" w:cs="Arial"/>
          <w:color w:val="262626"/>
        </w:rPr>
        <w:t xml:space="preserve">; gender; </w:t>
      </w:r>
      <w:r w:rsidRPr="00166772">
        <w:rPr>
          <w:rFonts w:ascii="Arial" w:hAnsi="Arial" w:cs="Arial"/>
          <w:color w:val="262626"/>
        </w:rPr>
        <w:t>exposure definition (low or high risk of b</w:t>
      </w:r>
      <w:r w:rsidR="005D1E2D" w:rsidRPr="00166772">
        <w:rPr>
          <w:rFonts w:ascii="Arial" w:hAnsi="Arial" w:cs="Arial"/>
          <w:color w:val="262626"/>
        </w:rPr>
        <w:t>ias);</w:t>
      </w:r>
      <w:r w:rsidRPr="00166772">
        <w:rPr>
          <w:rFonts w:ascii="Arial" w:hAnsi="Arial" w:cs="Arial"/>
          <w:color w:val="262626"/>
        </w:rPr>
        <w:t xml:space="preserve"> industry/occup</w:t>
      </w:r>
      <w:r w:rsidR="005D1E2D" w:rsidRPr="00166772">
        <w:rPr>
          <w:rFonts w:ascii="Arial" w:hAnsi="Arial" w:cs="Arial"/>
          <w:color w:val="262626"/>
        </w:rPr>
        <w:t>ation (nursing, other); follow-up (&lt;1 year, &gt;1 year); risk of bias (moderate, high);</w:t>
      </w:r>
      <w:r w:rsidRPr="00166772">
        <w:rPr>
          <w:rFonts w:ascii="Arial" w:hAnsi="Arial" w:cs="Arial"/>
          <w:color w:val="262626"/>
        </w:rPr>
        <w:t xml:space="preserve"> average age of the cohort (&lt;35 vs. &gt; 35 years old)</w:t>
      </w:r>
      <w:r w:rsidR="005D1E2D" w:rsidRPr="00166772">
        <w:rPr>
          <w:rFonts w:ascii="Arial" w:hAnsi="Arial" w:cs="Arial"/>
          <w:color w:val="262626"/>
        </w:rPr>
        <w:t>;</w:t>
      </w:r>
      <w:r w:rsidRPr="00166772">
        <w:rPr>
          <w:rFonts w:ascii="Arial" w:hAnsi="Arial" w:cs="Arial"/>
          <w:color w:val="262626"/>
        </w:rPr>
        <w:t xml:space="preserve"> sample size (&lt;1000, &gt;1000)</w:t>
      </w:r>
      <w:r w:rsidR="005D1E2D" w:rsidRPr="00166772">
        <w:rPr>
          <w:rFonts w:ascii="Arial" w:hAnsi="Arial" w:cs="Arial"/>
          <w:color w:val="262626"/>
        </w:rPr>
        <w:t>;</w:t>
      </w:r>
      <w:r w:rsidRPr="00166772">
        <w:rPr>
          <w:rFonts w:ascii="Arial" w:hAnsi="Arial" w:cs="Arial"/>
          <w:color w:val="262626"/>
        </w:rPr>
        <w:t xml:space="preserve"> and tool used to measure outcomes (GHQ, other). Funnel plots and the Egger test were used to evaluate publication bias. All analyses were conducted using STATA v12.1 (StataCorp. 2012. Stata Statistical Software: Release 12. College Station, TX, USA).  </w:t>
      </w:r>
    </w:p>
    <w:p w14:paraId="6FBBC6F1" w14:textId="77777777" w:rsidR="0073069E" w:rsidRPr="00166772" w:rsidRDefault="0073069E" w:rsidP="005E3605">
      <w:pPr>
        <w:pStyle w:val="LightGrid-Accent31"/>
        <w:widowControl w:val="0"/>
        <w:tabs>
          <w:tab w:val="left" w:pos="220"/>
          <w:tab w:val="left" w:pos="720"/>
        </w:tabs>
        <w:autoSpaceDE w:val="0"/>
        <w:autoSpaceDN w:val="0"/>
        <w:adjustRightInd w:val="0"/>
        <w:spacing w:line="480" w:lineRule="auto"/>
        <w:ind w:left="0"/>
        <w:jc w:val="both"/>
        <w:rPr>
          <w:rFonts w:ascii="Arial" w:hAnsi="Arial" w:cs="Arial"/>
          <w:b/>
          <w:color w:val="262626"/>
        </w:rPr>
        <w:sectPr w:rsidR="0073069E" w:rsidRPr="00166772" w:rsidSect="00402989">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lnNumType w:countBy="1" w:restart="continuous"/>
          <w:cols w:space="708"/>
          <w:docGrid w:linePitch="360"/>
        </w:sectPr>
      </w:pPr>
    </w:p>
    <w:p w14:paraId="11CBF1D5" w14:textId="77777777" w:rsidR="0073069E" w:rsidRPr="00166772" w:rsidRDefault="0073069E" w:rsidP="005E3605">
      <w:pPr>
        <w:pStyle w:val="LightGrid-Accent31"/>
        <w:widowControl w:val="0"/>
        <w:tabs>
          <w:tab w:val="left" w:pos="220"/>
          <w:tab w:val="left" w:pos="720"/>
        </w:tabs>
        <w:autoSpaceDE w:val="0"/>
        <w:autoSpaceDN w:val="0"/>
        <w:adjustRightInd w:val="0"/>
        <w:spacing w:line="480" w:lineRule="auto"/>
        <w:ind w:left="0"/>
        <w:jc w:val="both"/>
        <w:rPr>
          <w:rFonts w:ascii="Arial" w:hAnsi="Arial" w:cs="Arial"/>
          <w:b/>
          <w:color w:val="262626"/>
        </w:rPr>
      </w:pPr>
      <w:r w:rsidRPr="00166772">
        <w:rPr>
          <w:rFonts w:ascii="Arial" w:hAnsi="Arial" w:cs="Arial"/>
          <w:b/>
          <w:color w:val="262626"/>
        </w:rPr>
        <w:lastRenderedPageBreak/>
        <w:t>RESULTS</w:t>
      </w:r>
    </w:p>
    <w:p w14:paraId="5809299B" w14:textId="78515260" w:rsidR="0073069E" w:rsidRPr="00166772" w:rsidRDefault="0073069E" w:rsidP="005E3605">
      <w:pPr>
        <w:pStyle w:val="LightGrid-Accent31"/>
        <w:widowControl w:val="0"/>
        <w:tabs>
          <w:tab w:val="left" w:pos="220"/>
          <w:tab w:val="left" w:pos="720"/>
        </w:tabs>
        <w:autoSpaceDE w:val="0"/>
        <w:autoSpaceDN w:val="0"/>
        <w:adjustRightInd w:val="0"/>
        <w:spacing w:line="480" w:lineRule="auto"/>
        <w:ind w:left="0"/>
        <w:jc w:val="both"/>
        <w:rPr>
          <w:rFonts w:ascii="Arial" w:hAnsi="Arial" w:cs="Arial"/>
          <w:color w:val="262626"/>
        </w:rPr>
      </w:pPr>
      <w:r w:rsidRPr="00166772">
        <w:rPr>
          <w:rFonts w:ascii="Arial" w:hAnsi="Arial" w:cs="Arial"/>
          <w:color w:val="262626"/>
        </w:rPr>
        <w:t>The results of the systematic review are shown in Figure 1. We retrieved 1902 articles, and after removing duplicates, reviewed 639 by title and abstract and 51 articles by full-text. Of the eligible studies, two studies were not included because of data format (</w:t>
      </w:r>
      <w:r w:rsidR="0021378B" w:rsidRPr="00166772">
        <w:rPr>
          <w:rFonts w:ascii="Arial" w:hAnsi="Arial" w:cs="Arial"/>
          <w:color w:val="262626"/>
        </w:rPr>
        <w:t>continuous data</w:t>
      </w:r>
      <w:r w:rsidRPr="00166772">
        <w:rPr>
          <w:rFonts w:ascii="Arial" w:hAnsi="Arial" w:cs="Arial"/>
          <w:color w:val="262626"/>
        </w:rPr>
        <w:t>)</w:t>
      </w:r>
      <w:r w:rsidR="005D1E2D" w:rsidRPr="00166772">
        <w:rPr>
          <w:rFonts w:ascii="Arial" w:hAnsi="Arial" w:cs="Arial"/>
          <w:color w:val="262626"/>
        </w:rPr>
        <w:t>,</w:t>
      </w:r>
      <w:r w:rsidR="004971DB" w:rsidRPr="00166772">
        <w:rPr>
          <w:rFonts w:ascii="Arial" w:hAnsi="Arial" w:cs="Arial"/>
          <w:noProof/>
          <w:color w:val="262626"/>
          <w:vertAlign w:val="superscript"/>
        </w:rPr>
        <w:t>2</w:t>
      </w:r>
      <w:r w:rsidR="00227511" w:rsidRPr="00166772">
        <w:rPr>
          <w:rFonts w:ascii="Arial" w:hAnsi="Arial" w:cs="Arial"/>
          <w:noProof/>
          <w:color w:val="262626"/>
          <w:vertAlign w:val="superscript"/>
        </w:rPr>
        <w:t>6</w:t>
      </w:r>
      <w:r w:rsidRPr="00166772">
        <w:t xml:space="preserve"> </w:t>
      </w:r>
      <w:r w:rsidRPr="00166772">
        <w:rPr>
          <w:rFonts w:ascii="Arial" w:hAnsi="Arial" w:cs="Arial"/>
          <w:noProof/>
          <w:color w:val="262626"/>
          <w:vertAlign w:val="superscript"/>
        </w:rPr>
        <w:t>16</w:t>
      </w:r>
      <w:r w:rsidRPr="00166772">
        <w:rPr>
          <w:rFonts w:ascii="Arial" w:hAnsi="Arial" w:cs="Arial"/>
          <w:color w:val="262626"/>
        </w:rPr>
        <w:t xml:space="preserve"> which resulted in 7 studies being included in the meta-analysis. These papers included 14 separate estimates of the association between shift work and </w:t>
      </w:r>
      <w:r w:rsidR="0078665E" w:rsidRPr="00166772">
        <w:rPr>
          <w:rFonts w:ascii="Arial" w:hAnsi="Arial" w:cs="Arial"/>
          <w:color w:val="262626"/>
        </w:rPr>
        <w:t xml:space="preserve">adverse </w:t>
      </w:r>
      <w:r w:rsidRPr="00166772">
        <w:rPr>
          <w:rFonts w:ascii="Arial" w:hAnsi="Arial" w:cs="Arial"/>
          <w:color w:val="262626"/>
        </w:rPr>
        <w:t xml:space="preserve">mental health </w:t>
      </w:r>
      <w:r w:rsidR="0078665E" w:rsidRPr="00166772">
        <w:rPr>
          <w:rFonts w:ascii="Arial" w:hAnsi="Arial" w:cs="Arial"/>
          <w:color w:val="262626"/>
        </w:rPr>
        <w:t>outcomes</w:t>
      </w:r>
      <w:r w:rsidRPr="00166772">
        <w:rPr>
          <w:rFonts w:ascii="Arial" w:hAnsi="Arial" w:cs="Arial"/>
          <w:color w:val="262626"/>
        </w:rPr>
        <w:t>.</w:t>
      </w:r>
    </w:p>
    <w:p w14:paraId="728E061C" w14:textId="77777777" w:rsidR="0073069E" w:rsidRPr="00166772" w:rsidRDefault="0073069E" w:rsidP="005E3605">
      <w:pPr>
        <w:pStyle w:val="LightGrid-Accent31"/>
        <w:widowControl w:val="0"/>
        <w:tabs>
          <w:tab w:val="left" w:pos="220"/>
          <w:tab w:val="left" w:pos="720"/>
        </w:tabs>
        <w:autoSpaceDE w:val="0"/>
        <w:autoSpaceDN w:val="0"/>
        <w:adjustRightInd w:val="0"/>
        <w:spacing w:after="120" w:line="480" w:lineRule="auto"/>
        <w:ind w:left="0"/>
        <w:jc w:val="both"/>
        <w:rPr>
          <w:rFonts w:ascii="Arial" w:hAnsi="Arial" w:cs="Arial"/>
          <w:i/>
          <w:color w:val="262626"/>
        </w:rPr>
      </w:pPr>
    </w:p>
    <w:p w14:paraId="4D8D421A" w14:textId="77777777" w:rsidR="0073069E" w:rsidRPr="00166772" w:rsidRDefault="0073069E" w:rsidP="005E3605">
      <w:pPr>
        <w:pStyle w:val="LightGrid-Accent31"/>
        <w:widowControl w:val="0"/>
        <w:tabs>
          <w:tab w:val="left" w:pos="220"/>
          <w:tab w:val="left" w:pos="720"/>
        </w:tabs>
        <w:autoSpaceDE w:val="0"/>
        <w:autoSpaceDN w:val="0"/>
        <w:adjustRightInd w:val="0"/>
        <w:spacing w:after="120" w:line="480" w:lineRule="auto"/>
        <w:ind w:left="0"/>
        <w:jc w:val="both"/>
        <w:rPr>
          <w:rFonts w:ascii="Arial" w:hAnsi="Arial" w:cs="Arial"/>
          <w:i/>
          <w:color w:val="262626"/>
        </w:rPr>
      </w:pPr>
      <w:r w:rsidRPr="00166772">
        <w:rPr>
          <w:rFonts w:ascii="Arial" w:hAnsi="Arial" w:cs="Arial"/>
          <w:i/>
          <w:color w:val="262626"/>
        </w:rPr>
        <w:t>Study characteristics</w:t>
      </w:r>
    </w:p>
    <w:p w14:paraId="3F2DC8DF" w14:textId="041F5BDA" w:rsidR="0073069E" w:rsidRPr="00166772" w:rsidRDefault="0073069E" w:rsidP="005E3605">
      <w:pPr>
        <w:pStyle w:val="LightGrid-Accent31"/>
        <w:widowControl w:val="0"/>
        <w:tabs>
          <w:tab w:val="left" w:pos="220"/>
          <w:tab w:val="left" w:pos="720"/>
        </w:tabs>
        <w:autoSpaceDE w:val="0"/>
        <w:autoSpaceDN w:val="0"/>
        <w:adjustRightInd w:val="0"/>
        <w:spacing w:after="120" w:line="480" w:lineRule="auto"/>
        <w:ind w:left="0"/>
        <w:jc w:val="both"/>
        <w:rPr>
          <w:rFonts w:ascii="Arial" w:hAnsi="Arial" w:cs="Arial"/>
          <w:color w:val="262626"/>
        </w:rPr>
      </w:pPr>
      <w:r w:rsidRPr="00166772">
        <w:rPr>
          <w:rFonts w:ascii="Arial" w:hAnsi="Arial" w:cs="Arial"/>
          <w:color w:val="262626"/>
        </w:rPr>
        <w:t>Study characteristics are summarised in Table 1. All studies were prospective cohort studies, three had a follow-up ≤ 1 year, and four had a follow-up between 2 and 10 years. The latter studies had larger sample sizes than those with ≤ 1 year follow-up (n= 37-1582 vs 420-9765, respectively)</w:t>
      </w:r>
      <w:r w:rsidRPr="00166772">
        <w:rPr>
          <w:rFonts w:ascii="Arial" w:hAnsi="Arial" w:cs="Arial"/>
          <w:noProof/>
          <w:color w:val="262626"/>
          <w:vertAlign w:val="superscript"/>
        </w:rPr>
        <w:t>15, 17, 2</w:t>
      </w:r>
      <w:r w:rsidR="004971DB" w:rsidRPr="00166772">
        <w:rPr>
          <w:rFonts w:ascii="Arial" w:hAnsi="Arial" w:cs="Arial"/>
          <w:noProof/>
          <w:color w:val="262626"/>
          <w:vertAlign w:val="superscript"/>
        </w:rPr>
        <w:t>7</w:t>
      </w:r>
      <w:r w:rsidRPr="00166772">
        <w:rPr>
          <w:rFonts w:ascii="Arial" w:hAnsi="Arial" w:cs="Arial"/>
          <w:noProof/>
          <w:color w:val="262626"/>
          <w:vertAlign w:val="superscript"/>
        </w:rPr>
        <w:t>, 2</w:t>
      </w:r>
      <w:r w:rsidR="004971DB" w:rsidRPr="00166772">
        <w:rPr>
          <w:rFonts w:ascii="Arial" w:hAnsi="Arial" w:cs="Arial"/>
          <w:noProof/>
          <w:color w:val="262626"/>
          <w:vertAlign w:val="superscript"/>
        </w:rPr>
        <w:t>8</w:t>
      </w:r>
      <w:r w:rsidRPr="00166772">
        <w:rPr>
          <w:rFonts w:ascii="Arial" w:hAnsi="Arial" w:cs="Arial"/>
          <w:color w:val="262626"/>
        </w:rPr>
        <w:t xml:space="preserve">. The majority of the studies (n= 4) measured general </w:t>
      </w:r>
      <w:r w:rsidR="0078665E" w:rsidRPr="00166772">
        <w:rPr>
          <w:rFonts w:ascii="Arial" w:hAnsi="Arial" w:cs="Arial"/>
          <w:color w:val="262626"/>
        </w:rPr>
        <w:t xml:space="preserve">poor </w:t>
      </w:r>
      <w:r w:rsidRPr="00166772">
        <w:rPr>
          <w:rFonts w:ascii="Arial" w:hAnsi="Arial" w:cs="Arial"/>
          <w:color w:val="262626"/>
        </w:rPr>
        <w:t xml:space="preserve">mental health </w:t>
      </w:r>
      <w:r w:rsidR="00BD6EBA" w:rsidRPr="00166772">
        <w:rPr>
          <w:rFonts w:ascii="Arial" w:hAnsi="Arial" w:cs="Arial"/>
          <w:color w:val="262626"/>
        </w:rPr>
        <w:t xml:space="preserve">symptoms </w:t>
      </w:r>
      <w:r w:rsidRPr="00166772">
        <w:rPr>
          <w:rFonts w:ascii="Arial" w:hAnsi="Arial" w:cs="Arial"/>
          <w:color w:val="262626"/>
        </w:rPr>
        <w:t xml:space="preserve">using the 12-question General Health Questionnaire (GHQ) </w:t>
      </w:r>
      <w:r w:rsidR="005D1E2D" w:rsidRPr="00166772">
        <w:rPr>
          <w:rFonts w:ascii="Arial" w:hAnsi="Arial" w:cs="Arial"/>
          <w:noProof/>
          <w:color w:val="262626"/>
          <w:vertAlign w:val="superscript"/>
        </w:rPr>
        <w:t>14,15,17,</w:t>
      </w:r>
      <w:r w:rsidRPr="00166772">
        <w:rPr>
          <w:rFonts w:ascii="Arial" w:hAnsi="Arial" w:cs="Arial"/>
          <w:noProof/>
          <w:color w:val="262626"/>
          <w:vertAlign w:val="superscript"/>
        </w:rPr>
        <w:t>26</w:t>
      </w:r>
      <w:r w:rsidRPr="00166772">
        <w:rPr>
          <w:rFonts w:ascii="Arial" w:hAnsi="Arial" w:cs="Arial"/>
          <w:color w:val="262626"/>
        </w:rPr>
        <w:t xml:space="preserve">. One study also used the Nottingham life-quality questionnaire, but to avoid duplication of estimates we only included the general </w:t>
      </w:r>
      <w:r w:rsidR="0078665E" w:rsidRPr="00166772">
        <w:rPr>
          <w:rFonts w:ascii="Arial" w:hAnsi="Arial" w:cs="Arial"/>
          <w:color w:val="262626"/>
        </w:rPr>
        <w:t xml:space="preserve">poor </w:t>
      </w:r>
      <w:r w:rsidRPr="00166772">
        <w:rPr>
          <w:rFonts w:ascii="Arial" w:hAnsi="Arial" w:cs="Arial"/>
          <w:color w:val="262626"/>
        </w:rPr>
        <w:t xml:space="preserve">mental health </w:t>
      </w:r>
      <w:r w:rsidR="00BD6EBA" w:rsidRPr="00166772">
        <w:rPr>
          <w:rFonts w:ascii="Arial" w:hAnsi="Arial" w:cs="Arial"/>
          <w:color w:val="262626"/>
        </w:rPr>
        <w:t xml:space="preserve">symptoms </w:t>
      </w:r>
      <w:r w:rsidRPr="00166772">
        <w:rPr>
          <w:rFonts w:ascii="Arial" w:hAnsi="Arial" w:cs="Arial"/>
          <w:color w:val="262626"/>
        </w:rPr>
        <w:t>estimate defined with GHQ</w:t>
      </w:r>
      <w:r w:rsidRPr="00166772">
        <w:rPr>
          <w:rFonts w:ascii="Arial" w:hAnsi="Arial" w:cs="Arial"/>
          <w:noProof/>
          <w:color w:val="262626"/>
          <w:vertAlign w:val="superscript"/>
        </w:rPr>
        <w:t>17</w:t>
      </w:r>
      <w:r w:rsidRPr="00166772">
        <w:rPr>
          <w:rFonts w:ascii="Arial" w:hAnsi="Arial" w:cs="Arial"/>
          <w:color w:val="262626"/>
        </w:rPr>
        <w:t>. One study used the 28-GHQ anxiety and depression sub-scales to define cases of combined anxiety and depressive symptoms. The remaining studies used either the Hospital Anxiety and Depression scale (HADS-14) to define cases of anxiety and depressive symptoms</w:t>
      </w:r>
      <w:r w:rsidR="005D1E2D" w:rsidRPr="00166772">
        <w:rPr>
          <w:rFonts w:ascii="Arial" w:hAnsi="Arial" w:cs="Arial"/>
          <w:color w:val="262626"/>
        </w:rPr>
        <w:t>,</w:t>
      </w:r>
      <w:r w:rsidRPr="00166772">
        <w:rPr>
          <w:rFonts w:ascii="Arial" w:hAnsi="Arial" w:cs="Arial"/>
          <w:noProof/>
          <w:color w:val="262626"/>
          <w:vertAlign w:val="superscript"/>
        </w:rPr>
        <w:t>2</w:t>
      </w:r>
      <w:r w:rsidR="004971DB" w:rsidRPr="00166772">
        <w:rPr>
          <w:rFonts w:ascii="Arial" w:hAnsi="Arial" w:cs="Arial"/>
          <w:noProof/>
          <w:color w:val="262626"/>
          <w:vertAlign w:val="superscript"/>
        </w:rPr>
        <w:t>9</w:t>
      </w:r>
      <w:r w:rsidRPr="00166772">
        <w:rPr>
          <w:rFonts w:ascii="Arial" w:hAnsi="Arial" w:cs="Arial"/>
          <w:color w:val="262626"/>
        </w:rPr>
        <w:t xml:space="preserve"> or a self-reported checklist from the Health and Work Productivity Questionnaire (HPQ) for cases of depressive symptoms</w:t>
      </w:r>
      <w:r w:rsidR="00FE363D" w:rsidRPr="00166772">
        <w:rPr>
          <w:rFonts w:ascii="Arial" w:hAnsi="Arial" w:cs="Arial"/>
          <w:color w:val="262626"/>
        </w:rPr>
        <w:t>.</w:t>
      </w:r>
      <w:r w:rsidRPr="00166772">
        <w:rPr>
          <w:rFonts w:ascii="Arial" w:hAnsi="Arial" w:cs="Arial"/>
          <w:noProof/>
          <w:color w:val="262626"/>
          <w:vertAlign w:val="superscript"/>
        </w:rPr>
        <w:t>2</w:t>
      </w:r>
      <w:r w:rsidR="004971DB" w:rsidRPr="00166772">
        <w:rPr>
          <w:rFonts w:ascii="Arial" w:hAnsi="Arial" w:cs="Arial"/>
          <w:noProof/>
          <w:color w:val="262626"/>
          <w:vertAlign w:val="superscript"/>
        </w:rPr>
        <w:t>7</w:t>
      </w:r>
      <w:r w:rsidRPr="00166772">
        <w:rPr>
          <w:rFonts w:ascii="Arial" w:hAnsi="Arial" w:cs="Arial"/>
          <w:color w:val="262626"/>
        </w:rPr>
        <w:t xml:space="preserve"> One risk estimate was excluded from the analysis, as the authors measured </w:t>
      </w:r>
      <w:r w:rsidR="0078665E" w:rsidRPr="00166772">
        <w:rPr>
          <w:rFonts w:ascii="Arial" w:hAnsi="Arial" w:cs="Arial"/>
          <w:color w:val="262626"/>
        </w:rPr>
        <w:t xml:space="preserve">symptoms of </w:t>
      </w:r>
      <w:r w:rsidRPr="00166772">
        <w:rPr>
          <w:rFonts w:ascii="Arial" w:hAnsi="Arial" w:cs="Arial"/>
          <w:color w:val="262626"/>
        </w:rPr>
        <w:t>anxiety and depression together using a single self-reported question.</w:t>
      </w:r>
      <w:hyperlink w:anchor="_ENREF_13" w:tooltip="Bara, 2009 #742" w:history="1">
        <w:r w:rsidRPr="00166772">
          <w:rPr>
            <w:rFonts w:ascii="Arial" w:hAnsi="Arial" w:cs="Arial"/>
            <w:noProof/>
            <w:color w:val="262626"/>
            <w:vertAlign w:val="superscript"/>
          </w:rPr>
          <w:t>13</w:t>
        </w:r>
      </w:hyperlink>
      <w:r w:rsidRPr="00166772">
        <w:rPr>
          <w:rFonts w:ascii="Arial" w:hAnsi="Arial" w:cs="Arial"/>
          <w:color w:val="262626"/>
        </w:rPr>
        <w:t xml:space="preserve"> The average age of participants </w:t>
      </w:r>
      <w:r w:rsidR="00FE363D" w:rsidRPr="00166772">
        <w:rPr>
          <w:rFonts w:ascii="Arial" w:hAnsi="Arial" w:cs="Arial"/>
          <w:color w:val="262626"/>
        </w:rPr>
        <w:t>in</w:t>
      </w:r>
      <w:r w:rsidRPr="00166772">
        <w:rPr>
          <w:rFonts w:ascii="Arial" w:hAnsi="Arial" w:cs="Arial"/>
          <w:color w:val="262626"/>
        </w:rPr>
        <w:t xml:space="preserve"> the studies was 39.7</w:t>
      </w:r>
      <w:r w:rsidR="00486A7D" w:rsidRPr="00166772">
        <w:rPr>
          <w:rFonts w:ascii="Arial" w:hAnsi="Arial" w:cs="Arial"/>
          <w:color w:val="262626"/>
        </w:rPr>
        <w:t xml:space="preserve"> </w:t>
      </w:r>
      <w:r w:rsidRPr="00166772">
        <w:rPr>
          <w:rFonts w:ascii="Arial" w:hAnsi="Arial" w:cs="Arial"/>
          <w:color w:val="262626"/>
        </w:rPr>
        <w:t xml:space="preserve">years, </w:t>
      </w:r>
      <w:r w:rsidR="00FE363D" w:rsidRPr="00166772">
        <w:rPr>
          <w:rFonts w:ascii="Arial" w:hAnsi="Arial" w:cs="Arial"/>
          <w:color w:val="262626"/>
        </w:rPr>
        <w:t xml:space="preserve">with a range of </w:t>
      </w:r>
      <w:r w:rsidRPr="00166772">
        <w:rPr>
          <w:rFonts w:ascii="Arial" w:hAnsi="Arial" w:cs="Arial"/>
          <w:color w:val="262626"/>
        </w:rPr>
        <w:t>18-60 years.</w:t>
      </w:r>
    </w:p>
    <w:p w14:paraId="5A7FDC4A" w14:textId="77777777" w:rsidR="0073069E" w:rsidRPr="00166772" w:rsidRDefault="0073069E" w:rsidP="005E3605">
      <w:pPr>
        <w:pStyle w:val="LightGrid-Accent31"/>
        <w:widowControl w:val="0"/>
        <w:tabs>
          <w:tab w:val="left" w:pos="220"/>
          <w:tab w:val="left" w:pos="720"/>
        </w:tabs>
        <w:autoSpaceDE w:val="0"/>
        <w:autoSpaceDN w:val="0"/>
        <w:adjustRightInd w:val="0"/>
        <w:spacing w:line="480" w:lineRule="auto"/>
        <w:ind w:left="0"/>
        <w:jc w:val="both"/>
        <w:rPr>
          <w:rFonts w:ascii="Arial" w:hAnsi="Arial" w:cs="Arial"/>
          <w:i/>
          <w:color w:val="262626"/>
        </w:rPr>
      </w:pPr>
    </w:p>
    <w:p w14:paraId="7632F572" w14:textId="77777777" w:rsidR="0073069E" w:rsidRPr="00166772" w:rsidRDefault="0073069E" w:rsidP="005E3605">
      <w:pPr>
        <w:pStyle w:val="LightGrid-Accent31"/>
        <w:widowControl w:val="0"/>
        <w:tabs>
          <w:tab w:val="left" w:pos="220"/>
          <w:tab w:val="left" w:pos="720"/>
        </w:tabs>
        <w:autoSpaceDE w:val="0"/>
        <w:autoSpaceDN w:val="0"/>
        <w:adjustRightInd w:val="0"/>
        <w:spacing w:line="480" w:lineRule="auto"/>
        <w:ind w:left="0"/>
        <w:jc w:val="both"/>
        <w:rPr>
          <w:rFonts w:ascii="Arial" w:hAnsi="Arial" w:cs="Arial"/>
          <w:i/>
          <w:color w:val="262626"/>
        </w:rPr>
      </w:pPr>
    </w:p>
    <w:p w14:paraId="1BFF0C34" w14:textId="77777777" w:rsidR="0073069E" w:rsidRPr="00166772" w:rsidRDefault="0073069E" w:rsidP="005E3605">
      <w:pPr>
        <w:pStyle w:val="LightGrid-Accent31"/>
        <w:widowControl w:val="0"/>
        <w:tabs>
          <w:tab w:val="left" w:pos="220"/>
          <w:tab w:val="left" w:pos="720"/>
        </w:tabs>
        <w:autoSpaceDE w:val="0"/>
        <w:autoSpaceDN w:val="0"/>
        <w:adjustRightInd w:val="0"/>
        <w:spacing w:line="480" w:lineRule="auto"/>
        <w:ind w:left="0"/>
        <w:jc w:val="both"/>
        <w:rPr>
          <w:rFonts w:ascii="Arial" w:hAnsi="Arial" w:cs="Arial"/>
          <w:i/>
          <w:color w:val="262626"/>
        </w:rPr>
      </w:pPr>
    </w:p>
    <w:p w14:paraId="2283EF0C" w14:textId="77777777" w:rsidR="0073069E" w:rsidRPr="00166772" w:rsidRDefault="0073069E" w:rsidP="005E3605">
      <w:pPr>
        <w:pStyle w:val="LightGrid-Accent31"/>
        <w:widowControl w:val="0"/>
        <w:tabs>
          <w:tab w:val="left" w:pos="220"/>
          <w:tab w:val="left" w:pos="720"/>
        </w:tabs>
        <w:autoSpaceDE w:val="0"/>
        <w:autoSpaceDN w:val="0"/>
        <w:adjustRightInd w:val="0"/>
        <w:spacing w:line="480" w:lineRule="auto"/>
        <w:ind w:left="0"/>
        <w:jc w:val="both"/>
        <w:rPr>
          <w:rFonts w:ascii="Arial" w:hAnsi="Arial" w:cs="Arial"/>
          <w:i/>
          <w:color w:val="262626"/>
        </w:rPr>
      </w:pPr>
      <w:r w:rsidRPr="00166772">
        <w:rPr>
          <w:rFonts w:ascii="Arial" w:hAnsi="Arial" w:cs="Arial"/>
          <w:i/>
          <w:color w:val="262626"/>
        </w:rPr>
        <w:t>Risk of bias assessment</w:t>
      </w:r>
    </w:p>
    <w:p w14:paraId="3A767621" w14:textId="2F93E108" w:rsidR="0073069E" w:rsidRPr="00166772" w:rsidRDefault="0073069E" w:rsidP="005E3605">
      <w:pPr>
        <w:pStyle w:val="LightGrid-Accent31"/>
        <w:widowControl w:val="0"/>
        <w:tabs>
          <w:tab w:val="left" w:pos="220"/>
          <w:tab w:val="left" w:pos="720"/>
        </w:tabs>
        <w:autoSpaceDE w:val="0"/>
        <w:autoSpaceDN w:val="0"/>
        <w:adjustRightInd w:val="0"/>
        <w:spacing w:line="480" w:lineRule="auto"/>
        <w:ind w:left="0"/>
        <w:jc w:val="both"/>
        <w:rPr>
          <w:rFonts w:ascii="Arial" w:hAnsi="Arial" w:cs="Arial"/>
          <w:color w:val="262626"/>
        </w:rPr>
      </w:pPr>
      <w:r w:rsidRPr="00166772">
        <w:rPr>
          <w:rFonts w:ascii="Arial" w:hAnsi="Arial" w:cs="Arial"/>
          <w:color w:val="262626"/>
        </w:rPr>
        <w:t>The risk of bias was high in more than half the studies, and moderate in the remaining studies (see Table 2). Exposure assessment (e.g. using self-report), and attrition (lost</w:t>
      </w:r>
      <w:r w:rsidR="00FE363D" w:rsidRPr="00166772">
        <w:rPr>
          <w:rFonts w:ascii="Arial" w:hAnsi="Arial" w:cs="Arial"/>
          <w:color w:val="262626"/>
        </w:rPr>
        <w:t xml:space="preserve"> to </w:t>
      </w:r>
      <w:r w:rsidRPr="00166772">
        <w:rPr>
          <w:rFonts w:ascii="Arial" w:hAnsi="Arial" w:cs="Arial"/>
          <w:color w:val="262626"/>
        </w:rPr>
        <w:t xml:space="preserve">follow-up&gt;20%) were the two domains with high risk of bias in the majority of the studies. Three studies scored a high risk of bias for exposure definition. No studies reported on the blinding of assessors or researchers undertaking the studies. As this aspect is not relevant to the included studies, the risk of bias was unclear for this item. </w:t>
      </w:r>
    </w:p>
    <w:p w14:paraId="6D9E9080" w14:textId="77777777" w:rsidR="0073069E" w:rsidRPr="00166772" w:rsidRDefault="0073069E" w:rsidP="005E3605">
      <w:pPr>
        <w:pStyle w:val="LightGrid-Accent31"/>
        <w:widowControl w:val="0"/>
        <w:tabs>
          <w:tab w:val="left" w:pos="220"/>
          <w:tab w:val="left" w:pos="720"/>
        </w:tabs>
        <w:autoSpaceDE w:val="0"/>
        <w:autoSpaceDN w:val="0"/>
        <w:adjustRightInd w:val="0"/>
        <w:spacing w:line="480" w:lineRule="auto"/>
        <w:ind w:left="0"/>
        <w:jc w:val="both"/>
        <w:rPr>
          <w:rFonts w:ascii="Arial" w:hAnsi="Arial" w:cs="Arial"/>
          <w:color w:val="262626"/>
        </w:rPr>
      </w:pPr>
    </w:p>
    <w:p w14:paraId="771A6766" w14:textId="77777777" w:rsidR="0073069E" w:rsidRPr="00166772" w:rsidRDefault="0073069E" w:rsidP="005E3605">
      <w:pPr>
        <w:pStyle w:val="LightGrid-Accent31"/>
        <w:widowControl w:val="0"/>
        <w:tabs>
          <w:tab w:val="left" w:pos="220"/>
          <w:tab w:val="left" w:pos="720"/>
        </w:tabs>
        <w:autoSpaceDE w:val="0"/>
        <w:autoSpaceDN w:val="0"/>
        <w:adjustRightInd w:val="0"/>
        <w:spacing w:line="480" w:lineRule="auto"/>
        <w:ind w:left="0"/>
        <w:jc w:val="both"/>
        <w:rPr>
          <w:rFonts w:ascii="Arial" w:hAnsi="Arial" w:cs="Arial"/>
          <w:i/>
          <w:color w:val="262626"/>
        </w:rPr>
      </w:pPr>
      <w:r w:rsidRPr="00166772">
        <w:rPr>
          <w:rFonts w:ascii="Arial" w:hAnsi="Arial" w:cs="Arial"/>
          <w:i/>
          <w:color w:val="262626"/>
        </w:rPr>
        <w:t>Definition and measure of exposure to shift work</w:t>
      </w:r>
    </w:p>
    <w:p w14:paraId="4AFD9948" w14:textId="52BA1B81" w:rsidR="0073069E" w:rsidRPr="00166772" w:rsidRDefault="0073069E" w:rsidP="005E3605">
      <w:pPr>
        <w:pStyle w:val="LightGrid-Accent31"/>
        <w:widowControl w:val="0"/>
        <w:tabs>
          <w:tab w:val="left" w:pos="220"/>
          <w:tab w:val="left" w:pos="720"/>
        </w:tabs>
        <w:autoSpaceDE w:val="0"/>
        <w:autoSpaceDN w:val="0"/>
        <w:adjustRightInd w:val="0"/>
        <w:spacing w:line="480" w:lineRule="auto"/>
        <w:ind w:left="0"/>
        <w:jc w:val="both"/>
        <w:rPr>
          <w:rFonts w:ascii="Arial" w:hAnsi="Arial" w:cs="Arial"/>
          <w:color w:val="262626"/>
        </w:rPr>
      </w:pPr>
      <w:r w:rsidRPr="00166772">
        <w:rPr>
          <w:rFonts w:ascii="Arial" w:hAnsi="Arial" w:cs="Arial"/>
          <w:color w:val="262626"/>
        </w:rPr>
        <w:t>Six studies used self-report to measure shift work exposure, and one used company records.</w:t>
      </w:r>
      <w:r w:rsidR="00227511" w:rsidRPr="00166772">
        <w:rPr>
          <w:rFonts w:ascii="Arial" w:hAnsi="Arial" w:cs="Arial"/>
          <w:noProof/>
          <w:color w:val="262626"/>
          <w:vertAlign w:val="superscript"/>
        </w:rPr>
        <w:t>30</w:t>
      </w:r>
      <w:r w:rsidRPr="00166772">
        <w:rPr>
          <w:rFonts w:ascii="Arial" w:hAnsi="Arial" w:cs="Arial"/>
          <w:color w:val="262626"/>
        </w:rPr>
        <w:t xml:space="preserve"> Studies defined shift work differently, with most using a work pattern consisting of rotations between morning, afternoon and night shifts, or between day and night shifts </w:t>
      </w:r>
      <w:r w:rsidR="004971DB" w:rsidRPr="00166772">
        <w:rPr>
          <w:rFonts w:ascii="Arial" w:hAnsi="Arial" w:cs="Arial"/>
          <w:noProof/>
          <w:color w:val="262626"/>
          <w:vertAlign w:val="superscript"/>
        </w:rPr>
        <w:t>14, 27</w:t>
      </w:r>
      <w:r w:rsidR="00227511" w:rsidRPr="00166772">
        <w:rPr>
          <w:rFonts w:ascii="Arial" w:hAnsi="Arial" w:cs="Arial"/>
          <w:noProof/>
          <w:color w:val="262626"/>
          <w:vertAlign w:val="superscript"/>
        </w:rPr>
        <w:t>-30</w:t>
      </w:r>
      <w:r w:rsidRPr="00166772">
        <w:rPr>
          <w:rFonts w:ascii="Arial" w:hAnsi="Arial" w:cs="Arial"/>
          <w:color w:val="262626"/>
        </w:rPr>
        <w:t>. Two studies considered “working nights” as shift work, but without a specific pattern definition (e.g. frequency of night shifts)</w:t>
      </w:r>
      <w:r w:rsidRPr="00166772">
        <w:t xml:space="preserve"> </w:t>
      </w:r>
      <w:r w:rsidRPr="00166772">
        <w:rPr>
          <w:rFonts w:ascii="Arial" w:hAnsi="Arial" w:cs="Arial"/>
          <w:noProof/>
          <w:color w:val="262626"/>
          <w:vertAlign w:val="superscript"/>
        </w:rPr>
        <w:t>15, 17</w:t>
      </w:r>
      <w:r w:rsidRPr="00166772">
        <w:rPr>
          <w:rFonts w:ascii="Arial" w:hAnsi="Arial" w:cs="Arial"/>
          <w:color w:val="262626"/>
        </w:rPr>
        <w:t>.</w:t>
      </w:r>
    </w:p>
    <w:p w14:paraId="7DEE4847" w14:textId="77777777" w:rsidR="0073069E" w:rsidRPr="00166772" w:rsidRDefault="0073069E" w:rsidP="005E3605">
      <w:pPr>
        <w:pStyle w:val="LightGrid-Accent31"/>
        <w:widowControl w:val="0"/>
        <w:tabs>
          <w:tab w:val="left" w:pos="220"/>
          <w:tab w:val="left" w:pos="720"/>
        </w:tabs>
        <w:autoSpaceDE w:val="0"/>
        <w:autoSpaceDN w:val="0"/>
        <w:adjustRightInd w:val="0"/>
        <w:spacing w:line="480" w:lineRule="auto"/>
        <w:ind w:left="0"/>
        <w:jc w:val="both"/>
        <w:rPr>
          <w:rFonts w:ascii="Arial" w:hAnsi="Arial" w:cs="Arial"/>
          <w:i/>
          <w:color w:val="262626"/>
        </w:rPr>
      </w:pPr>
    </w:p>
    <w:p w14:paraId="3957C5ED" w14:textId="0A80C868" w:rsidR="0073069E" w:rsidRPr="00166772" w:rsidRDefault="0073069E" w:rsidP="005E3605">
      <w:pPr>
        <w:pStyle w:val="LightGrid-Accent31"/>
        <w:widowControl w:val="0"/>
        <w:tabs>
          <w:tab w:val="left" w:pos="220"/>
          <w:tab w:val="left" w:pos="720"/>
        </w:tabs>
        <w:autoSpaceDE w:val="0"/>
        <w:autoSpaceDN w:val="0"/>
        <w:adjustRightInd w:val="0"/>
        <w:spacing w:line="480" w:lineRule="auto"/>
        <w:ind w:left="0"/>
        <w:jc w:val="both"/>
        <w:rPr>
          <w:rFonts w:ascii="Arial" w:hAnsi="Arial" w:cs="Arial"/>
          <w:i/>
          <w:color w:val="262626"/>
        </w:rPr>
      </w:pPr>
      <w:r w:rsidRPr="00166772">
        <w:rPr>
          <w:rFonts w:ascii="Arial" w:hAnsi="Arial" w:cs="Arial"/>
          <w:i/>
          <w:color w:val="262626"/>
        </w:rPr>
        <w:t xml:space="preserve">Effect of shift work on </w:t>
      </w:r>
      <w:r w:rsidR="00622C1B" w:rsidRPr="00166772">
        <w:rPr>
          <w:rFonts w:ascii="Arial" w:hAnsi="Arial" w:cs="Arial"/>
          <w:i/>
          <w:color w:val="262626"/>
        </w:rPr>
        <w:t xml:space="preserve">adverse </w:t>
      </w:r>
      <w:r w:rsidRPr="00166772">
        <w:rPr>
          <w:rFonts w:ascii="Arial" w:hAnsi="Arial" w:cs="Arial"/>
          <w:i/>
          <w:color w:val="262626"/>
        </w:rPr>
        <w:t>mental health outcomes</w:t>
      </w:r>
    </w:p>
    <w:p w14:paraId="7750F1EE" w14:textId="773CF115" w:rsidR="0073069E" w:rsidRPr="00166772" w:rsidRDefault="0073069E" w:rsidP="005E3605">
      <w:pPr>
        <w:pStyle w:val="LightGrid-Accent31"/>
        <w:widowControl w:val="0"/>
        <w:tabs>
          <w:tab w:val="left" w:pos="220"/>
          <w:tab w:val="left" w:pos="720"/>
        </w:tabs>
        <w:autoSpaceDE w:val="0"/>
        <w:autoSpaceDN w:val="0"/>
        <w:adjustRightInd w:val="0"/>
        <w:spacing w:line="480" w:lineRule="auto"/>
        <w:ind w:left="0"/>
        <w:jc w:val="both"/>
        <w:rPr>
          <w:rFonts w:ascii="Arial" w:hAnsi="Arial" w:cs="Arial"/>
          <w:color w:val="262626"/>
        </w:rPr>
      </w:pPr>
      <w:r w:rsidRPr="00166772">
        <w:rPr>
          <w:rFonts w:ascii="Arial" w:hAnsi="Arial" w:cs="Arial"/>
          <w:color w:val="262626"/>
        </w:rPr>
        <w:t xml:space="preserve">The results of the meta-analysis for the association between shift work and </w:t>
      </w:r>
      <w:r w:rsidR="00622C1B" w:rsidRPr="00166772">
        <w:rPr>
          <w:rFonts w:ascii="Arial" w:hAnsi="Arial" w:cs="Arial"/>
          <w:color w:val="262626"/>
        </w:rPr>
        <w:t>adverse mental health outcomes</w:t>
      </w:r>
      <w:r w:rsidRPr="00166772">
        <w:rPr>
          <w:rFonts w:ascii="Arial" w:hAnsi="Arial" w:cs="Arial"/>
          <w:color w:val="262626"/>
        </w:rPr>
        <w:t xml:space="preserve"> </w:t>
      </w:r>
      <w:r w:rsidR="00622C1B" w:rsidRPr="00166772">
        <w:rPr>
          <w:rFonts w:ascii="Arial" w:hAnsi="Arial" w:cs="Arial"/>
          <w:color w:val="262626"/>
        </w:rPr>
        <w:t>(</w:t>
      </w:r>
      <w:r w:rsidRPr="00166772">
        <w:rPr>
          <w:rFonts w:ascii="Arial" w:hAnsi="Arial" w:cs="Arial"/>
          <w:color w:val="262626"/>
        </w:rPr>
        <w:t xml:space="preserve">three </w:t>
      </w:r>
      <w:r w:rsidR="00622C1B" w:rsidRPr="00166772">
        <w:rPr>
          <w:rFonts w:ascii="Arial" w:hAnsi="Arial" w:cs="Arial"/>
          <w:color w:val="262626"/>
        </w:rPr>
        <w:t>categories combined)</w:t>
      </w:r>
      <w:r w:rsidRPr="00166772">
        <w:rPr>
          <w:rFonts w:ascii="Arial" w:hAnsi="Arial" w:cs="Arial"/>
          <w:color w:val="262626"/>
        </w:rPr>
        <w:t xml:space="preserve"> are shown in Figure 2. The pooled effect size (ES) show</w:t>
      </w:r>
      <w:r w:rsidR="00FE363D" w:rsidRPr="00166772">
        <w:rPr>
          <w:rFonts w:ascii="Arial" w:hAnsi="Arial" w:cs="Arial"/>
          <w:color w:val="262626"/>
        </w:rPr>
        <w:t>s</w:t>
      </w:r>
      <w:r w:rsidRPr="00166772">
        <w:rPr>
          <w:rFonts w:ascii="Arial" w:hAnsi="Arial" w:cs="Arial"/>
          <w:color w:val="262626"/>
        </w:rPr>
        <w:t xml:space="preserve"> shift workers had a higher risk of </w:t>
      </w:r>
      <w:r w:rsidR="00622C1B" w:rsidRPr="00166772">
        <w:rPr>
          <w:rFonts w:ascii="Arial" w:hAnsi="Arial" w:cs="Arial"/>
          <w:color w:val="262626"/>
        </w:rPr>
        <w:t>adverse</w:t>
      </w:r>
      <w:r w:rsidRPr="00166772">
        <w:rPr>
          <w:rFonts w:ascii="Arial" w:hAnsi="Arial" w:cs="Arial"/>
          <w:color w:val="262626"/>
        </w:rPr>
        <w:t xml:space="preserve"> mental health </w:t>
      </w:r>
      <w:r w:rsidR="00622C1B" w:rsidRPr="00166772">
        <w:rPr>
          <w:rFonts w:ascii="Arial" w:hAnsi="Arial" w:cs="Arial"/>
          <w:color w:val="262626"/>
        </w:rPr>
        <w:t>outcome</w:t>
      </w:r>
      <w:r w:rsidR="00BD6EBA" w:rsidRPr="00166772">
        <w:rPr>
          <w:rFonts w:ascii="Arial" w:hAnsi="Arial" w:cs="Arial"/>
          <w:color w:val="262626"/>
        </w:rPr>
        <w:t>s</w:t>
      </w:r>
      <w:r w:rsidR="00622C1B" w:rsidRPr="00166772">
        <w:rPr>
          <w:rFonts w:ascii="Arial" w:hAnsi="Arial" w:cs="Arial"/>
          <w:color w:val="262626"/>
        </w:rPr>
        <w:t xml:space="preserve"> </w:t>
      </w:r>
      <w:r w:rsidRPr="00166772">
        <w:rPr>
          <w:rFonts w:ascii="Arial" w:hAnsi="Arial" w:cs="Arial"/>
          <w:color w:val="262626"/>
        </w:rPr>
        <w:t>than those who only worked during daytime hours (ES: 1.28; 95%CI: 1.02-1.62). However, there was substantial heterogeneity among studies (I</w:t>
      </w:r>
      <w:r w:rsidRPr="00166772">
        <w:rPr>
          <w:rFonts w:ascii="Arial" w:hAnsi="Arial" w:cs="Arial"/>
          <w:color w:val="262626"/>
          <w:vertAlign w:val="superscript"/>
        </w:rPr>
        <w:t>2</w:t>
      </w:r>
      <w:r w:rsidRPr="00166772">
        <w:rPr>
          <w:rFonts w:ascii="Arial" w:hAnsi="Arial" w:cs="Arial"/>
          <w:color w:val="262626"/>
        </w:rPr>
        <w:t xml:space="preserve"> = 70.6%). In the sub-analysis by specific</w:t>
      </w:r>
      <w:r w:rsidR="00622C1B" w:rsidRPr="00166772">
        <w:rPr>
          <w:rFonts w:ascii="Arial" w:hAnsi="Arial" w:cs="Arial"/>
          <w:color w:val="262626"/>
        </w:rPr>
        <w:t xml:space="preserve"> adverse</w:t>
      </w:r>
      <w:r w:rsidRPr="00166772">
        <w:rPr>
          <w:rFonts w:ascii="Arial" w:hAnsi="Arial" w:cs="Arial"/>
          <w:color w:val="262626"/>
        </w:rPr>
        <w:t xml:space="preserve"> mental health outcomes, shift work was associated with 33% higher risk of depressive symptoms (ES: 1.33; 95%CI: 1.02-1.74). The risk of anxiety </w:t>
      </w:r>
      <w:r w:rsidR="0078665E" w:rsidRPr="00166772">
        <w:rPr>
          <w:rFonts w:ascii="Arial" w:hAnsi="Arial" w:cs="Arial"/>
          <w:color w:val="262626"/>
        </w:rPr>
        <w:t xml:space="preserve">symptoms </w:t>
      </w:r>
      <w:r w:rsidRPr="00166772">
        <w:rPr>
          <w:rFonts w:ascii="Arial" w:hAnsi="Arial" w:cs="Arial"/>
          <w:color w:val="262626"/>
        </w:rPr>
        <w:t xml:space="preserve">and general </w:t>
      </w:r>
      <w:r w:rsidR="0078665E" w:rsidRPr="00166772">
        <w:rPr>
          <w:rFonts w:ascii="Arial" w:hAnsi="Arial" w:cs="Arial"/>
          <w:color w:val="262626"/>
        </w:rPr>
        <w:t xml:space="preserve">poor </w:t>
      </w:r>
      <w:r w:rsidRPr="00166772">
        <w:rPr>
          <w:rFonts w:ascii="Arial" w:hAnsi="Arial" w:cs="Arial"/>
          <w:color w:val="262626"/>
        </w:rPr>
        <w:t xml:space="preserve">mental health </w:t>
      </w:r>
      <w:r w:rsidR="0078665E" w:rsidRPr="00166772">
        <w:rPr>
          <w:rFonts w:ascii="Arial" w:hAnsi="Arial" w:cs="Arial"/>
          <w:color w:val="262626"/>
        </w:rPr>
        <w:t xml:space="preserve">symptoms </w:t>
      </w:r>
      <w:r w:rsidRPr="00166772">
        <w:rPr>
          <w:rFonts w:ascii="Arial" w:hAnsi="Arial" w:cs="Arial"/>
          <w:color w:val="262626"/>
        </w:rPr>
        <w:t>was higher in shift w</w:t>
      </w:r>
      <w:r w:rsidR="004F6245" w:rsidRPr="00166772">
        <w:rPr>
          <w:rFonts w:ascii="Arial" w:hAnsi="Arial" w:cs="Arial"/>
          <w:color w:val="262626"/>
        </w:rPr>
        <w:t>orkers than in day-only workers;</w:t>
      </w:r>
      <w:r w:rsidRPr="00166772">
        <w:rPr>
          <w:rFonts w:ascii="Arial" w:hAnsi="Arial" w:cs="Arial"/>
          <w:color w:val="262626"/>
        </w:rPr>
        <w:t xml:space="preserve"> however these associations were not statistically significant (ES: 1.20; 95%CI </w:t>
      </w:r>
      <w:r w:rsidRPr="00166772">
        <w:rPr>
          <w:rFonts w:ascii="Arial" w:hAnsi="Arial" w:cs="Arial"/>
          <w:color w:val="262626"/>
        </w:rPr>
        <w:lastRenderedPageBreak/>
        <w:t xml:space="preserve">0.85-1.69 and ES:1.18; 95%CI 0.72,1.91, respectively).   </w:t>
      </w:r>
    </w:p>
    <w:p w14:paraId="775E39AF" w14:textId="5538DD5F" w:rsidR="0073069E" w:rsidRPr="00166772" w:rsidRDefault="0073069E" w:rsidP="005E3605">
      <w:pPr>
        <w:pStyle w:val="LightGrid-Accent31"/>
        <w:widowControl w:val="0"/>
        <w:tabs>
          <w:tab w:val="left" w:pos="220"/>
          <w:tab w:val="left" w:pos="720"/>
        </w:tabs>
        <w:autoSpaceDE w:val="0"/>
        <w:autoSpaceDN w:val="0"/>
        <w:adjustRightInd w:val="0"/>
        <w:spacing w:line="480" w:lineRule="auto"/>
        <w:ind w:left="0"/>
        <w:jc w:val="both"/>
        <w:rPr>
          <w:rFonts w:ascii="Arial" w:hAnsi="Arial" w:cs="Arial"/>
          <w:color w:val="262626"/>
        </w:rPr>
      </w:pPr>
      <w:r w:rsidRPr="00166772">
        <w:rPr>
          <w:rFonts w:ascii="Arial" w:hAnsi="Arial" w:cs="Arial"/>
          <w:color w:val="262626"/>
        </w:rPr>
        <w:t xml:space="preserve">In the sub-group analysis in Figure 3, female shift workers were at higher risk of </w:t>
      </w:r>
      <w:r w:rsidR="004F6245" w:rsidRPr="00166772">
        <w:rPr>
          <w:rFonts w:ascii="Arial" w:hAnsi="Arial" w:cs="Arial"/>
          <w:color w:val="262626"/>
        </w:rPr>
        <w:t>adverse mental health outcomes</w:t>
      </w:r>
      <w:r w:rsidR="005121B8" w:rsidRPr="00166772">
        <w:rPr>
          <w:rFonts w:ascii="Arial" w:hAnsi="Arial" w:cs="Arial"/>
          <w:color w:val="262626"/>
        </w:rPr>
        <w:t xml:space="preserve"> </w:t>
      </w:r>
      <w:r w:rsidRPr="00166772">
        <w:rPr>
          <w:rFonts w:ascii="Arial" w:hAnsi="Arial" w:cs="Arial"/>
          <w:color w:val="262626"/>
        </w:rPr>
        <w:t xml:space="preserve">(ES 1.78, 95%CI 1.39- 2.14) than female non-shift workers. However, this </w:t>
      </w:r>
      <w:r w:rsidR="00FE363D" w:rsidRPr="00166772">
        <w:rPr>
          <w:rFonts w:ascii="Arial" w:hAnsi="Arial" w:cs="Arial"/>
          <w:color w:val="262626"/>
        </w:rPr>
        <w:t>was not the case for</w:t>
      </w:r>
      <w:r w:rsidRPr="00166772">
        <w:rPr>
          <w:rFonts w:ascii="Arial" w:hAnsi="Arial" w:cs="Arial"/>
          <w:color w:val="262626"/>
        </w:rPr>
        <w:t xml:space="preserve"> male shift workers (ES 1.14, 95%CI 0.49-2.65). </w:t>
      </w:r>
    </w:p>
    <w:p w14:paraId="74D7E316" w14:textId="77777777" w:rsidR="0073069E" w:rsidRPr="00166772" w:rsidRDefault="0073069E" w:rsidP="005E3605">
      <w:pPr>
        <w:pStyle w:val="LightGrid-Accent31"/>
        <w:widowControl w:val="0"/>
        <w:tabs>
          <w:tab w:val="left" w:pos="220"/>
          <w:tab w:val="left" w:pos="720"/>
        </w:tabs>
        <w:autoSpaceDE w:val="0"/>
        <w:autoSpaceDN w:val="0"/>
        <w:adjustRightInd w:val="0"/>
        <w:spacing w:line="480" w:lineRule="auto"/>
        <w:ind w:left="0"/>
        <w:rPr>
          <w:rFonts w:ascii="Arial" w:hAnsi="Arial" w:cs="Arial"/>
          <w:color w:val="262626"/>
        </w:rPr>
      </w:pPr>
    </w:p>
    <w:p w14:paraId="192FAE38" w14:textId="77777777" w:rsidR="0073069E" w:rsidRPr="00166772" w:rsidRDefault="0073069E" w:rsidP="005E3605">
      <w:pPr>
        <w:pStyle w:val="LightGrid-Accent31"/>
        <w:widowControl w:val="0"/>
        <w:tabs>
          <w:tab w:val="left" w:pos="220"/>
          <w:tab w:val="left" w:pos="720"/>
        </w:tabs>
        <w:autoSpaceDE w:val="0"/>
        <w:autoSpaceDN w:val="0"/>
        <w:adjustRightInd w:val="0"/>
        <w:spacing w:line="480" w:lineRule="auto"/>
        <w:ind w:left="0"/>
        <w:jc w:val="both"/>
        <w:rPr>
          <w:rFonts w:ascii="Arial" w:hAnsi="Arial" w:cs="Arial"/>
          <w:i/>
          <w:color w:val="262626"/>
        </w:rPr>
      </w:pPr>
      <w:r w:rsidRPr="00166772">
        <w:rPr>
          <w:rFonts w:ascii="Arial" w:hAnsi="Arial" w:cs="Arial"/>
          <w:i/>
          <w:color w:val="262626"/>
        </w:rPr>
        <w:t>Sensitivity analysis</w:t>
      </w:r>
    </w:p>
    <w:p w14:paraId="553B4B1F" w14:textId="77638C86" w:rsidR="0073069E" w:rsidRPr="00166772" w:rsidRDefault="0073069E" w:rsidP="005E3605">
      <w:pPr>
        <w:pStyle w:val="LightGrid-Accent31"/>
        <w:widowControl w:val="0"/>
        <w:tabs>
          <w:tab w:val="left" w:pos="220"/>
          <w:tab w:val="left" w:pos="720"/>
        </w:tabs>
        <w:autoSpaceDE w:val="0"/>
        <w:autoSpaceDN w:val="0"/>
        <w:adjustRightInd w:val="0"/>
        <w:spacing w:line="480" w:lineRule="auto"/>
        <w:ind w:left="0"/>
        <w:jc w:val="both"/>
        <w:rPr>
          <w:rFonts w:ascii="Arial" w:hAnsi="Arial" w:cs="Arial"/>
          <w:color w:val="262626"/>
        </w:rPr>
      </w:pPr>
      <w:r w:rsidRPr="00166772">
        <w:rPr>
          <w:rFonts w:ascii="Arial" w:hAnsi="Arial" w:cs="Arial"/>
          <w:color w:val="262626"/>
        </w:rPr>
        <w:t xml:space="preserve">Results of the sensitivity analysis are shown in Table 3. The meta-regression results show that gender and overall risk of bias could explain 90% and 0.61% of the heterogeneity of results. </w:t>
      </w:r>
      <w:r w:rsidR="00496138" w:rsidRPr="00166772">
        <w:rPr>
          <w:rFonts w:ascii="Arial" w:hAnsi="Arial" w:cs="Arial"/>
          <w:color w:val="262626"/>
        </w:rPr>
        <w:t>The rest of the factors measure</w:t>
      </w:r>
      <w:r w:rsidR="00FE363D" w:rsidRPr="00166772">
        <w:rPr>
          <w:rFonts w:ascii="Arial" w:hAnsi="Arial" w:cs="Arial"/>
          <w:color w:val="262626"/>
        </w:rPr>
        <w:t>d</w:t>
      </w:r>
      <w:r w:rsidR="00496138" w:rsidRPr="00166772">
        <w:rPr>
          <w:rFonts w:ascii="Arial" w:hAnsi="Arial" w:cs="Arial"/>
          <w:color w:val="262626"/>
        </w:rPr>
        <w:t xml:space="preserve"> resulted in a negative I</w:t>
      </w:r>
      <w:r w:rsidR="00496138" w:rsidRPr="00166772">
        <w:rPr>
          <w:rFonts w:ascii="Arial" w:hAnsi="Arial" w:cs="Arial"/>
          <w:color w:val="262626"/>
          <w:vertAlign w:val="superscript"/>
        </w:rPr>
        <w:t>2</w:t>
      </w:r>
      <w:r w:rsidR="00496138" w:rsidRPr="00166772">
        <w:rPr>
          <w:rFonts w:ascii="Arial" w:hAnsi="Arial" w:cs="Arial"/>
          <w:color w:val="262626"/>
        </w:rPr>
        <w:t>, w</w:t>
      </w:r>
      <w:r w:rsidR="00FE363D" w:rsidRPr="00166772">
        <w:rPr>
          <w:rFonts w:ascii="Arial" w:hAnsi="Arial" w:cs="Arial"/>
          <w:color w:val="262626"/>
        </w:rPr>
        <w:t>hich can be interpreted as zero .</w:t>
      </w:r>
      <w:r w:rsidR="00BC6218" w:rsidRPr="00166772">
        <w:rPr>
          <w:rFonts w:ascii="Arial" w:hAnsi="Arial" w:cs="Arial"/>
          <w:color w:val="262626"/>
          <w:vertAlign w:val="superscript"/>
        </w:rPr>
        <w:t>31</w:t>
      </w:r>
      <w:r w:rsidR="00496138" w:rsidRPr="00166772">
        <w:rPr>
          <w:rFonts w:ascii="Arial" w:hAnsi="Arial" w:cs="Arial"/>
          <w:color w:val="262626"/>
        </w:rPr>
        <w:t xml:space="preserve"> </w:t>
      </w:r>
      <w:r w:rsidRPr="00166772">
        <w:rPr>
          <w:rFonts w:ascii="Arial" w:hAnsi="Arial" w:cs="Arial"/>
          <w:color w:val="262626"/>
        </w:rPr>
        <w:t>When the pooled effect size included estimates from women only, the</w:t>
      </w:r>
      <w:r w:rsidR="00371066" w:rsidRPr="00166772">
        <w:rPr>
          <w:rFonts w:ascii="Arial" w:hAnsi="Arial" w:cs="Arial"/>
          <w:color w:val="262626"/>
        </w:rPr>
        <w:t xml:space="preserve"> effect of shift work was</w:t>
      </w:r>
      <w:r w:rsidRPr="00166772">
        <w:rPr>
          <w:rStyle w:val="CommentReference"/>
          <w:rFonts w:ascii="Arial" w:hAnsi="Arial" w:cs="Arial"/>
          <w:sz w:val="24"/>
          <w:szCs w:val="24"/>
        </w:rPr>
        <w:t xml:space="preserve"> higher in</w:t>
      </w:r>
      <w:r w:rsidR="00371066" w:rsidRPr="00166772">
        <w:rPr>
          <w:rStyle w:val="CommentReference"/>
          <w:rFonts w:ascii="Arial" w:hAnsi="Arial" w:cs="Arial"/>
          <w:sz w:val="24"/>
          <w:szCs w:val="24"/>
        </w:rPr>
        <w:t xml:space="preserve"> female</w:t>
      </w:r>
      <w:r w:rsidRPr="00166772">
        <w:rPr>
          <w:rStyle w:val="CommentReference"/>
          <w:rFonts w:ascii="Arial" w:hAnsi="Arial" w:cs="Arial"/>
          <w:sz w:val="24"/>
          <w:szCs w:val="24"/>
        </w:rPr>
        <w:t xml:space="preserve"> shift workers than in</w:t>
      </w:r>
      <w:r w:rsidR="00FE363D" w:rsidRPr="00166772">
        <w:rPr>
          <w:rStyle w:val="CommentReference"/>
          <w:rFonts w:ascii="Arial" w:hAnsi="Arial" w:cs="Arial"/>
          <w:sz w:val="24"/>
          <w:szCs w:val="24"/>
        </w:rPr>
        <w:t xml:space="preserve"> female</w:t>
      </w:r>
      <w:r w:rsidRPr="00166772">
        <w:rPr>
          <w:rStyle w:val="CommentReference"/>
          <w:rFonts w:ascii="Arial" w:hAnsi="Arial" w:cs="Arial"/>
          <w:sz w:val="24"/>
          <w:szCs w:val="24"/>
        </w:rPr>
        <w:t xml:space="preserve"> day workers (</w:t>
      </w:r>
      <w:r w:rsidR="00371066" w:rsidRPr="00166772">
        <w:rPr>
          <w:rStyle w:val="CommentReference"/>
          <w:rFonts w:ascii="Arial" w:hAnsi="Arial" w:cs="Arial"/>
          <w:sz w:val="24"/>
          <w:szCs w:val="24"/>
        </w:rPr>
        <w:t>ES 1.73, 95%CI 1.3</w:t>
      </w:r>
      <w:r w:rsidRPr="00166772">
        <w:rPr>
          <w:rStyle w:val="CommentReference"/>
          <w:rFonts w:ascii="Arial" w:hAnsi="Arial" w:cs="Arial"/>
          <w:sz w:val="24"/>
          <w:szCs w:val="24"/>
        </w:rPr>
        <w:t>9-2.</w:t>
      </w:r>
      <w:r w:rsidR="00371066" w:rsidRPr="00166772">
        <w:rPr>
          <w:rStyle w:val="CommentReference"/>
          <w:rFonts w:ascii="Arial" w:hAnsi="Arial" w:cs="Arial"/>
          <w:sz w:val="24"/>
          <w:szCs w:val="24"/>
        </w:rPr>
        <w:t>14</w:t>
      </w:r>
      <w:r w:rsidRPr="00166772">
        <w:rPr>
          <w:rStyle w:val="CommentReference"/>
          <w:rFonts w:ascii="Arial" w:hAnsi="Arial" w:cs="Arial"/>
          <w:sz w:val="24"/>
          <w:szCs w:val="24"/>
        </w:rPr>
        <w:t>). But this was not the case for male shift workers (</w:t>
      </w:r>
      <w:r w:rsidR="00371066" w:rsidRPr="00166772">
        <w:rPr>
          <w:rStyle w:val="CommentReference"/>
          <w:rFonts w:ascii="Arial" w:hAnsi="Arial" w:cs="Arial"/>
          <w:sz w:val="24"/>
          <w:szCs w:val="24"/>
        </w:rPr>
        <w:t>ES</w:t>
      </w:r>
      <w:r w:rsidRPr="00166772">
        <w:rPr>
          <w:rStyle w:val="CommentReference"/>
          <w:rFonts w:ascii="Arial" w:hAnsi="Arial" w:cs="Arial"/>
          <w:sz w:val="24"/>
          <w:szCs w:val="24"/>
        </w:rPr>
        <w:t xml:space="preserve"> 1.25, 95%CI 0.</w:t>
      </w:r>
      <w:r w:rsidR="00371066" w:rsidRPr="00166772">
        <w:rPr>
          <w:rStyle w:val="CommentReference"/>
          <w:rFonts w:ascii="Arial" w:hAnsi="Arial" w:cs="Arial"/>
          <w:sz w:val="24"/>
          <w:szCs w:val="24"/>
        </w:rPr>
        <w:t>49-2.65</w:t>
      </w:r>
      <w:r w:rsidRPr="00166772">
        <w:rPr>
          <w:rStyle w:val="CommentReference"/>
          <w:rFonts w:ascii="Arial" w:hAnsi="Arial" w:cs="Arial"/>
          <w:sz w:val="24"/>
          <w:szCs w:val="24"/>
        </w:rPr>
        <w:t>).</w:t>
      </w:r>
      <w:r w:rsidRPr="00166772">
        <w:rPr>
          <w:rStyle w:val="CommentReference"/>
          <w:sz w:val="24"/>
          <w:szCs w:val="24"/>
        </w:rPr>
        <w:t xml:space="preserve"> </w:t>
      </w:r>
      <w:r w:rsidRPr="00166772">
        <w:rPr>
          <w:rFonts w:ascii="Arial" w:hAnsi="Arial" w:cs="Arial"/>
          <w:color w:val="262626"/>
        </w:rPr>
        <w:t xml:space="preserve">The pooled effect sizes were significant for depressive symptoms, studies with low risk of bias in the exposure definition, studies of nurses, those with large sample size (&gt;1000), and in studies with moderate overall risk of bias.  </w:t>
      </w:r>
    </w:p>
    <w:p w14:paraId="5EBDC79D" w14:textId="77777777" w:rsidR="0073069E" w:rsidRPr="00166772" w:rsidRDefault="0073069E" w:rsidP="005E3605">
      <w:pPr>
        <w:widowControl w:val="0"/>
        <w:tabs>
          <w:tab w:val="left" w:pos="220"/>
          <w:tab w:val="left" w:pos="720"/>
        </w:tabs>
        <w:autoSpaceDE w:val="0"/>
        <w:autoSpaceDN w:val="0"/>
        <w:adjustRightInd w:val="0"/>
        <w:spacing w:before="120" w:line="480" w:lineRule="auto"/>
        <w:rPr>
          <w:rFonts w:ascii="Arial" w:hAnsi="Arial" w:cs="Arial"/>
          <w:b/>
        </w:rPr>
        <w:sectPr w:rsidR="0073069E" w:rsidRPr="00166772" w:rsidSect="005E3605">
          <w:pgSz w:w="11900" w:h="16840"/>
          <w:pgMar w:top="1134" w:right="1134" w:bottom="1134" w:left="1134" w:header="708" w:footer="708" w:gutter="0"/>
          <w:lnNumType w:countBy="1" w:restart="continuous"/>
          <w:cols w:space="708"/>
          <w:docGrid w:linePitch="360"/>
        </w:sectPr>
      </w:pPr>
    </w:p>
    <w:p w14:paraId="319FCCB2" w14:textId="77777777" w:rsidR="0073069E" w:rsidRPr="00166772" w:rsidRDefault="0073069E" w:rsidP="005E3605">
      <w:pPr>
        <w:widowControl w:val="0"/>
        <w:tabs>
          <w:tab w:val="left" w:pos="220"/>
          <w:tab w:val="left" w:pos="720"/>
        </w:tabs>
        <w:autoSpaceDE w:val="0"/>
        <w:autoSpaceDN w:val="0"/>
        <w:adjustRightInd w:val="0"/>
        <w:spacing w:before="120" w:line="480" w:lineRule="auto"/>
        <w:rPr>
          <w:rFonts w:ascii="Arial" w:hAnsi="Arial" w:cs="Arial"/>
          <w:b/>
        </w:rPr>
      </w:pPr>
      <w:r w:rsidRPr="00166772">
        <w:rPr>
          <w:rFonts w:ascii="Arial" w:hAnsi="Arial" w:cs="Arial"/>
          <w:b/>
        </w:rPr>
        <w:lastRenderedPageBreak/>
        <w:t>DISCUSSION</w:t>
      </w:r>
    </w:p>
    <w:p w14:paraId="5A7C8967" w14:textId="1C6AFD71" w:rsidR="0073069E" w:rsidRPr="00166772" w:rsidRDefault="0073069E" w:rsidP="005E3605">
      <w:pPr>
        <w:widowControl w:val="0"/>
        <w:tabs>
          <w:tab w:val="left" w:pos="220"/>
          <w:tab w:val="left" w:pos="720"/>
        </w:tabs>
        <w:autoSpaceDE w:val="0"/>
        <w:autoSpaceDN w:val="0"/>
        <w:adjustRightInd w:val="0"/>
        <w:spacing w:before="120" w:line="480" w:lineRule="auto"/>
        <w:jc w:val="both"/>
        <w:rPr>
          <w:rFonts w:ascii="Arial" w:hAnsi="Arial" w:cs="Arial"/>
          <w:color w:val="262626"/>
        </w:rPr>
      </w:pPr>
      <w:r w:rsidRPr="00166772">
        <w:rPr>
          <w:rFonts w:ascii="Arial" w:hAnsi="Arial" w:cs="Arial"/>
          <w:color w:val="262626"/>
        </w:rPr>
        <w:tab/>
        <w:t>To our knowledge this is the first meta-analysis to investigate the pooled effects of shift work on the risk of</w:t>
      </w:r>
      <w:r w:rsidR="00947FD0" w:rsidRPr="00166772">
        <w:rPr>
          <w:rFonts w:ascii="Arial" w:hAnsi="Arial" w:cs="Arial"/>
          <w:color w:val="262626"/>
        </w:rPr>
        <w:t xml:space="preserve"> adverse mental health outcome</w:t>
      </w:r>
      <w:r w:rsidR="00BD6EBA" w:rsidRPr="00166772">
        <w:rPr>
          <w:rFonts w:ascii="Arial" w:hAnsi="Arial" w:cs="Arial"/>
          <w:color w:val="262626"/>
        </w:rPr>
        <w:t>s</w:t>
      </w:r>
      <w:r w:rsidR="00947FD0" w:rsidRPr="00166772">
        <w:rPr>
          <w:rFonts w:ascii="Arial" w:hAnsi="Arial" w:cs="Arial"/>
          <w:color w:val="262626"/>
        </w:rPr>
        <w:t>, including</w:t>
      </w:r>
      <w:r w:rsidRPr="00166772">
        <w:rPr>
          <w:rFonts w:ascii="Arial" w:hAnsi="Arial" w:cs="Arial"/>
          <w:color w:val="262626"/>
        </w:rPr>
        <w:t xml:space="preserve"> </w:t>
      </w:r>
      <w:r w:rsidR="005121B8" w:rsidRPr="00166772">
        <w:rPr>
          <w:rFonts w:ascii="Arial" w:hAnsi="Arial" w:cs="Arial"/>
          <w:color w:val="262626"/>
        </w:rPr>
        <w:t xml:space="preserve">symptoms of depression, anxiety, and </w:t>
      </w:r>
      <w:r w:rsidRPr="00166772">
        <w:rPr>
          <w:rFonts w:ascii="Arial" w:hAnsi="Arial" w:cs="Arial"/>
          <w:color w:val="262626"/>
        </w:rPr>
        <w:t xml:space="preserve">general </w:t>
      </w:r>
      <w:r w:rsidR="005121B8" w:rsidRPr="00166772">
        <w:rPr>
          <w:rFonts w:ascii="Arial" w:hAnsi="Arial" w:cs="Arial"/>
          <w:color w:val="262626"/>
        </w:rPr>
        <w:t xml:space="preserve">poor </w:t>
      </w:r>
      <w:r w:rsidRPr="00166772">
        <w:rPr>
          <w:rFonts w:ascii="Arial" w:hAnsi="Arial" w:cs="Arial"/>
          <w:color w:val="262626"/>
        </w:rPr>
        <w:t xml:space="preserve">mental health. The results show that shift work was associated with an increased overall risk of </w:t>
      </w:r>
      <w:r w:rsidR="00947FD0" w:rsidRPr="00166772">
        <w:rPr>
          <w:rFonts w:ascii="Arial" w:hAnsi="Arial" w:cs="Arial"/>
          <w:color w:val="262626"/>
        </w:rPr>
        <w:t>adverse mental health outcomes</w:t>
      </w:r>
      <w:r w:rsidR="00BD6EBA" w:rsidRPr="00166772">
        <w:rPr>
          <w:rFonts w:ascii="Arial" w:hAnsi="Arial" w:cs="Arial"/>
          <w:color w:val="262626"/>
        </w:rPr>
        <w:t xml:space="preserve"> (poor mental health)</w:t>
      </w:r>
      <w:r w:rsidRPr="00166772">
        <w:rPr>
          <w:rFonts w:ascii="Arial" w:hAnsi="Arial" w:cs="Arial"/>
          <w:color w:val="262626"/>
        </w:rPr>
        <w:t xml:space="preserve">. Specifically, the risk of depressive symptoms was 33% higher in shift workers than in non-shift workers. Gender differences explained more than 90% of heterogeneity, with female shift workers </w:t>
      </w:r>
      <w:r w:rsidR="00DB186D" w:rsidRPr="00166772">
        <w:rPr>
          <w:rFonts w:ascii="Arial" w:hAnsi="Arial" w:cs="Arial"/>
          <w:color w:val="262626"/>
        </w:rPr>
        <w:t xml:space="preserve">more likely to </w:t>
      </w:r>
      <w:r w:rsidR="00FE363D" w:rsidRPr="00166772">
        <w:rPr>
          <w:rFonts w:ascii="Arial" w:hAnsi="Arial" w:cs="Arial"/>
          <w:color w:val="262626"/>
        </w:rPr>
        <w:t>experience</w:t>
      </w:r>
      <w:r w:rsidR="005121B8" w:rsidRPr="00166772">
        <w:rPr>
          <w:rFonts w:ascii="Arial" w:hAnsi="Arial" w:cs="Arial"/>
          <w:color w:val="262626"/>
        </w:rPr>
        <w:t xml:space="preserve"> </w:t>
      </w:r>
      <w:r w:rsidRPr="00166772">
        <w:rPr>
          <w:rFonts w:ascii="Arial" w:hAnsi="Arial" w:cs="Arial"/>
          <w:color w:val="262626"/>
        </w:rPr>
        <w:t xml:space="preserve">depressive symptoms than female non-shift workers (OR 1.73, 95%CI 1.39-2.14). </w:t>
      </w:r>
    </w:p>
    <w:p w14:paraId="76B00BDB" w14:textId="0B6FDD3A" w:rsidR="0073069E" w:rsidRPr="00166772" w:rsidRDefault="0073069E" w:rsidP="005E3605">
      <w:pPr>
        <w:widowControl w:val="0"/>
        <w:tabs>
          <w:tab w:val="left" w:pos="220"/>
          <w:tab w:val="left" w:pos="720"/>
        </w:tabs>
        <w:autoSpaceDE w:val="0"/>
        <w:autoSpaceDN w:val="0"/>
        <w:adjustRightInd w:val="0"/>
        <w:spacing w:before="120" w:line="480" w:lineRule="auto"/>
        <w:jc w:val="both"/>
        <w:rPr>
          <w:rFonts w:ascii="Arial" w:hAnsi="Arial" w:cs="Arial"/>
          <w:color w:val="262626"/>
        </w:rPr>
      </w:pPr>
      <w:r w:rsidRPr="00166772">
        <w:rPr>
          <w:rFonts w:ascii="Arial" w:hAnsi="Arial" w:cs="Arial"/>
          <w:color w:val="262626"/>
        </w:rPr>
        <w:tab/>
        <w:t>Our results are comparable with a previous meta-analysis that investigated depression risk in shift workers</w:t>
      </w:r>
      <w:r w:rsidRPr="00166772">
        <w:t xml:space="preserve"> </w:t>
      </w:r>
      <w:r w:rsidR="00227511" w:rsidRPr="00166772">
        <w:rPr>
          <w:rFonts w:ascii="Arial" w:hAnsi="Arial" w:cs="Arial"/>
          <w:noProof/>
          <w:color w:val="262626"/>
          <w:vertAlign w:val="superscript"/>
        </w:rPr>
        <w:t>3</w:t>
      </w:r>
      <w:r w:rsidR="001131A9" w:rsidRPr="00166772">
        <w:rPr>
          <w:rFonts w:ascii="Arial" w:hAnsi="Arial" w:cs="Arial"/>
          <w:noProof/>
          <w:color w:val="262626"/>
          <w:vertAlign w:val="superscript"/>
        </w:rPr>
        <w:t>2</w:t>
      </w:r>
      <w:r w:rsidRPr="00166772">
        <w:rPr>
          <w:rFonts w:ascii="Arial" w:hAnsi="Arial" w:cs="Arial"/>
          <w:color w:val="262626"/>
        </w:rPr>
        <w:t xml:space="preserve">. Lee et al. </w:t>
      </w:r>
      <w:r w:rsidR="00227511" w:rsidRPr="00166772">
        <w:rPr>
          <w:rFonts w:ascii="Arial" w:hAnsi="Arial" w:cs="Arial"/>
          <w:noProof/>
          <w:color w:val="262626"/>
          <w:vertAlign w:val="superscript"/>
        </w:rPr>
        <w:t>3</w:t>
      </w:r>
      <w:r w:rsidR="001131A9" w:rsidRPr="00166772">
        <w:rPr>
          <w:rFonts w:ascii="Arial" w:hAnsi="Arial" w:cs="Arial"/>
          <w:noProof/>
          <w:color w:val="262626"/>
          <w:vertAlign w:val="superscript"/>
        </w:rPr>
        <w:t>2</w:t>
      </w:r>
      <w:r w:rsidRPr="00166772">
        <w:rPr>
          <w:rFonts w:ascii="Arial" w:hAnsi="Arial" w:cs="Arial"/>
          <w:color w:val="262626"/>
        </w:rPr>
        <w:t xml:space="preserve"> reported </w:t>
      </w:r>
      <w:r w:rsidR="00FE363D" w:rsidRPr="00166772">
        <w:rPr>
          <w:rFonts w:ascii="Arial" w:hAnsi="Arial" w:cs="Arial"/>
          <w:color w:val="262626"/>
        </w:rPr>
        <w:t xml:space="preserve">a </w:t>
      </w:r>
      <w:r w:rsidRPr="00166772">
        <w:rPr>
          <w:rFonts w:ascii="Helvetica" w:hAnsi="Helvetica" w:cs="Helvetica"/>
          <w:lang w:val="en-US"/>
        </w:rPr>
        <w:t xml:space="preserve">RR 1.43; 95%CI 1.24-1.64, which is similar to our pooled estimate for </w:t>
      </w:r>
      <w:r w:rsidR="005121B8" w:rsidRPr="00166772">
        <w:rPr>
          <w:rFonts w:ascii="Helvetica" w:hAnsi="Helvetica" w:cs="Helvetica"/>
          <w:lang w:val="en-US"/>
        </w:rPr>
        <w:t xml:space="preserve">depressive symptoms </w:t>
      </w:r>
      <w:r w:rsidRPr="00166772">
        <w:rPr>
          <w:rFonts w:ascii="Helvetica" w:hAnsi="Helvetica" w:cs="Helvetica"/>
          <w:lang w:val="en-US"/>
        </w:rPr>
        <w:t>(ES:1.33; 95%CI 1.02-1.74).</w:t>
      </w:r>
      <w:r w:rsidRPr="00166772">
        <w:rPr>
          <w:rFonts w:ascii="Arial" w:hAnsi="Arial" w:cs="Arial"/>
          <w:color w:val="262626"/>
        </w:rPr>
        <w:t xml:space="preserve"> Another review and meta-analysis of longitudinal studies found the majority of studies reported an increased risk of depression with night work, but the pooled effect size was not significant (ES: 1.42 95%CI 0.92-2.19)</w:t>
      </w:r>
      <w:r w:rsidR="00FE363D" w:rsidRPr="00166772">
        <w:rPr>
          <w:rFonts w:ascii="Arial" w:hAnsi="Arial" w:cs="Arial"/>
          <w:color w:val="262626"/>
        </w:rPr>
        <w:t>.</w:t>
      </w:r>
      <w:r w:rsidRPr="00166772">
        <w:rPr>
          <w:rFonts w:ascii="Arial" w:hAnsi="Arial" w:cs="Arial"/>
          <w:noProof/>
          <w:vertAlign w:val="superscript"/>
        </w:rPr>
        <w:t>3</w:t>
      </w:r>
      <w:r w:rsidR="001131A9" w:rsidRPr="00166772">
        <w:rPr>
          <w:rFonts w:ascii="Arial" w:hAnsi="Arial" w:cs="Arial"/>
          <w:noProof/>
          <w:vertAlign w:val="superscript"/>
        </w:rPr>
        <w:t>3</w:t>
      </w:r>
      <w:r w:rsidR="00947FD0" w:rsidRPr="00166772">
        <w:rPr>
          <w:rFonts w:ascii="Arial" w:hAnsi="Arial" w:cs="Arial"/>
          <w:color w:val="262626"/>
        </w:rPr>
        <w:t xml:space="preserve"> </w:t>
      </w:r>
      <w:r w:rsidRPr="00166772">
        <w:rPr>
          <w:rFonts w:ascii="Arial" w:hAnsi="Arial" w:cs="Arial"/>
          <w:color w:val="262626"/>
        </w:rPr>
        <w:t>Our study add</w:t>
      </w:r>
      <w:r w:rsidR="005121B8" w:rsidRPr="00166772">
        <w:rPr>
          <w:rFonts w:ascii="Arial" w:hAnsi="Arial" w:cs="Arial"/>
          <w:color w:val="262626"/>
        </w:rPr>
        <w:t>s</w:t>
      </w:r>
      <w:r w:rsidRPr="00166772">
        <w:rPr>
          <w:rFonts w:ascii="Arial" w:hAnsi="Arial" w:cs="Arial"/>
          <w:color w:val="262626"/>
        </w:rPr>
        <w:t xml:space="preserve"> to previous literature by showing shift workers’ risk is </w:t>
      </w:r>
      <w:r w:rsidR="00E36BAA" w:rsidRPr="00166772">
        <w:rPr>
          <w:rFonts w:ascii="Arial" w:hAnsi="Arial" w:cs="Arial"/>
          <w:color w:val="262626"/>
        </w:rPr>
        <w:t xml:space="preserve">also </w:t>
      </w:r>
      <w:r w:rsidRPr="00166772">
        <w:rPr>
          <w:rFonts w:ascii="Arial" w:hAnsi="Arial" w:cs="Arial"/>
          <w:color w:val="262626"/>
        </w:rPr>
        <w:t xml:space="preserve">higher for </w:t>
      </w:r>
      <w:r w:rsidR="00C6527C" w:rsidRPr="00166772">
        <w:rPr>
          <w:rFonts w:ascii="Arial" w:hAnsi="Arial" w:cs="Arial"/>
          <w:color w:val="262626"/>
        </w:rPr>
        <w:t>adverse</w:t>
      </w:r>
      <w:r w:rsidR="00E36BAA" w:rsidRPr="00166772">
        <w:rPr>
          <w:rFonts w:ascii="Arial" w:hAnsi="Arial" w:cs="Arial"/>
          <w:color w:val="262626"/>
        </w:rPr>
        <w:t xml:space="preserve"> </w:t>
      </w:r>
      <w:r w:rsidRPr="00166772">
        <w:rPr>
          <w:rFonts w:ascii="Arial" w:hAnsi="Arial" w:cs="Arial"/>
          <w:color w:val="262626"/>
        </w:rPr>
        <w:t>mental health</w:t>
      </w:r>
      <w:r w:rsidR="00C6527C" w:rsidRPr="00166772">
        <w:rPr>
          <w:rFonts w:ascii="Arial" w:hAnsi="Arial" w:cs="Arial"/>
          <w:color w:val="262626"/>
        </w:rPr>
        <w:t xml:space="preserve"> outcomes</w:t>
      </w:r>
      <w:r w:rsidRPr="00166772">
        <w:rPr>
          <w:rFonts w:ascii="Arial" w:hAnsi="Arial" w:cs="Arial"/>
          <w:color w:val="262626"/>
        </w:rPr>
        <w:t>, not just depression, and this risk might differ between men and women.</w:t>
      </w:r>
    </w:p>
    <w:p w14:paraId="5300FF32" w14:textId="117D6325" w:rsidR="00FE363D" w:rsidRPr="00166772" w:rsidRDefault="0073069E" w:rsidP="005E3605">
      <w:pPr>
        <w:widowControl w:val="0"/>
        <w:tabs>
          <w:tab w:val="left" w:pos="220"/>
          <w:tab w:val="left" w:pos="720"/>
        </w:tabs>
        <w:autoSpaceDE w:val="0"/>
        <w:autoSpaceDN w:val="0"/>
        <w:adjustRightInd w:val="0"/>
        <w:spacing w:before="120" w:line="480" w:lineRule="auto"/>
        <w:jc w:val="both"/>
        <w:rPr>
          <w:rFonts w:ascii="Arial" w:hAnsi="Arial" w:cs="Arial"/>
          <w:color w:val="262626"/>
        </w:rPr>
      </w:pPr>
      <w:r w:rsidRPr="00166772">
        <w:rPr>
          <w:rFonts w:ascii="Arial" w:hAnsi="Arial" w:cs="Arial"/>
          <w:color w:val="262626"/>
        </w:rPr>
        <w:tab/>
      </w:r>
      <w:r w:rsidR="00E36BAA" w:rsidRPr="00166772">
        <w:rPr>
          <w:rFonts w:ascii="Arial" w:hAnsi="Arial" w:cs="Arial"/>
          <w:color w:val="262626"/>
        </w:rPr>
        <w:t xml:space="preserve">Although our study did not specifically assess positive mental health outcomes, </w:t>
      </w:r>
      <w:r w:rsidRPr="00166772">
        <w:rPr>
          <w:rFonts w:ascii="Arial" w:hAnsi="Arial" w:cs="Arial"/>
          <w:color w:val="262626"/>
        </w:rPr>
        <w:t xml:space="preserve">our findings </w:t>
      </w:r>
      <w:r w:rsidR="00E36BAA" w:rsidRPr="00166772">
        <w:rPr>
          <w:rFonts w:ascii="Arial" w:hAnsi="Arial" w:cs="Arial"/>
          <w:color w:val="262626"/>
        </w:rPr>
        <w:t xml:space="preserve">of an increased risk of symptoms related to depression and </w:t>
      </w:r>
      <w:r w:rsidR="00BD6EBA" w:rsidRPr="00166772">
        <w:rPr>
          <w:rFonts w:ascii="Arial" w:hAnsi="Arial" w:cs="Arial"/>
          <w:color w:val="262626"/>
        </w:rPr>
        <w:t>poor</w:t>
      </w:r>
      <w:r w:rsidR="00E36BAA" w:rsidRPr="00166772">
        <w:rPr>
          <w:rFonts w:ascii="Arial" w:hAnsi="Arial" w:cs="Arial"/>
          <w:color w:val="262626"/>
        </w:rPr>
        <w:t xml:space="preserve"> mental health</w:t>
      </w:r>
      <w:r w:rsidR="00C6527C" w:rsidRPr="00166772">
        <w:rPr>
          <w:rFonts w:ascii="Arial" w:hAnsi="Arial" w:cs="Arial"/>
          <w:color w:val="262626"/>
        </w:rPr>
        <w:t xml:space="preserve"> outcomes</w:t>
      </w:r>
      <w:r w:rsidR="00E36BAA" w:rsidRPr="00166772">
        <w:rPr>
          <w:rFonts w:ascii="Arial" w:hAnsi="Arial" w:cs="Arial"/>
          <w:color w:val="262626"/>
        </w:rPr>
        <w:t xml:space="preserve"> seem to </w:t>
      </w:r>
      <w:r w:rsidRPr="00166772">
        <w:rPr>
          <w:rFonts w:ascii="Arial" w:hAnsi="Arial" w:cs="Arial"/>
          <w:color w:val="262626"/>
        </w:rPr>
        <w:t>contrast those of Nabe-Niesen et al.</w:t>
      </w:r>
      <w:r w:rsidRPr="00166772">
        <w:rPr>
          <w:rFonts w:ascii="Arial" w:hAnsi="Arial" w:cs="Arial"/>
          <w:noProof/>
          <w:color w:val="262626"/>
          <w:vertAlign w:val="superscript"/>
        </w:rPr>
        <w:t>16</w:t>
      </w:r>
      <w:r w:rsidRPr="00166772">
        <w:rPr>
          <w:rFonts w:ascii="Arial" w:hAnsi="Arial" w:cs="Arial"/>
          <w:color w:val="262626"/>
        </w:rPr>
        <w:t>, wh</w:t>
      </w:r>
      <w:r w:rsidR="00E36BAA" w:rsidRPr="00166772">
        <w:rPr>
          <w:rFonts w:ascii="Arial" w:hAnsi="Arial" w:cs="Arial"/>
          <w:color w:val="262626"/>
        </w:rPr>
        <w:t>o</w:t>
      </w:r>
      <w:r w:rsidRPr="00166772">
        <w:rPr>
          <w:rFonts w:ascii="Arial" w:hAnsi="Arial" w:cs="Arial"/>
          <w:color w:val="262626"/>
        </w:rPr>
        <w:t xml:space="preserve"> found that Danish shift workers had better mental health and vitality</w:t>
      </w:r>
      <w:r w:rsidR="00947FD0" w:rsidRPr="00166772">
        <w:rPr>
          <w:rFonts w:ascii="Arial" w:hAnsi="Arial" w:cs="Arial"/>
          <w:color w:val="262626"/>
        </w:rPr>
        <w:t xml:space="preserve"> scores</w:t>
      </w:r>
      <w:r w:rsidR="009711B0" w:rsidRPr="00166772">
        <w:rPr>
          <w:rFonts w:ascii="Arial" w:hAnsi="Arial" w:cs="Arial"/>
          <w:color w:val="262626"/>
        </w:rPr>
        <w:t xml:space="preserve"> than day workers. </w:t>
      </w:r>
      <w:r w:rsidRPr="00166772">
        <w:rPr>
          <w:rFonts w:ascii="Arial" w:hAnsi="Arial" w:cs="Arial"/>
          <w:color w:val="262626"/>
        </w:rPr>
        <w:t>These d</w:t>
      </w:r>
      <w:r w:rsidRPr="00166772">
        <w:rPr>
          <w:rFonts w:ascii="Arial" w:hAnsi="Arial" w:cs="Arial"/>
        </w:rPr>
        <w:t>ifferences might be explained by</w:t>
      </w:r>
      <w:r w:rsidR="00D86A72" w:rsidRPr="00166772">
        <w:rPr>
          <w:rFonts w:ascii="Arial" w:hAnsi="Arial" w:cs="Arial"/>
        </w:rPr>
        <w:t xml:space="preserve"> that study inclusion of</w:t>
      </w:r>
      <w:r w:rsidRPr="00166772">
        <w:rPr>
          <w:rFonts w:ascii="Arial" w:hAnsi="Arial" w:cs="Arial"/>
        </w:rPr>
        <w:t xml:space="preserve"> younger sample, shorter follow-up and exposure to shift work, and </w:t>
      </w:r>
      <w:r w:rsidR="00D86A72" w:rsidRPr="00166772">
        <w:rPr>
          <w:rFonts w:ascii="Arial" w:hAnsi="Arial" w:cs="Arial"/>
        </w:rPr>
        <w:t xml:space="preserve">participants’ </w:t>
      </w:r>
      <w:r w:rsidRPr="00166772">
        <w:rPr>
          <w:rFonts w:ascii="Arial" w:hAnsi="Arial" w:cs="Arial"/>
        </w:rPr>
        <w:t>higher control over working time</w:t>
      </w:r>
      <w:r w:rsidR="00FE363D" w:rsidRPr="00166772">
        <w:rPr>
          <w:rFonts w:ascii="Arial" w:hAnsi="Arial" w:cs="Arial"/>
        </w:rPr>
        <w:t>s</w:t>
      </w:r>
      <w:r w:rsidRPr="00166772">
        <w:rPr>
          <w:rFonts w:ascii="Arial" w:hAnsi="Arial" w:cs="Arial"/>
          <w:color w:val="262626"/>
        </w:rPr>
        <w:t>. S</w:t>
      </w:r>
      <w:r w:rsidRPr="00166772">
        <w:rPr>
          <w:rFonts w:ascii="Arial" w:hAnsi="Arial" w:cs="Arial"/>
        </w:rPr>
        <w:t>ub-group analysis in th</w:t>
      </w:r>
      <w:r w:rsidR="00E05800" w:rsidRPr="00166772">
        <w:rPr>
          <w:rFonts w:ascii="Arial" w:hAnsi="Arial" w:cs="Arial"/>
        </w:rPr>
        <w:t xml:space="preserve">e other </w:t>
      </w:r>
      <w:r w:rsidRPr="00166772">
        <w:rPr>
          <w:rFonts w:ascii="Arial" w:hAnsi="Arial" w:cs="Arial"/>
        </w:rPr>
        <w:t xml:space="preserve">study showed that shift workers with low </w:t>
      </w:r>
      <w:r w:rsidR="00FE363D" w:rsidRPr="00166772">
        <w:rPr>
          <w:rFonts w:ascii="Arial" w:hAnsi="Arial" w:cs="Arial"/>
        </w:rPr>
        <w:t>control of</w:t>
      </w:r>
      <w:r w:rsidRPr="00166772">
        <w:rPr>
          <w:rFonts w:ascii="Arial" w:hAnsi="Arial" w:cs="Arial"/>
        </w:rPr>
        <w:t xml:space="preserve"> planning </w:t>
      </w:r>
      <w:r w:rsidRPr="00166772">
        <w:rPr>
          <w:rFonts w:ascii="Arial" w:hAnsi="Arial" w:cs="Arial"/>
          <w:color w:val="262626"/>
        </w:rPr>
        <w:t>working hours scored the poorest in mental health and vitality scales</w:t>
      </w:r>
      <w:r w:rsidR="00D86A72" w:rsidRPr="00166772">
        <w:rPr>
          <w:rFonts w:ascii="Arial" w:hAnsi="Arial" w:cs="Arial"/>
          <w:color w:val="262626"/>
        </w:rPr>
        <w:t xml:space="preserve"> (i.e. how often participants felt energetic, felt worn out, or were tired= “Vitality”; or felt nervous, blue or happy = “Mental </w:t>
      </w:r>
      <w:r w:rsidR="00D86A72" w:rsidRPr="00166772">
        <w:rPr>
          <w:rFonts w:ascii="Arial" w:hAnsi="Arial" w:cs="Arial"/>
          <w:color w:val="262626"/>
        </w:rPr>
        <w:lastRenderedPageBreak/>
        <w:t>health”).</w:t>
      </w:r>
      <w:r w:rsidRPr="00166772">
        <w:rPr>
          <w:rFonts w:ascii="Arial" w:hAnsi="Arial" w:cs="Arial"/>
          <w:color w:val="262626"/>
        </w:rPr>
        <w:t xml:space="preserve"> </w:t>
      </w:r>
      <w:r w:rsidRPr="00166772">
        <w:rPr>
          <w:rFonts w:ascii="Arial" w:hAnsi="Arial" w:cs="Arial"/>
          <w:noProof/>
          <w:color w:val="262626"/>
          <w:vertAlign w:val="superscript"/>
        </w:rPr>
        <w:t>16</w:t>
      </w:r>
      <w:r w:rsidR="00FE363D" w:rsidRPr="00166772">
        <w:rPr>
          <w:rFonts w:ascii="Arial" w:hAnsi="Arial" w:cs="Arial"/>
          <w:color w:val="262626"/>
        </w:rPr>
        <w:t>.</w:t>
      </w:r>
    </w:p>
    <w:p w14:paraId="5AC3CFC9" w14:textId="39A66D80" w:rsidR="0073069E" w:rsidRPr="00166772" w:rsidRDefault="00FE363D" w:rsidP="005E3605">
      <w:pPr>
        <w:widowControl w:val="0"/>
        <w:tabs>
          <w:tab w:val="left" w:pos="220"/>
          <w:tab w:val="left" w:pos="720"/>
        </w:tabs>
        <w:autoSpaceDE w:val="0"/>
        <w:autoSpaceDN w:val="0"/>
        <w:adjustRightInd w:val="0"/>
        <w:spacing w:before="120" w:line="480" w:lineRule="auto"/>
        <w:jc w:val="both"/>
        <w:rPr>
          <w:rFonts w:ascii="Arial" w:hAnsi="Arial" w:cs="Arial"/>
          <w:i/>
          <w:color w:val="262626"/>
          <w:lang w:val="en-US"/>
        </w:rPr>
      </w:pPr>
      <w:r w:rsidRPr="00166772">
        <w:rPr>
          <w:rFonts w:ascii="Arial" w:hAnsi="Arial" w:cs="Arial"/>
          <w:color w:val="262626"/>
        </w:rPr>
        <w:t>While</w:t>
      </w:r>
      <w:r w:rsidR="0073069E" w:rsidRPr="00166772">
        <w:rPr>
          <w:rFonts w:ascii="Arial" w:hAnsi="Arial" w:cs="Arial"/>
          <w:color w:val="262626"/>
        </w:rPr>
        <w:t xml:space="preserve"> not </w:t>
      </w:r>
      <w:r w:rsidR="00E05800" w:rsidRPr="00166772">
        <w:rPr>
          <w:rFonts w:ascii="Arial" w:hAnsi="Arial" w:cs="Arial"/>
          <w:color w:val="262626"/>
        </w:rPr>
        <w:t xml:space="preserve">assessed </w:t>
      </w:r>
      <w:r w:rsidR="0073069E" w:rsidRPr="00166772">
        <w:rPr>
          <w:rFonts w:ascii="Arial" w:hAnsi="Arial" w:cs="Arial"/>
          <w:color w:val="262626"/>
        </w:rPr>
        <w:t xml:space="preserve">in our </w:t>
      </w:r>
      <w:r w:rsidR="00E05800" w:rsidRPr="00166772">
        <w:rPr>
          <w:rFonts w:ascii="Arial" w:hAnsi="Arial" w:cs="Arial"/>
          <w:color w:val="262626"/>
        </w:rPr>
        <w:t>study</w:t>
      </w:r>
      <w:r w:rsidR="0073069E" w:rsidRPr="00166772">
        <w:rPr>
          <w:rFonts w:ascii="Arial" w:hAnsi="Arial" w:cs="Arial"/>
          <w:color w:val="262626"/>
        </w:rPr>
        <w:t>, low job control has previously been demonstrated to have a negative impact on mental health</w:t>
      </w:r>
      <w:r w:rsidR="00BC6218" w:rsidRPr="00166772">
        <w:rPr>
          <w:rFonts w:ascii="Arial" w:hAnsi="Arial" w:cs="Arial"/>
          <w:noProof/>
          <w:color w:val="262626"/>
          <w:vertAlign w:val="superscript"/>
        </w:rPr>
        <w:t>3</w:t>
      </w:r>
      <w:r w:rsidR="001131A9" w:rsidRPr="00166772">
        <w:rPr>
          <w:rFonts w:ascii="Arial" w:hAnsi="Arial" w:cs="Arial"/>
          <w:noProof/>
          <w:color w:val="262626"/>
          <w:vertAlign w:val="superscript"/>
        </w:rPr>
        <w:t>4</w:t>
      </w:r>
      <w:r w:rsidRPr="00166772">
        <w:rPr>
          <w:vertAlign w:val="superscript"/>
        </w:rPr>
        <w:t>,</w:t>
      </w:r>
      <w:r w:rsidR="00BC6218" w:rsidRPr="00166772">
        <w:rPr>
          <w:rFonts w:ascii="Arial" w:hAnsi="Arial" w:cs="Arial"/>
          <w:noProof/>
          <w:color w:val="262626"/>
          <w:vertAlign w:val="superscript"/>
        </w:rPr>
        <w:t xml:space="preserve"> 3</w:t>
      </w:r>
      <w:r w:rsidR="001131A9" w:rsidRPr="00166772">
        <w:rPr>
          <w:rFonts w:ascii="Arial" w:hAnsi="Arial" w:cs="Arial"/>
          <w:noProof/>
          <w:color w:val="262626"/>
          <w:vertAlign w:val="superscript"/>
        </w:rPr>
        <w:t>5</w:t>
      </w:r>
      <w:r w:rsidR="0073069E" w:rsidRPr="00166772">
        <w:rPr>
          <w:rFonts w:ascii="Arial" w:hAnsi="Arial" w:cs="Arial"/>
          <w:color w:val="262626"/>
        </w:rPr>
        <w:t xml:space="preserve">.  This suggests a mediating role for work-related factors in the shift work and mental health relationship.  Two recent meta-analyses have reported that specific work related factors such as job strain, low decision latitude, and low social support were associated with higher risk of poor mental health in the working population </w:t>
      </w:r>
      <w:r w:rsidR="00BC6218" w:rsidRPr="00166772">
        <w:rPr>
          <w:rFonts w:ascii="Arial" w:hAnsi="Arial" w:cs="Arial"/>
          <w:noProof/>
          <w:color w:val="262626"/>
          <w:vertAlign w:val="superscript"/>
        </w:rPr>
        <w:t>36,37</w:t>
      </w:r>
      <w:hyperlink w:anchor="_ENREF_29" w:tooltip="Theorell, 2015 #1333" w:history="1"/>
      <w:r w:rsidR="0073069E" w:rsidRPr="00166772">
        <w:rPr>
          <w:rFonts w:ascii="Arial" w:hAnsi="Arial" w:cs="Arial"/>
          <w:color w:val="262626"/>
        </w:rPr>
        <w:t xml:space="preserve">. These factors are common characteristics of shift-work and could contribute to the risk of </w:t>
      </w:r>
      <w:r w:rsidR="009B6E38" w:rsidRPr="00166772">
        <w:rPr>
          <w:rFonts w:ascii="Arial" w:hAnsi="Arial" w:cs="Arial"/>
          <w:color w:val="262626"/>
        </w:rPr>
        <w:t xml:space="preserve">adverse </w:t>
      </w:r>
      <w:r w:rsidR="0073069E" w:rsidRPr="00166772">
        <w:rPr>
          <w:rFonts w:ascii="Arial" w:hAnsi="Arial" w:cs="Arial"/>
          <w:color w:val="262626"/>
        </w:rPr>
        <w:t>mental health</w:t>
      </w:r>
      <w:r w:rsidR="009B6E38" w:rsidRPr="00166772">
        <w:rPr>
          <w:rFonts w:ascii="Arial" w:hAnsi="Arial" w:cs="Arial"/>
          <w:color w:val="262626"/>
        </w:rPr>
        <w:t xml:space="preserve"> outcomes</w:t>
      </w:r>
      <w:r w:rsidR="00BC6218" w:rsidRPr="00166772">
        <w:rPr>
          <w:rFonts w:ascii="Arial" w:hAnsi="Arial" w:cs="Arial"/>
          <w:noProof/>
          <w:color w:val="262626"/>
          <w:vertAlign w:val="superscript"/>
        </w:rPr>
        <w:t>38</w:t>
      </w:r>
      <w:r w:rsidR="0073069E" w:rsidRPr="00166772">
        <w:rPr>
          <w:rFonts w:ascii="Arial" w:hAnsi="Arial" w:cs="Arial"/>
          <w:color w:val="262626"/>
        </w:rPr>
        <w:t xml:space="preserve">. Interestingly, one study showed shift work was not associated with poor mental health </w:t>
      </w:r>
      <w:r w:rsidR="0073069E" w:rsidRPr="00166772">
        <w:rPr>
          <w:rFonts w:ascii="Arial" w:hAnsi="Arial" w:cs="Arial"/>
          <w:color w:val="262626"/>
          <w:lang w:val="en-US"/>
        </w:rPr>
        <w:t xml:space="preserve">after adjustment for psychosocial working conditions </w:t>
      </w:r>
      <w:r w:rsidR="0073069E" w:rsidRPr="00166772">
        <w:rPr>
          <w:rFonts w:ascii="Arial" w:hAnsi="Arial" w:cs="Arial"/>
          <w:noProof/>
          <w:color w:val="262626"/>
          <w:vertAlign w:val="superscript"/>
          <w:lang w:val="en-US"/>
        </w:rPr>
        <w:t>2</w:t>
      </w:r>
      <w:r w:rsidR="004971DB" w:rsidRPr="00166772">
        <w:rPr>
          <w:rFonts w:ascii="Arial" w:hAnsi="Arial" w:cs="Arial"/>
          <w:noProof/>
          <w:color w:val="262626"/>
          <w:vertAlign w:val="superscript"/>
          <w:lang w:val="en-US"/>
        </w:rPr>
        <w:t>7</w:t>
      </w:r>
      <w:r w:rsidR="0073069E" w:rsidRPr="00166772">
        <w:rPr>
          <w:rFonts w:ascii="Arial" w:hAnsi="Arial" w:cs="Arial"/>
          <w:color w:val="262626"/>
          <w:lang w:val="en-US"/>
        </w:rPr>
        <w:t>.</w:t>
      </w:r>
      <w:r w:rsidR="0073069E" w:rsidRPr="00166772">
        <w:rPr>
          <w:rFonts w:ascii="Arial" w:hAnsi="Arial" w:cs="Arial"/>
          <w:i/>
          <w:color w:val="262626"/>
          <w:lang w:val="en-US"/>
        </w:rPr>
        <w:t xml:space="preserve"> </w:t>
      </w:r>
    </w:p>
    <w:p w14:paraId="25073C58" w14:textId="58479D84" w:rsidR="0073069E" w:rsidRPr="00166772" w:rsidRDefault="0073069E" w:rsidP="005E3605">
      <w:pPr>
        <w:widowControl w:val="0"/>
        <w:tabs>
          <w:tab w:val="left" w:pos="220"/>
          <w:tab w:val="left" w:pos="720"/>
        </w:tabs>
        <w:autoSpaceDE w:val="0"/>
        <w:autoSpaceDN w:val="0"/>
        <w:adjustRightInd w:val="0"/>
        <w:spacing w:before="120" w:line="480" w:lineRule="auto"/>
        <w:jc w:val="both"/>
        <w:rPr>
          <w:rFonts w:ascii="Arial" w:hAnsi="Arial" w:cs="Arial"/>
          <w:color w:val="262626"/>
        </w:rPr>
      </w:pPr>
      <w:r w:rsidRPr="00166772">
        <w:rPr>
          <w:rFonts w:ascii="Arial" w:hAnsi="Arial" w:cs="Arial"/>
          <w:color w:val="262626"/>
        </w:rPr>
        <w:tab/>
        <w:t xml:space="preserve">Previous studies have shown that tolerance to different work stressors (i.e. job insecurity, life-work balance) differs by gender, with lower tolerance associated with higher incidence of </w:t>
      </w:r>
      <w:r w:rsidR="00D86A72" w:rsidRPr="00166772">
        <w:rPr>
          <w:rFonts w:ascii="Arial" w:hAnsi="Arial" w:cs="Arial"/>
          <w:color w:val="262626"/>
        </w:rPr>
        <w:t xml:space="preserve">major </w:t>
      </w:r>
      <w:r w:rsidRPr="00166772">
        <w:rPr>
          <w:rFonts w:ascii="Arial" w:hAnsi="Arial" w:cs="Arial"/>
          <w:color w:val="262626"/>
        </w:rPr>
        <w:t>depressive disorders in women than in men.</w:t>
      </w:r>
      <w:r w:rsidR="00BC6218" w:rsidRPr="00166772">
        <w:rPr>
          <w:rFonts w:ascii="Arial" w:hAnsi="Arial" w:cs="Arial"/>
          <w:noProof/>
          <w:color w:val="262626"/>
          <w:vertAlign w:val="superscript"/>
        </w:rPr>
        <w:t>39</w:t>
      </w:r>
      <w:r w:rsidRPr="00166772">
        <w:rPr>
          <w:rFonts w:ascii="Arial" w:hAnsi="Arial" w:cs="Arial"/>
          <w:color w:val="262626"/>
        </w:rPr>
        <w:t xml:space="preserve">   This might explain the observed higher pooled effect size for </w:t>
      </w:r>
      <w:r w:rsidR="000B215D" w:rsidRPr="00166772">
        <w:rPr>
          <w:rFonts w:ascii="Arial" w:hAnsi="Arial" w:cs="Arial"/>
          <w:color w:val="262626"/>
        </w:rPr>
        <w:t xml:space="preserve">general </w:t>
      </w:r>
      <w:r w:rsidRPr="00166772">
        <w:rPr>
          <w:rFonts w:ascii="Arial" w:hAnsi="Arial" w:cs="Arial"/>
          <w:color w:val="262626"/>
        </w:rPr>
        <w:t xml:space="preserve">poor mental health in females than in the overall effects in our sub-group analysis (ES: 1.73 vs 1.28). Our findings are comparable to </w:t>
      </w:r>
      <w:r w:rsidR="000B215D" w:rsidRPr="00166772">
        <w:rPr>
          <w:rFonts w:ascii="Arial" w:hAnsi="Arial" w:cs="Arial"/>
          <w:color w:val="262626"/>
        </w:rPr>
        <w:t xml:space="preserve">other research </w:t>
      </w:r>
      <w:r w:rsidRPr="00166772">
        <w:rPr>
          <w:rFonts w:ascii="Arial" w:hAnsi="Arial" w:cs="Arial"/>
          <w:color w:val="262626"/>
        </w:rPr>
        <w:t>report</w:t>
      </w:r>
      <w:r w:rsidR="000B215D" w:rsidRPr="00166772">
        <w:rPr>
          <w:rFonts w:ascii="Arial" w:hAnsi="Arial" w:cs="Arial"/>
          <w:color w:val="262626"/>
        </w:rPr>
        <w:t>ing</w:t>
      </w:r>
      <w:r w:rsidRPr="00166772">
        <w:rPr>
          <w:rFonts w:ascii="Arial" w:hAnsi="Arial" w:cs="Arial"/>
          <w:color w:val="262626"/>
        </w:rPr>
        <w:t xml:space="preserve"> increased odds for depressive symptoms in female shift workers </w:t>
      </w:r>
      <w:r w:rsidR="000B215D" w:rsidRPr="00166772">
        <w:rPr>
          <w:rFonts w:ascii="Arial" w:hAnsi="Arial" w:cs="Arial"/>
          <w:color w:val="262626"/>
        </w:rPr>
        <w:t xml:space="preserve">than </w:t>
      </w:r>
      <w:r w:rsidRPr="00166772">
        <w:rPr>
          <w:rFonts w:ascii="Arial" w:hAnsi="Arial" w:cs="Arial"/>
          <w:color w:val="262626"/>
        </w:rPr>
        <w:t xml:space="preserve">female non-shift workers (OR= </w:t>
      </w:r>
      <w:r w:rsidRPr="00166772">
        <w:rPr>
          <w:rFonts w:ascii="Arial" w:hAnsi="Arial" w:cs="Arial"/>
          <w:color w:val="262626"/>
          <w:lang w:val="en-US"/>
        </w:rPr>
        <w:t>1.52,</w:t>
      </w:r>
      <w:r w:rsidRPr="00166772">
        <w:rPr>
          <w:rFonts w:ascii="Arial" w:hAnsi="Arial" w:cs="Arial"/>
          <w:color w:val="262626"/>
        </w:rPr>
        <w:t xml:space="preserve"> 95%CI </w:t>
      </w:r>
      <w:r w:rsidRPr="00166772">
        <w:rPr>
          <w:rFonts w:ascii="Arial" w:hAnsi="Arial" w:cs="Arial"/>
          <w:color w:val="262626"/>
          <w:lang w:val="en-US"/>
        </w:rPr>
        <w:t>1.38-1.67)</w:t>
      </w:r>
      <w:r w:rsidRPr="00166772">
        <w:rPr>
          <w:rFonts w:ascii="Arial" w:hAnsi="Arial" w:cs="Arial"/>
          <w:noProof/>
          <w:color w:val="262626"/>
          <w:vertAlign w:val="superscript"/>
          <w:lang w:val="en-US"/>
        </w:rPr>
        <w:t>13</w:t>
      </w:r>
      <w:r w:rsidRPr="00166772">
        <w:rPr>
          <w:rFonts w:ascii="Arial" w:hAnsi="Arial" w:cs="Arial"/>
          <w:color w:val="262626"/>
          <w:lang w:val="en-US"/>
        </w:rPr>
        <w:t xml:space="preserve">. Cross-sectional analysis from a large Dutch cohort study also reported higher odds of depressed mood in female shift-workers </w:t>
      </w:r>
      <w:r w:rsidR="000B215D" w:rsidRPr="00166772">
        <w:rPr>
          <w:rFonts w:ascii="Arial" w:hAnsi="Arial" w:cs="Arial"/>
          <w:color w:val="262626"/>
          <w:lang w:val="en-US"/>
        </w:rPr>
        <w:t>than</w:t>
      </w:r>
      <w:r w:rsidR="00FE363D" w:rsidRPr="00166772">
        <w:rPr>
          <w:rFonts w:ascii="Arial" w:hAnsi="Arial" w:cs="Arial"/>
          <w:color w:val="262626"/>
          <w:lang w:val="en-US"/>
        </w:rPr>
        <w:t xml:space="preserve"> in</w:t>
      </w:r>
      <w:r w:rsidR="000B215D" w:rsidRPr="00166772">
        <w:rPr>
          <w:rFonts w:ascii="Arial" w:hAnsi="Arial" w:cs="Arial"/>
          <w:color w:val="262626"/>
          <w:lang w:val="en-US"/>
        </w:rPr>
        <w:t xml:space="preserve"> </w:t>
      </w:r>
      <w:r w:rsidRPr="00166772">
        <w:rPr>
          <w:rFonts w:ascii="Arial" w:hAnsi="Arial" w:cs="Arial"/>
          <w:color w:val="262626"/>
          <w:lang w:val="en-US"/>
        </w:rPr>
        <w:t xml:space="preserve">their day-shift counterparts (OR = </w:t>
      </w:r>
      <w:r w:rsidR="009711B0" w:rsidRPr="00166772">
        <w:rPr>
          <w:rFonts w:ascii="Arial" w:hAnsi="Arial" w:cs="Arial"/>
          <w:color w:val="262626"/>
          <w:lang w:val="en-US"/>
        </w:rPr>
        <w:t xml:space="preserve">5.96, 95% CI 2.83–12.56). This </w:t>
      </w:r>
      <w:r w:rsidRPr="00166772">
        <w:rPr>
          <w:rFonts w:ascii="Arial" w:hAnsi="Arial" w:cs="Arial"/>
          <w:color w:val="262626"/>
          <w:lang w:val="en-US"/>
        </w:rPr>
        <w:t xml:space="preserve">was higher than the odds reported for male shift </w:t>
      </w:r>
      <w:r w:rsidR="00ED3DA7" w:rsidRPr="00166772">
        <w:rPr>
          <w:rFonts w:ascii="Arial" w:hAnsi="Arial" w:cs="Arial"/>
          <w:color w:val="262626"/>
          <w:lang w:val="en-US"/>
        </w:rPr>
        <w:t>compared with</w:t>
      </w:r>
      <w:r w:rsidRPr="00166772">
        <w:rPr>
          <w:rFonts w:ascii="Arial" w:hAnsi="Arial" w:cs="Arial"/>
          <w:color w:val="262626"/>
          <w:lang w:val="en-US"/>
        </w:rPr>
        <w:t xml:space="preserve"> non-shift wor</w:t>
      </w:r>
      <w:r w:rsidR="00ED3DA7" w:rsidRPr="00166772">
        <w:rPr>
          <w:rFonts w:ascii="Arial" w:hAnsi="Arial" w:cs="Arial"/>
          <w:color w:val="262626"/>
          <w:lang w:val="en-US"/>
        </w:rPr>
        <w:t>kers (OR 2.05, 95% CI 1.52–2.77</w:t>
      </w:r>
      <w:r w:rsidRPr="00166772">
        <w:rPr>
          <w:rFonts w:ascii="Arial" w:hAnsi="Arial" w:cs="Arial"/>
          <w:color w:val="262626"/>
          <w:lang w:val="en-US"/>
        </w:rPr>
        <w:t>)</w:t>
      </w:r>
      <w:r w:rsidRPr="00166772">
        <w:t xml:space="preserve"> </w:t>
      </w:r>
      <w:r w:rsidRPr="00166772">
        <w:rPr>
          <w:rFonts w:ascii="Arial" w:hAnsi="Arial" w:cs="Arial"/>
          <w:noProof/>
          <w:color w:val="262626"/>
          <w:vertAlign w:val="superscript"/>
          <w:lang w:val="en-US"/>
        </w:rPr>
        <w:t>12</w:t>
      </w:r>
      <w:r w:rsidRPr="00166772">
        <w:rPr>
          <w:rFonts w:ascii="Arial" w:hAnsi="Arial" w:cs="Arial"/>
          <w:color w:val="262626"/>
          <w:lang w:val="en-US"/>
        </w:rPr>
        <w:t xml:space="preserve">. Such findings suggest that female shift workers </w:t>
      </w:r>
      <w:r w:rsidR="000B215D" w:rsidRPr="00166772">
        <w:rPr>
          <w:rFonts w:ascii="Arial" w:hAnsi="Arial" w:cs="Arial"/>
          <w:color w:val="262626"/>
          <w:lang w:val="en-US"/>
        </w:rPr>
        <w:t xml:space="preserve">are </w:t>
      </w:r>
      <w:r w:rsidRPr="00166772">
        <w:rPr>
          <w:rFonts w:ascii="Arial" w:hAnsi="Arial" w:cs="Arial"/>
          <w:color w:val="262626"/>
          <w:lang w:val="en-US"/>
        </w:rPr>
        <w:t xml:space="preserve">at higher risk of </w:t>
      </w:r>
      <w:r w:rsidR="00D86A72" w:rsidRPr="00166772">
        <w:rPr>
          <w:rFonts w:ascii="Arial" w:hAnsi="Arial" w:cs="Arial"/>
          <w:color w:val="262626"/>
          <w:lang w:val="en-US"/>
        </w:rPr>
        <w:t>adverse mental</w:t>
      </w:r>
      <w:r w:rsidRPr="00166772">
        <w:rPr>
          <w:rFonts w:ascii="Arial" w:hAnsi="Arial" w:cs="Arial"/>
          <w:color w:val="262626"/>
          <w:lang w:val="en-US"/>
        </w:rPr>
        <w:t xml:space="preserve"> health outcomes</w:t>
      </w:r>
      <w:r w:rsidR="000B215D" w:rsidRPr="00166772">
        <w:rPr>
          <w:rFonts w:ascii="Arial" w:hAnsi="Arial" w:cs="Arial"/>
          <w:color w:val="262626"/>
          <w:lang w:val="en-US"/>
        </w:rPr>
        <w:t xml:space="preserve"> than male shift</w:t>
      </w:r>
      <w:r w:rsidR="00D86A72" w:rsidRPr="00166772">
        <w:rPr>
          <w:rFonts w:ascii="Arial" w:hAnsi="Arial" w:cs="Arial"/>
          <w:color w:val="262626"/>
          <w:lang w:val="en-US"/>
        </w:rPr>
        <w:t xml:space="preserve"> </w:t>
      </w:r>
      <w:r w:rsidR="000B215D" w:rsidRPr="00166772">
        <w:rPr>
          <w:rFonts w:ascii="Arial" w:hAnsi="Arial" w:cs="Arial"/>
          <w:color w:val="262626"/>
          <w:lang w:val="en-US"/>
        </w:rPr>
        <w:t>workers</w:t>
      </w:r>
      <w:r w:rsidRPr="00166772">
        <w:rPr>
          <w:rFonts w:ascii="Arial" w:hAnsi="Arial" w:cs="Arial"/>
          <w:color w:val="262626"/>
          <w:lang w:val="en-US"/>
        </w:rPr>
        <w:t>.</w:t>
      </w:r>
      <w:r w:rsidRPr="00166772">
        <w:rPr>
          <w:rFonts w:ascii="Arial" w:hAnsi="Arial" w:cs="Arial"/>
          <w:color w:val="262626"/>
        </w:rPr>
        <w:t xml:space="preserve"> </w:t>
      </w:r>
    </w:p>
    <w:p w14:paraId="21A2CC25" w14:textId="5F3F714B" w:rsidR="0073069E" w:rsidRPr="00166772" w:rsidRDefault="0073069E" w:rsidP="005E3605">
      <w:pPr>
        <w:widowControl w:val="0"/>
        <w:tabs>
          <w:tab w:val="left" w:pos="220"/>
          <w:tab w:val="left" w:pos="720"/>
        </w:tabs>
        <w:autoSpaceDE w:val="0"/>
        <w:autoSpaceDN w:val="0"/>
        <w:adjustRightInd w:val="0"/>
        <w:spacing w:before="120" w:line="480" w:lineRule="auto"/>
        <w:jc w:val="both"/>
        <w:rPr>
          <w:rFonts w:ascii="Arial" w:hAnsi="Arial" w:cs="Arial"/>
          <w:color w:val="262626"/>
        </w:rPr>
      </w:pPr>
      <w:r w:rsidRPr="00166772">
        <w:rPr>
          <w:rFonts w:ascii="Arial" w:hAnsi="Arial" w:cs="Arial"/>
          <w:color w:val="262626"/>
        </w:rPr>
        <w:tab/>
        <w:t xml:space="preserve">The higher risk of depression in female </w:t>
      </w:r>
      <w:r w:rsidR="000B215D" w:rsidRPr="00166772">
        <w:rPr>
          <w:rFonts w:ascii="Arial" w:hAnsi="Arial" w:cs="Arial"/>
          <w:color w:val="262626"/>
        </w:rPr>
        <w:t xml:space="preserve">than male </w:t>
      </w:r>
      <w:r w:rsidRPr="00166772">
        <w:rPr>
          <w:rFonts w:ascii="Arial" w:hAnsi="Arial" w:cs="Arial"/>
          <w:color w:val="262626"/>
        </w:rPr>
        <w:t>shift workers may be partly explained by the higher risk of depression among women than men in the general population</w:t>
      </w:r>
      <w:r w:rsidR="00BC6218" w:rsidRPr="00166772">
        <w:rPr>
          <w:rFonts w:ascii="Arial" w:hAnsi="Arial" w:cs="Arial"/>
          <w:noProof/>
          <w:color w:val="262626"/>
          <w:vertAlign w:val="superscript"/>
        </w:rPr>
        <w:t>40</w:t>
      </w:r>
      <w:r w:rsidRPr="00166772">
        <w:rPr>
          <w:rFonts w:ascii="Arial" w:hAnsi="Arial" w:cs="Arial"/>
          <w:color w:val="262626"/>
        </w:rPr>
        <w:t xml:space="preserve">.  This increased vulnerability has been attributed to gender differences in physiological stress responses, biological load and hormones, interpersonal orientation, rumination and </w:t>
      </w:r>
      <w:r w:rsidRPr="00166772">
        <w:rPr>
          <w:rFonts w:ascii="Arial" w:hAnsi="Arial" w:cs="Arial"/>
          <w:color w:val="262626"/>
        </w:rPr>
        <w:lastRenderedPageBreak/>
        <w:t>internalisation of difficulties, and exposure to other adversity</w:t>
      </w:r>
      <w:r w:rsidRPr="00166772">
        <w:t xml:space="preserve"> </w:t>
      </w:r>
      <w:r w:rsidRPr="00166772">
        <w:rPr>
          <w:rFonts w:ascii="Arial" w:hAnsi="Arial" w:cs="Arial"/>
          <w:color w:val="262626"/>
        </w:rPr>
        <w:t xml:space="preserve">(e.g., relationship violence, </w:t>
      </w:r>
      <w:r w:rsidR="00ED3DA7" w:rsidRPr="00166772">
        <w:rPr>
          <w:rFonts w:ascii="Arial" w:hAnsi="Arial" w:cs="Arial"/>
          <w:color w:val="262626"/>
        </w:rPr>
        <w:t>discrimination)</w:t>
      </w:r>
      <w:r w:rsidR="00BC6218" w:rsidRPr="00166772">
        <w:rPr>
          <w:rFonts w:ascii="Arial" w:hAnsi="Arial" w:cs="Arial"/>
          <w:noProof/>
          <w:color w:val="262626"/>
          <w:vertAlign w:val="superscript"/>
        </w:rPr>
        <w:t>40</w:t>
      </w:r>
      <w:r w:rsidRPr="00166772">
        <w:rPr>
          <w:rFonts w:ascii="Arial" w:hAnsi="Arial" w:cs="Arial"/>
          <w:color w:val="262626"/>
        </w:rPr>
        <w:t xml:space="preserve">. Future research on the </w:t>
      </w:r>
      <w:r w:rsidR="000B215D" w:rsidRPr="00166772">
        <w:rPr>
          <w:rFonts w:ascii="Arial" w:hAnsi="Arial" w:cs="Arial"/>
          <w:color w:val="262626"/>
        </w:rPr>
        <w:t>impact</w:t>
      </w:r>
      <w:r w:rsidR="00ED3DA7" w:rsidRPr="00166772">
        <w:rPr>
          <w:rFonts w:ascii="Arial" w:hAnsi="Arial" w:cs="Arial"/>
          <w:color w:val="262626"/>
        </w:rPr>
        <w:t xml:space="preserve"> of</w:t>
      </w:r>
      <w:r w:rsidR="000B215D" w:rsidRPr="00166772">
        <w:rPr>
          <w:rFonts w:ascii="Arial" w:hAnsi="Arial" w:cs="Arial"/>
          <w:color w:val="262626"/>
        </w:rPr>
        <w:t xml:space="preserve"> shift work on adverse </w:t>
      </w:r>
      <w:r w:rsidRPr="00166772">
        <w:rPr>
          <w:rFonts w:ascii="Arial" w:hAnsi="Arial" w:cs="Arial"/>
          <w:color w:val="262626"/>
        </w:rPr>
        <w:t xml:space="preserve">mental health </w:t>
      </w:r>
      <w:r w:rsidR="000B215D" w:rsidRPr="00166772">
        <w:rPr>
          <w:rFonts w:ascii="Arial" w:hAnsi="Arial" w:cs="Arial"/>
          <w:color w:val="262626"/>
        </w:rPr>
        <w:t xml:space="preserve">outcomes </w:t>
      </w:r>
      <w:r w:rsidRPr="00166772">
        <w:rPr>
          <w:rFonts w:ascii="Arial" w:hAnsi="Arial" w:cs="Arial"/>
          <w:color w:val="262626"/>
        </w:rPr>
        <w:t xml:space="preserve">could include measures of </w:t>
      </w:r>
      <w:r w:rsidR="000B215D" w:rsidRPr="00166772">
        <w:rPr>
          <w:rFonts w:ascii="Arial" w:hAnsi="Arial" w:cs="Arial"/>
          <w:color w:val="262626"/>
        </w:rPr>
        <w:t xml:space="preserve">other </w:t>
      </w:r>
      <w:r w:rsidR="00ED3DA7" w:rsidRPr="00166772">
        <w:rPr>
          <w:rFonts w:ascii="Arial" w:hAnsi="Arial" w:cs="Arial"/>
          <w:color w:val="262626"/>
        </w:rPr>
        <w:t>relevant factors</w:t>
      </w:r>
      <w:r w:rsidRPr="00166772">
        <w:rPr>
          <w:rFonts w:ascii="Arial" w:hAnsi="Arial" w:cs="Arial"/>
          <w:color w:val="262626"/>
        </w:rPr>
        <w:t>, such as alcohol abuse and aggression</w:t>
      </w:r>
      <w:r w:rsidR="000B215D" w:rsidRPr="00166772">
        <w:rPr>
          <w:rFonts w:ascii="Arial" w:hAnsi="Arial" w:cs="Arial"/>
          <w:color w:val="262626"/>
        </w:rPr>
        <w:t>,</w:t>
      </w:r>
      <w:r w:rsidRPr="00166772">
        <w:rPr>
          <w:rFonts w:ascii="Arial" w:hAnsi="Arial" w:cs="Arial"/>
          <w:color w:val="262626"/>
        </w:rPr>
        <w:t xml:space="preserve"> that are more prevalent among men than women.</w:t>
      </w:r>
    </w:p>
    <w:p w14:paraId="7D7E688D" w14:textId="18169ECC" w:rsidR="0073069E" w:rsidRPr="00166772" w:rsidRDefault="0073069E" w:rsidP="005E3605">
      <w:pPr>
        <w:widowControl w:val="0"/>
        <w:tabs>
          <w:tab w:val="left" w:pos="220"/>
          <w:tab w:val="left" w:pos="720"/>
        </w:tabs>
        <w:autoSpaceDE w:val="0"/>
        <w:autoSpaceDN w:val="0"/>
        <w:adjustRightInd w:val="0"/>
        <w:spacing w:before="120" w:line="480" w:lineRule="auto"/>
        <w:jc w:val="both"/>
        <w:rPr>
          <w:rFonts w:ascii="Arial" w:hAnsi="Arial" w:cs="Arial"/>
          <w:i/>
          <w:color w:val="262626"/>
          <w:lang w:val="en-US"/>
        </w:rPr>
      </w:pPr>
      <w:r w:rsidRPr="00166772">
        <w:rPr>
          <w:rFonts w:ascii="Arial" w:hAnsi="Arial" w:cs="Arial"/>
          <w:color w:val="262626"/>
        </w:rPr>
        <w:tab/>
      </w:r>
      <w:r w:rsidR="00216343" w:rsidRPr="00166772">
        <w:rPr>
          <w:rFonts w:ascii="Arial" w:hAnsi="Arial" w:cs="Arial"/>
          <w:color w:val="262626"/>
        </w:rPr>
        <w:t>These results suggest that employers should consider strategies for reducing the mental health burden on shift workers, such as giving more control and flexibility over shift schedules, reducing job strain and providing more social support at work. Workplace policies, programs and practices could promote awareness of associated risks and protective factors, and enable access to mental health services, without stigmatisation</w:t>
      </w:r>
      <w:r w:rsidRPr="00166772">
        <w:rPr>
          <w:rFonts w:ascii="Arial" w:hAnsi="Arial" w:cs="Arial"/>
          <w:color w:val="262626"/>
        </w:rPr>
        <w:t xml:space="preserve">.  Depression </w:t>
      </w:r>
      <w:r w:rsidRPr="00166772">
        <w:rPr>
          <w:rFonts w:ascii="Arial" w:hAnsi="Arial" w:cs="Arial"/>
        </w:rPr>
        <w:t>accounts for 4.3% of global burden of disease and incidence,</w:t>
      </w:r>
      <w:r w:rsidR="00BC6218" w:rsidRPr="00166772">
        <w:rPr>
          <w:rFonts w:ascii="Arial" w:hAnsi="Arial" w:cs="Arial"/>
          <w:noProof/>
          <w:vertAlign w:val="superscript"/>
        </w:rPr>
        <w:t>4</w:t>
      </w:r>
      <w:r w:rsidR="001131A9" w:rsidRPr="00166772">
        <w:rPr>
          <w:rFonts w:ascii="Arial" w:hAnsi="Arial" w:cs="Arial"/>
          <w:noProof/>
          <w:vertAlign w:val="superscript"/>
        </w:rPr>
        <w:t>1</w:t>
      </w:r>
      <w:r w:rsidRPr="00166772">
        <w:rPr>
          <w:rFonts w:ascii="Arial" w:hAnsi="Arial" w:cs="Arial"/>
        </w:rPr>
        <w:t xml:space="preserve"> with mental disorders</w:t>
      </w:r>
      <w:r w:rsidR="00ED3DA7" w:rsidRPr="00166772">
        <w:rPr>
          <w:rFonts w:ascii="Arial" w:hAnsi="Arial" w:cs="Arial"/>
        </w:rPr>
        <w:t xml:space="preserve"> worldwide</w:t>
      </w:r>
      <w:r w:rsidRPr="00166772">
        <w:rPr>
          <w:rFonts w:ascii="Arial" w:hAnsi="Arial" w:cs="Arial"/>
        </w:rPr>
        <w:t xml:space="preserve"> </w:t>
      </w:r>
      <w:r w:rsidR="000B215D" w:rsidRPr="00166772">
        <w:rPr>
          <w:rFonts w:ascii="Arial" w:hAnsi="Arial" w:cs="Arial"/>
        </w:rPr>
        <w:t xml:space="preserve">predicted </w:t>
      </w:r>
      <w:r w:rsidRPr="00166772">
        <w:rPr>
          <w:rFonts w:ascii="Arial" w:hAnsi="Arial" w:cs="Arial"/>
        </w:rPr>
        <w:t xml:space="preserve"> to cost US$ 16.3 million by 2030</w:t>
      </w:r>
      <w:r w:rsidR="00BC6218" w:rsidRPr="00166772">
        <w:rPr>
          <w:rFonts w:ascii="Arial" w:hAnsi="Arial" w:cs="Arial"/>
          <w:noProof/>
          <w:vertAlign w:val="superscript"/>
        </w:rPr>
        <w:t>42</w:t>
      </w:r>
      <w:r w:rsidRPr="00166772">
        <w:rPr>
          <w:rFonts w:ascii="Arial" w:hAnsi="Arial" w:cs="Arial"/>
        </w:rPr>
        <w:t>.  Untreated mental health conditions are costly to workplaces in terms of absenteeism, presenteeism and compensation claims.   With 1 in 5 people in the United States and Europe doing shift work,</w:t>
      </w:r>
      <w:r w:rsidRPr="00166772">
        <w:rPr>
          <w:rFonts w:ascii="Arial" w:hAnsi="Arial" w:cs="Arial"/>
          <w:noProof/>
          <w:vertAlign w:val="superscript"/>
        </w:rPr>
        <w:t>2, 3</w:t>
      </w:r>
      <w:r w:rsidRPr="00166772">
        <w:rPr>
          <w:rFonts w:ascii="Arial" w:hAnsi="Arial" w:cs="Arial"/>
        </w:rPr>
        <w:t xml:space="preserve"> and the increased risk of poor mental health</w:t>
      </w:r>
      <w:r w:rsidR="000B215D" w:rsidRPr="00166772">
        <w:rPr>
          <w:rFonts w:ascii="Arial" w:hAnsi="Arial" w:cs="Arial"/>
        </w:rPr>
        <w:t xml:space="preserve"> among shift workers</w:t>
      </w:r>
      <w:r w:rsidRPr="00166772">
        <w:rPr>
          <w:rFonts w:ascii="Arial" w:hAnsi="Arial" w:cs="Arial"/>
        </w:rPr>
        <w:t>, shift work industries are a priority context to reduce this burden.</w:t>
      </w:r>
    </w:p>
    <w:p w14:paraId="757DE381" w14:textId="77777777" w:rsidR="0073069E" w:rsidRPr="00166772" w:rsidRDefault="0073069E" w:rsidP="005E3605">
      <w:pPr>
        <w:widowControl w:val="0"/>
        <w:tabs>
          <w:tab w:val="left" w:pos="220"/>
          <w:tab w:val="left" w:pos="720"/>
        </w:tabs>
        <w:autoSpaceDE w:val="0"/>
        <w:autoSpaceDN w:val="0"/>
        <w:adjustRightInd w:val="0"/>
        <w:spacing w:before="120" w:line="480" w:lineRule="auto"/>
        <w:jc w:val="both"/>
        <w:rPr>
          <w:rFonts w:ascii="Arial" w:hAnsi="Arial" w:cs="Arial"/>
          <w:color w:val="262626"/>
        </w:rPr>
      </w:pPr>
    </w:p>
    <w:p w14:paraId="798DB67C" w14:textId="77777777" w:rsidR="0073069E" w:rsidRPr="00166772" w:rsidRDefault="0073069E" w:rsidP="005E3605">
      <w:pPr>
        <w:spacing w:line="480" w:lineRule="auto"/>
        <w:jc w:val="both"/>
        <w:rPr>
          <w:rFonts w:ascii="Arial" w:hAnsi="Arial" w:cs="Arial"/>
          <w:i/>
        </w:rPr>
      </w:pPr>
      <w:r w:rsidRPr="00166772">
        <w:rPr>
          <w:rFonts w:ascii="Arial" w:hAnsi="Arial" w:cs="Arial"/>
          <w:i/>
        </w:rPr>
        <w:t>Strengths and limitations</w:t>
      </w:r>
    </w:p>
    <w:p w14:paraId="4C9E9F2B" w14:textId="2D6C9BC1" w:rsidR="0073069E" w:rsidRPr="00166772" w:rsidRDefault="0073069E" w:rsidP="005E3605">
      <w:pPr>
        <w:widowControl w:val="0"/>
        <w:tabs>
          <w:tab w:val="left" w:pos="220"/>
          <w:tab w:val="left" w:pos="720"/>
        </w:tabs>
        <w:autoSpaceDE w:val="0"/>
        <w:autoSpaceDN w:val="0"/>
        <w:adjustRightInd w:val="0"/>
        <w:spacing w:before="120" w:line="480" w:lineRule="auto"/>
        <w:jc w:val="both"/>
        <w:rPr>
          <w:rFonts w:ascii="Arial" w:hAnsi="Arial" w:cs="Arial"/>
          <w:color w:val="262626"/>
        </w:rPr>
      </w:pPr>
      <w:r w:rsidRPr="00166772">
        <w:rPr>
          <w:rFonts w:ascii="Arial" w:hAnsi="Arial" w:cs="Arial"/>
          <w:color w:val="262626"/>
        </w:rPr>
        <w:t>The strengths of this study include the use of c</w:t>
      </w:r>
      <w:r w:rsidR="00E75C2D" w:rsidRPr="00166772">
        <w:rPr>
          <w:rFonts w:ascii="Arial" w:hAnsi="Arial" w:cs="Arial"/>
          <w:color w:val="262626"/>
        </w:rPr>
        <w:t>omprehensive search terms, with</w:t>
      </w:r>
      <w:r w:rsidRPr="00166772">
        <w:rPr>
          <w:rFonts w:ascii="Arial" w:hAnsi="Arial" w:cs="Arial"/>
          <w:color w:val="262626"/>
        </w:rPr>
        <w:t xml:space="preserve"> a combination of keywords that has previously </w:t>
      </w:r>
      <w:r w:rsidR="00ED3DA7" w:rsidRPr="00166772">
        <w:rPr>
          <w:rFonts w:ascii="Arial" w:hAnsi="Arial" w:cs="Arial"/>
          <w:color w:val="262626"/>
        </w:rPr>
        <w:t xml:space="preserve">been </w:t>
      </w:r>
      <w:r w:rsidRPr="00166772">
        <w:rPr>
          <w:rFonts w:ascii="Arial" w:hAnsi="Arial" w:cs="Arial"/>
          <w:color w:val="262626"/>
        </w:rPr>
        <w:t xml:space="preserve">shown to be appropriate in maximizing retrieval of studies on </w:t>
      </w:r>
      <w:r w:rsidR="000B215D" w:rsidRPr="00166772">
        <w:rPr>
          <w:rFonts w:ascii="Arial" w:hAnsi="Arial" w:cs="Arial"/>
          <w:color w:val="262626"/>
        </w:rPr>
        <w:t xml:space="preserve">shift work and </w:t>
      </w:r>
      <w:r w:rsidR="00D86A72" w:rsidRPr="00166772">
        <w:rPr>
          <w:rFonts w:ascii="Arial" w:hAnsi="Arial" w:cs="Arial"/>
          <w:color w:val="262626"/>
        </w:rPr>
        <w:t xml:space="preserve">poor </w:t>
      </w:r>
      <w:r w:rsidRPr="00166772">
        <w:rPr>
          <w:rFonts w:ascii="Arial" w:hAnsi="Arial" w:cs="Arial"/>
          <w:color w:val="262626"/>
        </w:rPr>
        <w:t>mental health</w:t>
      </w:r>
      <w:r w:rsidR="00BC6218" w:rsidRPr="00166772">
        <w:rPr>
          <w:rFonts w:ascii="Arial" w:hAnsi="Arial" w:cs="Arial"/>
          <w:noProof/>
          <w:color w:val="262626"/>
          <w:vertAlign w:val="superscript"/>
        </w:rPr>
        <w:t>20,43</w:t>
      </w:r>
      <w:r w:rsidRPr="00166772">
        <w:rPr>
          <w:rFonts w:ascii="Arial" w:hAnsi="Arial" w:cs="Arial"/>
          <w:color w:val="262626"/>
        </w:rPr>
        <w:t xml:space="preserve">. We also used large databases, conducted by-hand searches in reference lists of relevant papers, and contacted authors for data, to </w:t>
      </w:r>
      <w:r w:rsidR="000B215D" w:rsidRPr="00166772">
        <w:rPr>
          <w:rFonts w:ascii="Arial" w:hAnsi="Arial" w:cs="Arial"/>
          <w:color w:val="262626"/>
        </w:rPr>
        <w:t>optimise the data</w:t>
      </w:r>
      <w:r w:rsidRPr="00166772">
        <w:rPr>
          <w:rFonts w:ascii="Arial" w:hAnsi="Arial" w:cs="Arial"/>
          <w:color w:val="262626"/>
        </w:rPr>
        <w:t xml:space="preserve">. </w:t>
      </w:r>
      <w:r w:rsidR="000B215D" w:rsidRPr="00166772">
        <w:rPr>
          <w:rFonts w:ascii="Arial" w:hAnsi="Arial" w:cs="Arial"/>
          <w:color w:val="262626"/>
        </w:rPr>
        <w:t>The e</w:t>
      </w:r>
      <w:r w:rsidR="009711B0" w:rsidRPr="00166772">
        <w:rPr>
          <w:rFonts w:ascii="Arial" w:hAnsi="Arial" w:cs="Arial"/>
          <w:color w:val="262626"/>
        </w:rPr>
        <w:t>xclusion of two studies</w:t>
      </w:r>
      <w:r w:rsidR="009711B0" w:rsidRPr="00166772">
        <w:rPr>
          <w:rFonts w:ascii="Arial" w:hAnsi="Arial" w:cs="Arial"/>
          <w:color w:val="262626"/>
          <w:vertAlign w:val="superscript"/>
        </w:rPr>
        <w:t>16,2</w:t>
      </w:r>
      <w:r w:rsidR="00BC6218" w:rsidRPr="00166772">
        <w:rPr>
          <w:rFonts w:ascii="Arial" w:hAnsi="Arial" w:cs="Arial"/>
          <w:color w:val="262626"/>
          <w:vertAlign w:val="superscript"/>
        </w:rPr>
        <w:t>6</w:t>
      </w:r>
      <w:r w:rsidR="009711B0" w:rsidRPr="00166772">
        <w:rPr>
          <w:rFonts w:ascii="Arial" w:hAnsi="Arial" w:cs="Arial"/>
          <w:color w:val="262626"/>
        </w:rPr>
        <w:t xml:space="preserve"> because of data format (continuous instead of categorical) </w:t>
      </w:r>
      <w:r w:rsidR="00272E21" w:rsidRPr="00166772">
        <w:rPr>
          <w:rFonts w:ascii="Arial" w:hAnsi="Arial" w:cs="Arial"/>
          <w:color w:val="262626"/>
        </w:rPr>
        <w:t>remains</w:t>
      </w:r>
      <w:r w:rsidR="000B215D" w:rsidRPr="00166772">
        <w:rPr>
          <w:rFonts w:ascii="Arial" w:hAnsi="Arial" w:cs="Arial"/>
          <w:color w:val="262626"/>
        </w:rPr>
        <w:t xml:space="preserve"> a potential </w:t>
      </w:r>
      <w:r w:rsidR="009711B0" w:rsidRPr="00166772">
        <w:rPr>
          <w:rFonts w:ascii="Arial" w:hAnsi="Arial" w:cs="Arial"/>
          <w:color w:val="262626"/>
        </w:rPr>
        <w:t>limitation, however it is unlikely that this</w:t>
      </w:r>
      <w:r w:rsidR="00272E21" w:rsidRPr="00166772">
        <w:rPr>
          <w:rFonts w:ascii="Arial" w:hAnsi="Arial" w:cs="Arial"/>
          <w:color w:val="262626"/>
        </w:rPr>
        <w:t xml:space="preserve"> decision</w:t>
      </w:r>
      <w:r w:rsidR="009711B0" w:rsidRPr="00166772">
        <w:rPr>
          <w:rFonts w:ascii="Arial" w:hAnsi="Arial" w:cs="Arial"/>
          <w:color w:val="262626"/>
        </w:rPr>
        <w:t xml:space="preserve"> would signific</w:t>
      </w:r>
      <w:r w:rsidR="00A73BDA" w:rsidRPr="00166772">
        <w:rPr>
          <w:rFonts w:ascii="Arial" w:hAnsi="Arial" w:cs="Arial"/>
          <w:color w:val="262626"/>
        </w:rPr>
        <w:t>antly change</w:t>
      </w:r>
      <w:r w:rsidR="000B215D" w:rsidRPr="00166772">
        <w:rPr>
          <w:rFonts w:ascii="Arial" w:hAnsi="Arial" w:cs="Arial"/>
          <w:color w:val="262626"/>
        </w:rPr>
        <w:t>d</w:t>
      </w:r>
      <w:r w:rsidR="00A73BDA" w:rsidRPr="00166772">
        <w:rPr>
          <w:rFonts w:ascii="Arial" w:hAnsi="Arial" w:cs="Arial"/>
          <w:color w:val="262626"/>
        </w:rPr>
        <w:t xml:space="preserve"> our findings. One study</w:t>
      </w:r>
      <w:r w:rsidR="004971DB" w:rsidRPr="00166772">
        <w:rPr>
          <w:rFonts w:ascii="Arial" w:hAnsi="Arial" w:cs="Arial"/>
          <w:color w:val="262626"/>
          <w:vertAlign w:val="superscript"/>
        </w:rPr>
        <w:t>26</w:t>
      </w:r>
      <w:r w:rsidR="00A73BDA" w:rsidRPr="00166772">
        <w:rPr>
          <w:rFonts w:ascii="Arial" w:hAnsi="Arial" w:cs="Arial"/>
          <w:color w:val="262626"/>
        </w:rPr>
        <w:t xml:space="preserve"> had a very small sample size (n=60) and reported similar findings to our study, while the other</w:t>
      </w:r>
      <w:r w:rsidR="00A73BDA" w:rsidRPr="00166772">
        <w:rPr>
          <w:rFonts w:ascii="Arial" w:hAnsi="Arial" w:cs="Arial"/>
          <w:color w:val="262626"/>
          <w:vertAlign w:val="superscript"/>
        </w:rPr>
        <w:t>16</w:t>
      </w:r>
      <w:r w:rsidR="00A73BDA" w:rsidRPr="00166772">
        <w:rPr>
          <w:rFonts w:ascii="Arial" w:hAnsi="Arial" w:cs="Arial"/>
          <w:color w:val="262626"/>
        </w:rPr>
        <w:t xml:space="preserve"> reported both negative and positive associations between shift work and mental health/vitality. The</w:t>
      </w:r>
      <w:r w:rsidR="000B215D" w:rsidRPr="00166772">
        <w:rPr>
          <w:rFonts w:ascii="Arial" w:hAnsi="Arial" w:cs="Arial"/>
          <w:color w:val="262626"/>
        </w:rPr>
        <w:t xml:space="preserve"> </w:t>
      </w:r>
      <w:r w:rsidR="00A73BDA" w:rsidRPr="00166772">
        <w:rPr>
          <w:rFonts w:ascii="Arial" w:hAnsi="Arial" w:cs="Arial"/>
          <w:color w:val="262626"/>
        </w:rPr>
        <w:lastRenderedPageBreak/>
        <w:t xml:space="preserve">findings </w:t>
      </w:r>
      <w:r w:rsidR="000B215D" w:rsidRPr="00166772">
        <w:rPr>
          <w:rFonts w:ascii="Arial" w:hAnsi="Arial" w:cs="Arial"/>
          <w:color w:val="262626"/>
        </w:rPr>
        <w:t xml:space="preserve">from these studies </w:t>
      </w:r>
      <w:r w:rsidR="00A73BDA" w:rsidRPr="00166772">
        <w:rPr>
          <w:rFonts w:ascii="Arial" w:hAnsi="Arial" w:cs="Arial"/>
          <w:color w:val="262626"/>
        </w:rPr>
        <w:t>are similar to those reported in other included studies</w:t>
      </w:r>
      <w:r w:rsidR="00A73BDA" w:rsidRPr="00166772">
        <w:rPr>
          <w:rFonts w:ascii="Arial" w:hAnsi="Arial" w:cs="Arial"/>
          <w:color w:val="262626"/>
          <w:vertAlign w:val="superscript"/>
        </w:rPr>
        <w:t>17</w:t>
      </w:r>
      <w:r w:rsidR="00272E21" w:rsidRPr="00166772">
        <w:rPr>
          <w:rFonts w:ascii="Arial" w:hAnsi="Arial" w:cs="Arial"/>
          <w:color w:val="262626"/>
        </w:rPr>
        <w:t xml:space="preserve">, </w:t>
      </w:r>
      <w:r w:rsidR="00272E21" w:rsidRPr="00166772">
        <w:rPr>
          <w:rFonts w:ascii="Arial" w:hAnsi="Arial" w:cs="Arial"/>
          <w:color w:val="262626"/>
          <w:lang w:val="en-GB"/>
        </w:rPr>
        <w:t>and earlier in the discussion we explored possible reasons for the differences in associations</w:t>
      </w:r>
    </w:p>
    <w:p w14:paraId="7C4D12A7" w14:textId="5F780C4B" w:rsidR="0073069E" w:rsidRPr="00166772" w:rsidRDefault="0073069E" w:rsidP="005E3605">
      <w:pPr>
        <w:widowControl w:val="0"/>
        <w:tabs>
          <w:tab w:val="left" w:pos="220"/>
          <w:tab w:val="left" w:pos="720"/>
        </w:tabs>
        <w:autoSpaceDE w:val="0"/>
        <w:autoSpaceDN w:val="0"/>
        <w:adjustRightInd w:val="0"/>
        <w:spacing w:before="120" w:line="480" w:lineRule="auto"/>
        <w:jc w:val="both"/>
        <w:rPr>
          <w:rFonts w:ascii="Arial" w:hAnsi="Arial" w:cs="Arial"/>
          <w:color w:val="262626"/>
        </w:rPr>
      </w:pPr>
      <w:r w:rsidRPr="00166772">
        <w:rPr>
          <w:rFonts w:ascii="Arial" w:hAnsi="Arial" w:cs="Arial"/>
          <w:color w:val="262626"/>
        </w:rPr>
        <w:t xml:space="preserve">We conducted sensitivity analyses on the effects of gender and other factors, </w:t>
      </w:r>
      <w:r w:rsidR="000B215D" w:rsidRPr="00166772">
        <w:rPr>
          <w:rFonts w:ascii="Arial" w:hAnsi="Arial" w:cs="Arial"/>
          <w:color w:val="262626"/>
        </w:rPr>
        <w:t xml:space="preserve">however </w:t>
      </w:r>
      <w:r w:rsidRPr="00166772">
        <w:rPr>
          <w:rFonts w:ascii="Arial" w:hAnsi="Arial" w:cs="Arial"/>
          <w:color w:val="262626"/>
        </w:rPr>
        <w:t xml:space="preserve">we could not do this for personality traits or job-related factors, as such information was not available in the included studies. </w:t>
      </w:r>
      <w:r w:rsidR="00ED3DA7" w:rsidRPr="00166772">
        <w:rPr>
          <w:rFonts w:ascii="Arial" w:hAnsi="Arial" w:cs="Arial"/>
          <w:color w:val="262626"/>
        </w:rPr>
        <w:t>W</w:t>
      </w:r>
      <w:r w:rsidR="00E75C2D" w:rsidRPr="00166772">
        <w:rPr>
          <w:rFonts w:ascii="Arial" w:hAnsi="Arial" w:cs="Arial"/>
          <w:color w:val="262626"/>
        </w:rPr>
        <w:t>e conducted sensitivity analysis on participants</w:t>
      </w:r>
      <w:r w:rsidR="000B215D" w:rsidRPr="00166772">
        <w:rPr>
          <w:rFonts w:ascii="Arial" w:hAnsi="Arial" w:cs="Arial"/>
          <w:color w:val="262626"/>
        </w:rPr>
        <w:t>’</w:t>
      </w:r>
      <w:r w:rsidR="00E75C2D" w:rsidRPr="00166772">
        <w:rPr>
          <w:rFonts w:ascii="Arial" w:hAnsi="Arial" w:cs="Arial"/>
          <w:color w:val="262626"/>
        </w:rPr>
        <w:t xml:space="preserve"> occupation (nursing vs other), </w:t>
      </w:r>
      <w:r w:rsidR="00ED3DA7" w:rsidRPr="00166772">
        <w:rPr>
          <w:rFonts w:ascii="Arial" w:hAnsi="Arial" w:cs="Arial"/>
          <w:color w:val="262626"/>
        </w:rPr>
        <w:t xml:space="preserve">but </w:t>
      </w:r>
      <w:r w:rsidR="00E75C2D" w:rsidRPr="00166772">
        <w:rPr>
          <w:rFonts w:ascii="Arial" w:hAnsi="Arial" w:cs="Arial"/>
          <w:color w:val="262626"/>
        </w:rPr>
        <w:t xml:space="preserve">the lack of occupation information in most studies </w:t>
      </w:r>
      <w:r w:rsidR="00627345" w:rsidRPr="00166772">
        <w:rPr>
          <w:rFonts w:ascii="Arial" w:hAnsi="Arial" w:cs="Arial"/>
          <w:color w:val="262626"/>
        </w:rPr>
        <w:t xml:space="preserve">limited our ability to </w:t>
      </w:r>
      <w:r w:rsidR="00E75C2D" w:rsidRPr="00166772">
        <w:rPr>
          <w:rFonts w:ascii="Arial" w:hAnsi="Arial" w:cs="Arial"/>
          <w:color w:val="262626"/>
        </w:rPr>
        <w:t xml:space="preserve">explore </w:t>
      </w:r>
      <w:r w:rsidR="000B215D" w:rsidRPr="00166772">
        <w:rPr>
          <w:rFonts w:ascii="Arial" w:hAnsi="Arial" w:cs="Arial"/>
          <w:color w:val="262626"/>
        </w:rPr>
        <w:t xml:space="preserve">potential </w:t>
      </w:r>
      <w:r w:rsidR="00703892" w:rsidRPr="00166772">
        <w:rPr>
          <w:rFonts w:ascii="Arial" w:hAnsi="Arial" w:cs="Arial"/>
          <w:color w:val="262626"/>
        </w:rPr>
        <w:t>moderating</w:t>
      </w:r>
      <w:r w:rsidR="000B215D" w:rsidRPr="00166772">
        <w:rPr>
          <w:rFonts w:ascii="Arial" w:hAnsi="Arial" w:cs="Arial"/>
          <w:color w:val="262626"/>
        </w:rPr>
        <w:t xml:space="preserve"> </w:t>
      </w:r>
      <w:r w:rsidR="00E75C2D" w:rsidRPr="00166772">
        <w:rPr>
          <w:rFonts w:ascii="Arial" w:hAnsi="Arial" w:cs="Arial"/>
          <w:color w:val="262626"/>
        </w:rPr>
        <w:t>effect</w:t>
      </w:r>
      <w:r w:rsidR="000B215D" w:rsidRPr="00166772">
        <w:rPr>
          <w:rFonts w:ascii="Arial" w:hAnsi="Arial" w:cs="Arial"/>
          <w:color w:val="262626"/>
        </w:rPr>
        <w:t>s</w:t>
      </w:r>
      <w:r w:rsidR="00E75C2D" w:rsidRPr="00166772">
        <w:rPr>
          <w:rFonts w:ascii="Arial" w:hAnsi="Arial" w:cs="Arial"/>
          <w:color w:val="262626"/>
        </w:rPr>
        <w:t xml:space="preserve"> of specific occupations.  </w:t>
      </w:r>
      <w:r w:rsidRPr="00166772">
        <w:rPr>
          <w:rFonts w:ascii="Arial" w:hAnsi="Arial" w:cs="Arial"/>
          <w:color w:val="262626"/>
        </w:rPr>
        <w:t>Given the large body of literature on these factors, these variables should be conside</w:t>
      </w:r>
      <w:r w:rsidR="00ED3DA7" w:rsidRPr="00166772">
        <w:rPr>
          <w:rFonts w:ascii="Arial" w:hAnsi="Arial" w:cs="Arial"/>
          <w:color w:val="262626"/>
        </w:rPr>
        <w:t>red in future meta-analyse</w:t>
      </w:r>
      <w:r w:rsidRPr="00166772">
        <w:rPr>
          <w:rFonts w:ascii="Arial" w:hAnsi="Arial" w:cs="Arial"/>
          <w:color w:val="262626"/>
        </w:rPr>
        <w:t xml:space="preserve">s as mediators of overall pooled effect size. To enhance specificity, we grouped estimates into types of </w:t>
      </w:r>
      <w:r w:rsidR="000B215D" w:rsidRPr="00166772">
        <w:rPr>
          <w:rFonts w:ascii="Arial" w:hAnsi="Arial" w:cs="Arial"/>
          <w:color w:val="262626"/>
        </w:rPr>
        <w:t xml:space="preserve">adverse </w:t>
      </w:r>
      <w:r w:rsidRPr="00166772">
        <w:rPr>
          <w:rFonts w:ascii="Arial" w:hAnsi="Arial" w:cs="Arial"/>
          <w:color w:val="262626"/>
        </w:rPr>
        <w:t>mental health outcomes (i.e. anxiety</w:t>
      </w:r>
      <w:r w:rsidR="000B215D" w:rsidRPr="00166772">
        <w:rPr>
          <w:rFonts w:ascii="Arial" w:hAnsi="Arial" w:cs="Arial"/>
          <w:color w:val="262626"/>
        </w:rPr>
        <w:t xml:space="preserve"> symptoms</w:t>
      </w:r>
      <w:r w:rsidRPr="00166772">
        <w:rPr>
          <w:rFonts w:ascii="Arial" w:hAnsi="Arial" w:cs="Arial"/>
          <w:color w:val="262626"/>
        </w:rPr>
        <w:t>, depression</w:t>
      </w:r>
      <w:r w:rsidR="000B215D" w:rsidRPr="00166772">
        <w:rPr>
          <w:rFonts w:ascii="Arial" w:hAnsi="Arial" w:cs="Arial"/>
          <w:color w:val="262626"/>
        </w:rPr>
        <w:t xml:space="preserve"> symptoms</w:t>
      </w:r>
      <w:r w:rsidRPr="00166772">
        <w:rPr>
          <w:rFonts w:ascii="Arial" w:hAnsi="Arial" w:cs="Arial"/>
          <w:color w:val="262626"/>
        </w:rPr>
        <w:t xml:space="preserve">, general </w:t>
      </w:r>
      <w:r w:rsidR="000B215D" w:rsidRPr="00166772">
        <w:rPr>
          <w:rFonts w:ascii="Arial" w:hAnsi="Arial" w:cs="Arial"/>
          <w:color w:val="262626"/>
        </w:rPr>
        <w:t xml:space="preserve">poor </w:t>
      </w:r>
      <w:r w:rsidRPr="00166772">
        <w:rPr>
          <w:rFonts w:ascii="Arial" w:hAnsi="Arial" w:cs="Arial"/>
          <w:color w:val="262626"/>
        </w:rPr>
        <w:t>mental health</w:t>
      </w:r>
      <w:r w:rsidR="000B215D" w:rsidRPr="00166772">
        <w:rPr>
          <w:rFonts w:ascii="Arial" w:hAnsi="Arial" w:cs="Arial"/>
          <w:color w:val="262626"/>
        </w:rPr>
        <w:t xml:space="preserve"> symptom</w:t>
      </w:r>
      <w:r w:rsidR="00C6527C" w:rsidRPr="00166772">
        <w:rPr>
          <w:rFonts w:ascii="Arial" w:hAnsi="Arial" w:cs="Arial"/>
          <w:color w:val="262626"/>
        </w:rPr>
        <w:t>s</w:t>
      </w:r>
      <w:r w:rsidRPr="00166772">
        <w:rPr>
          <w:rFonts w:ascii="Arial" w:hAnsi="Arial" w:cs="Arial"/>
          <w:color w:val="262626"/>
        </w:rPr>
        <w:t>)</w:t>
      </w:r>
      <w:r w:rsidR="001C4D13" w:rsidRPr="00166772">
        <w:rPr>
          <w:rFonts w:ascii="Arial" w:hAnsi="Arial" w:cs="Arial"/>
          <w:color w:val="262626"/>
        </w:rPr>
        <w:t xml:space="preserve"> and used a dichotomy of present/not present</w:t>
      </w:r>
      <w:r w:rsidR="002D429C" w:rsidRPr="00166772">
        <w:rPr>
          <w:rFonts w:ascii="Arial" w:hAnsi="Arial" w:cs="Arial"/>
          <w:color w:val="262626"/>
        </w:rPr>
        <w:t xml:space="preserve">. </w:t>
      </w:r>
      <w:r w:rsidR="00272E21" w:rsidRPr="00166772">
        <w:rPr>
          <w:rFonts w:ascii="Arial" w:hAnsi="Arial" w:cs="Arial"/>
          <w:color w:val="262626"/>
        </w:rPr>
        <w:t>We acknowledge this could be perceived as a simplistic approach, and that measures used in the included studies were sometimes very basic (e.g. one question item to define clinical depression) and used cut-off scores to identify of adverse mental health outcomes. This approach would be insufficient for diagnostic purposes</w:t>
      </w:r>
      <w:r w:rsidRPr="00166772">
        <w:rPr>
          <w:rFonts w:ascii="Arial" w:hAnsi="Arial" w:cs="Arial"/>
          <w:color w:val="262626"/>
        </w:rPr>
        <w:t xml:space="preserve">.  We </w:t>
      </w:r>
      <w:r w:rsidR="001C4D13" w:rsidRPr="00166772">
        <w:rPr>
          <w:rFonts w:ascii="Arial" w:hAnsi="Arial" w:cs="Arial"/>
          <w:color w:val="262626"/>
        </w:rPr>
        <w:t xml:space="preserve">have therefore, used language </w:t>
      </w:r>
      <w:r w:rsidR="0039450A" w:rsidRPr="00166772">
        <w:rPr>
          <w:rFonts w:ascii="Arial" w:hAnsi="Arial" w:cs="Arial"/>
          <w:color w:val="262626"/>
        </w:rPr>
        <w:t xml:space="preserve">about </w:t>
      </w:r>
      <w:r w:rsidR="001C4D13" w:rsidRPr="00166772">
        <w:rPr>
          <w:rFonts w:ascii="Arial" w:hAnsi="Arial" w:cs="Arial"/>
          <w:color w:val="262626"/>
        </w:rPr>
        <w:t>“</w:t>
      </w:r>
      <w:r w:rsidRPr="00166772">
        <w:rPr>
          <w:rFonts w:ascii="Arial" w:hAnsi="Arial" w:cs="Arial"/>
          <w:color w:val="262626"/>
        </w:rPr>
        <w:t>symptoms</w:t>
      </w:r>
      <w:r w:rsidR="001C4D13" w:rsidRPr="00166772">
        <w:rPr>
          <w:rFonts w:ascii="Arial" w:hAnsi="Arial" w:cs="Arial"/>
          <w:color w:val="262626"/>
        </w:rPr>
        <w:t>”</w:t>
      </w:r>
      <w:r w:rsidR="00272E21" w:rsidRPr="00166772">
        <w:rPr>
          <w:rFonts w:ascii="Arial" w:hAnsi="Arial" w:cs="Arial"/>
          <w:color w:val="262626"/>
        </w:rPr>
        <w:t xml:space="preserve"> </w:t>
      </w:r>
      <w:r w:rsidRPr="00166772">
        <w:rPr>
          <w:rFonts w:ascii="Arial" w:hAnsi="Arial" w:cs="Arial"/>
          <w:color w:val="262626"/>
        </w:rPr>
        <w:t>(rather than d</w:t>
      </w:r>
      <w:r w:rsidR="001C4D13" w:rsidRPr="00166772">
        <w:rPr>
          <w:rFonts w:ascii="Arial" w:hAnsi="Arial" w:cs="Arial"/>
          <w:color w:val="262626"/>
        </w:rPr>
        <w:t>iagnoses</w:t>
      </w:r>
      <w:r w:rsidRPr="00166772">
        <w:rPr>
          <w:rFonts w:ascii="Arial" w:hAnsi="Arial" w:cs="Arial"/>
          <w:color w:val="262626"/>
        </w:rPr>
        <w:t>) and exclud</w:t>
      </w:r>
      <w:r w:rsidR="001C4D13" w:rsidRPr="00166772">
        <w:rPr>
          <w:rFonts w:ascii="Arial" w:hAnsi="Arial" w:cs="Arial"/>
          <w:color w:val="262626"/>
        </w:rPr>
        <w:t>ed</w:t>
      </w:r>
      <w:r w:rsidRPr="00166772">
        <w:rPr>
          <w:rFonts w:ascii="Arial" w:hAnsi="Arial" w:cs="Arial"/>
          <w:color w:val="262626"/>
        </w:rPr>
        <w:t xml:space="preserve"> estimates of anxiety and depression assessed with </w:t>
      </w:r>
      <w:r w:rsidR="00ED3DA7" w:rsidRPr="00166772">
        <w:rPr>
          <w:rFonts w:ascii="Arial" w:hAnsi="Arial" w:cs="Arial"/>
          <w:color w:val="262626"/>
        </w:rPr>
        <w:t>a single</w:t>
      </w:r>
      <w:r w:rsidRPr="00166772">
        <w:rPr>
          <w:rFonts w:ascii="Arial" w:hAnsi="Arial" w:cs="Arial"/>
          <w:color w:val="262626"/>
        </w:rPr>
        <w:t xml:space="preserve"> question</w:t>
      </w:r>
      <w:hyperlink w:anchor="_ENREF_13" w:tooltip="Bara, 2009 #742" w:history="1">
        <w:r w:rsidRPr="00166772">
          <w:rPr>
            <w:rFonts w:ascii="Arial" w:hAnsi="Arial" w:cs="Arial"/>
            <w:noProof/>
            <w:color w:val="262626"/>
            <w:vertAlign w:val="superscript"/>
          </w:rPr>
          <w:t>13</w:t>
        </w:r>
      </w:hyperlink>
      <w:r w:rsidRPr="00166772">
        <w:rPr>
          <w:rFonts w:ascii="Arial" w:hAnsi="Arial" w:cs="Arial"/>
          <w:color w:val="262626"/>
        </w:rPr>
        <w:t xml:space="preserve">. Future studies of the effects of shift work on </w:t>
      </w:r>
      <w:r w:rsidR="001C4D13" w:rsidRPr="00166772">
        <w:rPr>
          <w:rFonts w:ascii="Arial" w:hAnsi="Arial" w:cs="Arial"/>
          <w:color w:val="262626"/>
        </w:rPr>
        <w:t xml:space="preserve">adverse </w:t>
      </w:r>
      <w:r w:rsidRPr="00166772">
        <w:rPr>
          <w:rFonts w:ascii="Arial" w:hAnsi="Arial" w:cs="Arial"/>
          <w:color w:val="262626"/>
        </w:rPr>
        <w:t xml:space="preserve">mental health outcomes </w:t>
      </w:r>
      <w:r w:rsidR="001C4D13" w:rsidRPr="00166772">
        <w:rPr>
          <w:rFonts w:ascii="Arial" w:hAnsi="Arial" w:cs="Arial"/>
          <w:color w:val="262626"/>
        </w:rPr>
        <w:t xml:space="preserve">could </w:t>
      </w:r>
      <w:r w:rsidRPr="00166772">
        <w:rPr>
          <w:rFonts w:ascii="Arial" w:hAnsi="Arial" w:cs="Arial"/>
          <w:color w:val="262626"/>
        </w:rPr>
        <w:t xml:space="preserve">include sub-analyses to assess the effects of gender and job-related factors. </w:t>
      </w:r>
    </w:p>
    <w:p w14:paraId="33D18F4C" w14:textId="77777777" w:rsidR="0073069E" w:rsidRPr="00166772" w:rsidRDefault="0073069E" w:rsidP="005E3605">
      <w:pPr>
        <w:widowControl w:val="0"/>
        <w:tabs>
          <w:tab w:val="left" w:pos="220"/>
          <w:tab w:val="left" w:pos="720"/>
        </w:tabs>
        <w:autoSpaceDE w:val="0"/>
        <w:autoSpaceDN w:val="0"/>
        <w:adjustRightInd w:val="0"/>
        <w:spacing w:before="120" w:line="480" w:lineRule="auto"/>
        <w:jc w:val="both"/>
        <w:rPr>
          <w:rFonts w:ascii="Arial" w:hAnsi="Arial" w:cs="Arial"/>
          <w:color w:val="262626"/>
        </w:rPr>
      </w:pPr>
    </w:p>
    <w:p w14:paraId="09732F8E" w14:textId="77777777" w:rsidR="0073069E" w:rsidRPr="00166772" w:rsidRDefault="0073069E" w:rsidP="005E3605">
      <w:pPr>
        <w:widowControl w:val="0"/>
        <w:tabs>
          <w:tab w:val="left" w:pos="220"/>
          <w:tab w:val="left" w:pos="720"/>
        </w:tabs>
        <w:autoSpaceDE w:val="0"/>
        <w:autoSpaceDN w:val="0"/>
        <w:adjustRightInd w:val="0"/>
        <w:spacing w:before="120" w:line="480" w:lineRule="auto"/>
        <w:jc w:val="both"/>
        <w:rPr>
          <w:rFonts w:ascii="Arial" w:hAnsi="Arial" w:cs="Arial"/>
          <w:b/>
          <w:color w:val="262626"/>
        </w:rPr>
      </w:pPr>
      <w:r w:rsidRPr="00166772">
        <w:rPr>
          <w:rFonts w:ascii="Arial" w:hAnsi="Arial" w:cs="Arial"/>
          <w:b/>
          <w:color w:val="262626"/>
        </w:rPr>
        <w:t>CONCLUSION</w:t>
      </w:r>
    </w:p>
    <w:p w14:paraId="22F3FF01" w14:textId="13B6BAD3" w:rsidR="0073069E" w:rsidRPr="00166772" w:rsidRDefault="0073069E" w:rsidP="005E3605">
      <w:pPr>
        <w:widowControl w:val="0"/>
        <w:tabs>
          <w:tab w:val="left" w:pos="220"/>
          <w:tab w:val="left" w:pos="720"/>
        </w:tabs>
        <w:autoSpaceDE w:val="0"/>
        <w:autoSpaceDN w:val="0"/>
        <w:adjustRightInd w:val="0"/>
        <w:spacing w:before="120" w:line="480" w:lineRule="auto"/>
        <w:jc w:val="both"/>
        <w:rPr>
          <w:rFonts w:ascii="Arial" w:hAnsi="Arial" w:cs="Arial"/>
          <w:color w:val="262626"/>
        </w:rPr>
      </w:pPr>
      <w:r w:rsidRPr="00166772">
        <w:rPr>
          <w:rFonts w:ascii="Arial" w:hAnsi="Arial" w:cs="Arial"/>
          <w:color w:val="262626"/>
        </w:rPr>
        <w:t xml:space="preserve">Shift workers are at increased risk of </w:t>
      </w:r>
      <w:r w:rsidR="0039450A" w:rsidRPr="00166772">
        <w:rPr>
          <w:rFonts w:ascii="Arial" w:hAnsi="Arial" w:cs="Arial"/>
          <w:color w:val="262626"/>
        </w:rPr>
        <w:t xml:space="preserve">symptoms relating to </w:t>
      </w:r>
      <w:r w:rsidRPr="00166772">
        <w:rPr>
          <w:rFonts w:ascii="Arial" w:hAnsi="Arial" w:cs="Arial"/>
          <w:color w:val="262626"/>
        </w:rPr>
        <w:t>depression</w:t>
      </w:r>
      <w:r w:rsidR="0039450A" w:rsidRPr="00166772">
        <w:rPr>
          <w:rFonts w:ascii="Arial" w:hAnsi="Arial" w:cs="Arial"/>
          <w:color w:val="262626"/>
        </w:rPr>
        <w:t xml:space="preserve"> and </w:t>
      </w:r>
      <w:r w:rsidR="00BD6EBA" w:rsidRPr="00166772">
        <w:rPr>
          <w:rFonts w:ascii="Arial" w:hAnsi="Arial" w:cs="Arial"/>
          <w:color w:val="262626"/>
        </w:rPr>
        <w:t>adverse mental health outcomes</w:t>
      </w:r>
      <w:r w:rsidRPr="00166772">
        <w:rPr>
          <w:rFonts w:ascii="Arial" w:hAnsi="Arial" w:cs="Arial"/>
          <w:color w:val="262626"/>
        </w:rPr>
        <w:t xml:space="preserve">, and this is particularly true for female shift workers.  </w:t>
      </w:r>
      <w:r w:rsidR="0039450A" w:rsidRPr="00166772">
        <w:rPr>
          <w:rFonts w:ascii="Arial" w:hAnsi="Arial" w:cs="Arial"/>
          <w:color w:val="262626"/>
        </w:rPr>
        <w:t>W</w:t>
      </w:r>
      <w:r w:rsidRPr="00166772">
        <w:rPr>
          <w:rFonts w:ascii="Arial" w:hAnsi="Arial" w:cs="Arial"/>
          <w:color w:val="262626"/>
        </w:rPr>
        <w:t xml:space="preserve">orkplace health promotion programs and policies </w:t>
      </w:r>
      <w:r w:rsidR="0039450A" w:rsidRPr="00166772">
        <w:rPr>
          <w:rFonts w:ascii="Arial" w:hAnsi="Arial" w:cs="Arial"/>
          <w:color w:val="262626"/>
        </w:rPr>
        <w:t xml:space="preserve">are needed to </w:t>
      </w:r>
      <w:r w:rsidRPr="00166772">
        <w:rPr>
          <w:rFonts w:ascii="Arial" w:hAnsi="Arial" w:cs="Arial"/>
          <w:color w:val="262626"/>
        </w:rPr>
        <w:t xml:space="preserve">minimise shift workers’ risk of </w:t>
      </w:r>
      <w:r w:rsidR="00BD6EBA" w:rsidRPr="00166772">
        <w:rPr>
          <w:rFonts w:ascii="Arial" w:hAnsi="Arial" w:cs="Arial"/>
          <w:color w:val="262626"/>
        </w:rPr>
        <w:t>poor mental health.</w:t>
      </w:r>
    </w:p>
    <w:p w14:paraId="2E7C436A" w14:textId="77777777" w:rsidR="0073069E" w:rsidRPr="00166772" w:rsidRDefault="0073069E" w:rsidP="003254A0">
      <w:pPr>
        <w:widowControl w:val="0"/>
        <w:tabs>
          <w:tab w:val="left" w:pos="220"/>
          <w:tab w:val="left" w:pos="720"/>
        </w:tabs>
        <w:autoSpaceDE w:val="0"/>
        <w:autoSpaceDN w:val="0"/>
        <w:adjustRightInd w:val="0"/>
        <w:spacing w:before="120" w:line="480" w:lineRule="auto"/>
        <w:rPr>
          <w:rFonts w:ascii="Arial" w:hAnsi="Arial" w:cs="Arial"/>
          <w:b/>
          <w:color w:val="262626"/>
        </w:rPr>
      </w:pPr>
      <w:r w:rsidRPr="00166772">
        <w:rPr>
          <w:rFonts w:ascii="Arial" w:hAnsi="Arial" w:cs="Arial"/>
          <w:b/>
          <w:color w:val="262626"/>
        </w:rPr>
        <w:lastRenderedPageBreak/>
        <w:t>CONFLICT OF INTEREST</w:t>
      </w:r>
    </w:p>
    <w:p w14:paraId="3A3631C6" w14:textId="7EC64331" w:rsidR="0073069E" w:rsidRPr="00166772" w:rsidRDefault="0073069E" w:rsidP="005E3605">
      <w:pPr>
        <w:widowControl w:val="0"/>
        <w:tabs>
          <w:tab w:val="left" w:pos="220"/>
          <w:tab w:val="left" w:pos="720"/>
        </w:tabs>
        <w:autoSpaceDE w:val="0"/>
        <w:autoSpaceDN w:val="0"/>
        <w:adjustRightInd w:val="0"/>
        <w:spacing w:before="120" w:line="480" w:lineRule="auto"/>
        <w:jc w:val="both"/>
        <w:rPr>
          <w:rFonts w:ascii="Arial" w:hAnsi="Arial" w:cs="Arial"/>
          <w:b/>
          <w:color w:val="262626"/>
        </w:rPr>
        <w:sectPr w:rsidR="0073069E" w:rsidRPr="00166772" w:rsidSect="00402989">
          <w:pgSz w:w="11900" w:h="16840"/>
          <w:pgMar w:top="1134" w:right="1021" w:bottom="1134" w:left="1134" w:header="708" w:footer="708" w:gutter="0"/>
          <w:lnNumType w:countBy="1" w:restart="continuous"/>
          <w:cols w:space="708"/>
          <w:docGrid w:linePitch="360"/>
        </w:sectPr>
      </w:pPr>
      <w:r w:rsidRPr="00166772">
        <w:rPr>
          <w:rFonts w:ascii="Arial" w:hAnsi="Arial" w:cs="Arial"/>
          <w:color w:val="262626"/>
        </w:rPr>
        <w:t>Authors declare no conflict of interests or financial conflicts.</w:t>
      </w:r>
      <w:r w:rsidR="00272E21" w:rsidRPr="00166772">
        <w:rPr>
          <w:rFonts w:ascii="Arial" w:hAnsi="Arial" w:cs="Arial"/>
          <w:color w:val="262626"/>
        </w:rPr>
        <w:tab/>
      </w:r>
    </w:p>
    <w:p w14:paraId="4C204894" w14:textId="77777777" w:rsidR="0073069E" w:rsidRPr="00166772" w:rsidRDefault="0073069E" w:rsidP="005E3605">
      <w:pPr>
        <w:widowControl w:val="0"/>
        <w:tabs>
          <w:tab w:val="left" w:pos="220"/>
          <w:tab w:val="left" w:pos="720"/>
        </w:tabs>
        <w:autoSpaceDE w:val="0"/>
        <w:autoSpaceDN w:val="0"/>
        <w:adjustRightInd w:val="0"/>
        <w:spacing w:before="120" w:line="480" w:lineRule="auto"/>
        <w:jc w:val="both"/>
        <w:rPr>
          <w:rFonts w:ascii="Arial" w:hAnsi="Arial" w:cs="Arial"/>
          <w:b/>
          <w:color w:val="262626"/>
        </w:rPr>
      </w:pPr>
      <w:r w:rsidRPr="00166772">
        <w:rPr>
          <w:rFonts w:ascii="Arial" w:hAnsi="Arial" w:cs="Arial"/>
          <w:b/>
          <w:color w:val="262626"/>
        </w:rPr>
        <w:lastRenderedPageBreak/>
        <w:t>REFERENCES</w:t>
      </w:r>
    </w:p>
    <w:p w14:paraId="0D8D32D4" w14:textId="307B9DBF" w:rsidR="0073069E" w:rsidRPr="00166772" w:rsidRDefault="0073069E" w:rsidP="0073069E">
      <w:pPr>
        <w:pStyle w:val="EndNoteBibliography"/>
        <w:spacing w:line="360" w:lineRule="auto"/>
        <w:rPr>
          <w:noProof/>
        </w:rPr>
      </w:pPr>
      <w:r w:rsidRPr="00166772">
        <w:rPr>
          <w:color w:val="262626"/>
          <w:lang w:val="en-AU"/>
        </w:rPr>
        <w:t xml:space="preserve"> </w:t>
      </w:r>
      <w:bookmarkStart w:id="1" w:name="_ENREF_1"/>
      <w:r w:rsidRPr="00166772">
        <w:rPr>
          <w:noProof/>
        </w:rPr>
        <w:t>1.</w:t>
      </w:r>
      <w:r w:rsidRPr="00166772">
        <w:rPr>
          <w:noProof/>
        </w:rPr>
        <w:tab/>
        <w:t xml:space="preserve">Straif K, Baan R, Grosse Y, Secretan B, Ghissassi FE, Bouvard V, Altieri A, Benbrahim-Tallaa L and Cogliano V. Carcinogenicity of shift-work, painting, and fire-fighting. </w:t>
      </w:r>
      <w:r w:rsidR="00B47ED0" w:rsidRPr="00166772">
        <w:rPr>
          <w:i/>
          <w:noProof/>
        </w:rPr>
        <w:t xml:space="preserve"> Lancet Oncol. </w:t>
      </w:r>
      <w:r w:rsidRPr="00166772">
        <w:rPr>
          <w:noProof/>
        </w:rPr>
        <w:t>8:1065-1066.</w:t>
      </w:r>
      <w:bookmarkEnd w:id="1"/>
    </w:p>
    <w:p w14:paraId="7CE3B96B" w14:textId="77777777" w:rsidR="0073069E" w:rsidRPr="00166772" w:rsidRDefault="0073069E" w:rsidP="0073069E">
      <w:pPr>
        <w:pStyle w:val="EndNoteBibliography"/>
        <w:spacing w:line="360" w:lineRule="auto"/>
        <w:rPr>
          <w:noProof/>
        </w:rPr>
      </w:pPr>
      <w:bookmarkStart w:id="2" w:name="_ENREF_2"/>
      <w:r w:rsidRPr="00166772">
        <w:rPr>
          <w:noProof/>
        </w:rPr>
        <w:t>2.</w:t>
      </w:r>
      <w:r w:rsidRPr="00166772">
        <w:rPr>
          <w:noProof/>
        </w:rPr>
        <w:tab/>
        <w:t>Eurofound. Sixth European Working Conditions Survey – Overview report (2017 update). 2017.</w:t>
      </w:r>
      <w:bookmarkEnd w:id="2"/>
    </w:p>
    <w:p w14:paraId="474D25DF" w14:textId="7912A37C" w:rsidR="0073069E" w:rsidRPr="00166772" w:rsidRDefault="0073069E" w:rsidP="0073069E">
      <w:pPr>
        <w:pStyle w:val="EndNoteBibliography"/>
        <w:spacing w:line="360" w:lineRule="auto"/>
        <w:rPr>
          <w:noProof/>
        </w:rPr>
      </w:pPr>
      <w:bookmarkStart w:id="3" w:name="_ENREF_3"/>
      <w:r w:rsidRPr="00166772">
        <w:rPr>
          <w:noProof/>
        </w:rPr>
        <w:t>3.</w:t>
      </w:r>
      <w:r w:rsidRPr="00166772">
        <w:rPr>
          <w:noProof/>
        </w:rPr>
        <w:tab/>
        <w:t xml:space="preserve">Alterman T, Luckhaupt SE, Dahlhamer JM, Ward BW and Calvert GM. Prevalence rates of work organization characteristics among workers in the U.S.: Data from the 2010 National Health Interview Survey. </w:t>
      </w:r>
      <w:r w:rsidR="00B47ED0" w:rsidRPr="00166772">
        <w:rPr>
          <w:i/>
          <w:noProof/>
        </w:rPr>
        <w:t>Am J Ind Med</w:t>
      </w:r>
      <w:r w:rsidRPr="00166772">
        <w:rPr>
          <w:i/>
          <w:noProof/>
        </w:rPr>
        <w:t>.</w:t>
      </w:r>
      <w:r w:rsidRPr="00166772">
        <w:rPr>
          <w:noProof/>
        </w:rPr>
        <w:t xml:space="preserve"> 2013;56:647-659.</w:t>
      </w:r>
      <w:bookmarkEnd w:id="3"/>
    </w:p>
    <w:p w14:paraId="75B2BA58" w14:textId="1326D5E4" w:rsidR="0073069E" w:rsidRPr="00166772" w:rsidRDefault="0073069E" w:rsidP="0073069E">
      <w:pPr>
        <w:pStyle w:val="EndNoteBibliography"/>
        <w:spacing w:line="360" w:lineRule="auto"/>
        <w:rPr>
          <w:noProof/>
        </w:rPr>
      </w:pPr>
      <w:bookmarkStart w:id="4" w:name="_ENREF_4"/>
      <w:r w:rsidRPr="00166772">
        <w:rPr>
          <w:noProof/>
        </w:rPr>
        <w:t>4.</w:t>
      </w:r>
      <w:r w:rsidRPr="00166772">
        <w:rPr>
          <w:noProof/>
        </w:rPr>
        <w:tab/>
        <w:t xml:space="preserve">Wyse CA, Celis Morales CA, Graham N, Fan Y, Ward J, Curtis AM, Mackay D, Smith DJ, Bailey ME, Biello S, Gill JM and Pell JP. Adverse metabolic and mental health outcomes associated with shiftwork in a population-based study of 277,168 workers in UK biobank. </w:t>
      </w:r>
      <w:r w:rsidR="00B47ED0" w:rsidRPr="00166772">
        <w:rPr>
          <w:i/>
          <w:noProof/>
        </w:rPr>
        <w:t>Ann Med</w:t>
      </w:r>
      <w:r w:rsidRPr="00166772">
        <w:rPr>
          <w:noProof/>
        </w:rPr>
        <w:t>. 2017:1-10.</w:t>
      </w:r>
      <w:bookmarkEnd w:id="4"/>
    </w:p>
    <w:p w14:paraId="64A3B61B" w14:textId="7DBEF63B" w:rsidR="0073069E" w:rsidRPr="00166772" w:rsidRDefault="0073069E" w:rsidP="0073069E">
      <w:pPr>
        <w:pStyle w:val="EndNoteBibliography"/>
        <w:spacing w:line="360" w:lineRule="auto"/>
        <w:rPr>
          <w:noProof/>
        </w:rPr>
      </w:pPr>
      <w:bookmarkStart w:id="5" w:name="_ENREF_5"/>
      <w:r w:rsidRPr="00166772">
        <w:rPr>
          <w:noProof/>
        </w:rPr>
        <w:t>5.</w:t>
      </w:r>
      <w:r w:rsidRPr="00166772">
        <w:rPr>
          <w:noProof/>
        </w:rPr>
        <w:tab/>
        <w:t>Torquati L, Mielke GI, Brown WJ and Kolbe-Alexander T. Shift work and the risk of cardiovascular disease. A systematic review and meta-analysis including dose-response relationship.</w:t>
      </w:r>
      <w:r w:rsidR="00B47ED0" w:rsidRPr="00166772">
        <w:t xml:space="preserve"> S</w:t>
      </w:r>
      <w:r w:rsidR="00B47ED0" w:rsidRPr="00166772">
        <w:rPr>
          <w:noProof/>
        </w:rPr>
        <w:t>cand J Work Environ Health</w:t>
      </w:r>
      <w:r w:rsidRPr="00166772">
        <w:rPr>
          <w:noProof/>
        </w:rPr>
        <w:t>. 2018;44:229-238.</w:t>
      </w:r>
      <w:bookmarkEnd w:id="5"/>
    </w:p>
    <w:p w14:paraId="778E18A0" w14:textId="77777777" w:rsidR="0073069E" w:rsidRPr="00166772" w:rsidRDefault="0073069E" w:rsidP="0073069E">
      <w:pPr>
        <w:pStyle w:val="EndNoteBibliography"/>
        <w:spacing w:line="360" w:lineRule="auto"/>
        <w:rPr>
          <w:noProof/>
        </w:rPr>
      </w:pPr>
      <w:bookmarkStart w:id="6" w:name="_ENREF_6"/>
      <w:r w:rsidRPr="00166772">
        <w:rPr>
          <w:noProof/>
        </w:rPr>
        <w:t>6.</w:t>
      </w:r>
      <w:r w:rsidRPr="00166772">
        <w:rPr>
          <w:noProof/>
        </w:rPr>
        <w:tab/>
        <w:t xml:space="preserve">Karatsoreos IN. Effects of circadian disruption on mental and physical health. </w:t>
      </w:r>
      <w:r w:rsidRPr="00166772">
        <w:rPr>
          <w:i/>
          <w:noProof/>
        </w:rPr>
        <w:t>Current Neurology and Neuroscience Reports</w:t>
      </w:r>
      <w:r w:rsidRPr="00166772">
        <w:rPr>
          <w:noProof/>
        </w:rPr>
        <w:t>. 2012;12:218-225.</w:t>
      </w:r>
      <w:bookmarkEnd w:id="6"/>
    </w:p>
    <w:p w14:paraId="1508E0EC" w14:textId="75B6F0D4" w:rsidR="009B24F5" w:rsidRPr="00166772" w:rsidRDefault="00486A7D" w:rsidP="00906DE0">
      <w:pPr>
        <w:pStyle w:val="EndNoteBibliography"/>
        <w:spacing w:line="360" w:lineRule="auto"/>
        <w:rPr>
          <w:noProof/>
        </w:rPr>
      </w:pPr>
      <w:bookmarkStart w:id="7" w:name="_ENREF_7"/>
      <w:r w:rsidRPr="00166772">
        <w:rPr>
          <w:noProof/>
        </w:rPr>
        <w:t>*</w:t>
      </w:r>
      <w:r w:rsidR="00906DE0" w:rsidRPr="00166772">
        <w:rPr>
          <w:noProof/>
        </w:rPr>
        <w:t>7</w:t>
      </w:r>
      <w:r w:rsidR="0073069E" w:rsidRPr="00166772">
        <w:rPr>
          <w:noProof/>
        </w:rPr>
        <w:t>.</w:t>
      </w:r>
      <w:r w:rsidR="0073069E" w:rsidRPr="00166772">
        <w:rPr>
          <w:noProof/>
        </w:rPr>
        <w:tab/>
        <w:t xml:space="preserve">Berthelsen M, Pallesen S, Bjorvatn B and Knardahl S. Shift schedules, work factors, and mental health among onshore and offshore workers in the Norwegian petroleum industry. </w:t>
      </w:r>
      <w:r w:rsidR="00B47ED0" w:rsidRPr="00166772">
        <w:rPr>
          <w:i/>
          <w:noProof/>
        </w:rPr>
        <w:t>Ind</w:t>
      </w:r>
      <w:r w:rsidR="0073069E" w:rsidRPr="00166772">
        <w:rPr>
          <w:i/>
          <w:noProof/>
        </w:rPr>
        <w:t xml:space="preserve"> Health</w:t>
      </w:r>
      <w:r w:rsidR="0073069E" w:rsidRPr="00166772">
        <w:rPr>
          <w:noProof/>
        </w:rPr>
        <w:t>. 2015;53:280-292.</w:t>
      </w:r>
      <w:bookmarkEnd w:id="7"/>
    </w:p>
    <w:p w14:paraId="20E4C9BF" w14:textId="24ACE59F" w:rsidR="0073069E" w:rsidRPr="00166772" w:rsidRDefault="00906DE0" w:rsidP="0073069E">
      <w:pPr>
        <w:pStyle w:val="EndNoteBibliography"/>
        <w:spacing w:line="360" w:lineRule="auto"/>
        <w:rPr>
          <w:noProof/>
        </w:rPr>
      </w:pPr>
      <w:bookmarkStart w:id="8" w:name="_ENREF_8"/>
      <w:r w:rsidRPr="00166772">
        <w:rPr>
          <w:noProof/>
        </w:rPr>
        <w:t>8</w:t>
      </w:r>
      <w:r w:rsidR="0073069E" w:rsidRPr="00166772">
        <w:rPr>
          <w:noProof/>
        </w:rPr>
        <w:t>.</w:t>
      </w:r>
      <w:r w:rsidR="0073069E" w:rsidRPr="00166772">
        <w:rPr>
          <w:noProof/>
        </w:rPr>
        <w:tab/>
        <w:t xml:space="preserve">Drake CL and Wright K. Shift work, shift-work disorder, and jet lag. </w:t>
      </w:r>
      <w:r w:rsidR="0073069E" w:rsidRPr="00166772">
        <w:rPr>
          <w:i/>
          <w:noProof/>
        </w:rPr>
        <w:t xml:space="preserve">Principles and </w:t>
      </w:r>
      <w:r w:rsidR="00B47ED0" w:rsidRPr="00166772">
        <w:rPr>
          <w:i/>
          <w:noProof/>
        </w:rPr>
        <w:t>Practice of S</w:t>
      </w:r>
      <w:r w:rsidR="0073069E" w:rsidRPr="00166772">
        <w:rPr>
          <w:i/>
          <w:noProof/>
        </w:rPr>
        <w:t xml:space="preserve">leep </w:t>
      </w:r>
      <w:r w:rsidR="00B47ED0" w:rsidRPr="00166772">
        <w:rPr>
          <w:i/>
          <w:noProof/>
        </w:rPr>
        <w:t>M</w:t>
      </w:r>
      <w:r w:rsidR="0073069E" w:rsidRPr="00166772">
        <w:rPr>
          <w:i/>
          <w:noProof/>
        </w:rPr>
        <w:t>edicine</w:t>
      </w:r>
      <w:r w:rsidR="0073069E" w:rsidRPr="00166772">
        <w:rPr>
          <w:noProof/>
        </w:rPr>
        <w:t>. 2011;1:784-98.</w:t>
      </w:r>
      <w:bookmarkEnd w:id="8"/>
    </w:p>
    <w:p w14:paraId="041C765D" w14:textId="01A0353F" w:rsidR="0073069E" w:rsidRPr="00166772" w:rsidRDefault="00906DE0" w:rsidP="0073069E">
      <w:pPr>
        <w:pStyle w:val="EndNoteBibliography"/>
        <w:spacing w:line="360" w:lineRule="auto"/>
        <w:rPr>
          <w:noProof/>
        </w:rPr>
      </w:pPr>
      <w:bookmarkStart w:id="9" w:name="_ENREF_9"/>
      <w:r w:rsidRPr="00166772">
        <w:rPr>
          <w:noProof/>
        </w:rPr>
        <w:t>9</w:t>
      </w:r>
      <w:r w:rsidR="0073069E" w:rsidRPr="00166772">
        <w:rPr>
          <w:noProof/>
        </w:rPr>
        <w:t>.</w:t>
      </w:r>
      <w:r w:rsidR="0073069E" w:rsidRPr="00166772">
        <w:rPr>
          <w:noProof/>
        </w:rPr>
        <w:tab/>
        <w:t xml:space="preserve">Cheung T and Yip PSF. Lifestyle and Depression among Hong Kong Nurses. </w:t>
      </w:r>
      <w:r w:rsidR="00B47ED0" w:rsidRPr="00166772">
        <w:rPr>
          <w:i/>
          <w:noProof/>
        </w:rPr>
        <w:t xml:space="preserve">Int J Environ Res Public Health. </w:t>
      </w:r>
      <w:r w:rsidR="0073069E" w:rsidRPr="00166772">
        <w:rPr>
          <w:noProof/>
        </w:rPr>
        <w:t>2016;13.</w:t>
      </w:r>
      <w:bookmarkEnd w:id="9"/>
    </w:p>
    <w:p w14:paraId="52F57652" w14:textId="4A03A0E2" w:rsidR="0073069E" w:rsidRPr="00166772" w:rsidRDefault="0073069E" w:rsidP="0073069E">
      <w:pPr>
        <w:pStyle w:val="EndNoteBibliography"/>
        <w:spacing w:line="360" w:lineRule="auto"/>
        <w:rPr>
          <w:noProof/>
        </w:rPr>
      </w:pPr>
      <w:bookmarkStart w:id="10" w:name="_ENREF_10"/>
      <w:r w:rsidRPr="00166772">
        <w:rPr>
          <w:noProof/>
        </w:rPr>
        <w:t>1</w:t>
      </w:r>
      <w:r w:rsidR="00906DE0" w:rsidRPr="00166772">
        <w:rPr>
          <w:noProof/>
        </w:rPr>
        <w:t>0</w:t>
      </w:r>
      <w:r w:rsidRPr="00166772">
        <w:rPr>
          <w:noProof/>
        </w:rPr>
        <w:t>.</w:t>
      </w:r>
      <w:r w:rsidRPr="00166772">
        <w:rPr>
          <w:noProof/>
        </w:rPr>
        <w:tab/>
        <w:t>Patel V, Saxena S, Lund C, Thornicroft G, Baingana F, Bolton P, Chisholm D, Collins PY, Cooper JL, Eaton J, Herrman H, Herzallah MM, Huang Y, Jordans MJD, Kleinman A, Medina-Mora ME, Morgan E, Niaz U, Omigbodun O, Prince M, Rahman A, Saraceno B, Sarkar BK, De Silva M, Singh I, Stein DJ,</w:t>
      </w:r>
      <w:r w:rsidR="00B47ED0" w:rsidRPr="00166772">
        <w:rPr>
          <w:noProof/>
        </w:rPr>
        <w:t xml:space="preserve"> Sunkel C and UnÜtzer J. The Lancet</w:t>
      </w:r>
      <w:r w:rsidRPr="00166772">
        <w:rPr>
          <w:noProof/>
        </w:rPr>
        <w:t xml:space="preserve"> Commission on global mental health and sustainable development. </w:t>
      </w:r>
      <w:r w:rsidRPr="00166772">
        <w:rPr>
          <w:i/>
          <w:noProof/>
        </w:rPr>
        <w:t>The Lancet</w:t>
      </w:r>
      <w:r w:rsidRPr="00166772">
        <w:rPr>
          <w:noProof/>
        </w:rPr>
        <w:t>. 2018;392:1553-1598.</w:t>
      </w:r>
      <w:bookmarkEnd w:id="10"/>
    </w:p>
    <w:p w14:paraId="2DC90BE5" w14:textId="734F1484" w:rsidR="0073069E" w:rsidRPr="00166772" w:rsidRDefault="0073069E" w:rsidP="0073069E">
      <w:pPr>
        <w:pStyle w:val="EndNoteBibliography"/>
        <w:spacing w:line="360" w:lineRule="auto"/>
        <w:rPr>
          <w:noProof/>
        </w:rPr>
      </w:pPr>
      <w:bookmarkStart w:id="11" w:name="_ENREF_11"/>
      <w:r w:rsidRPr="00166772">
        <w:rPr>
          <w:noProof/>
        </w:rPr>
        <w:t>1</w:t>
      </w:r>
      <w:r w:rsidR="00906DE0" w:rsidRPr="00166772">
        <w:rPr>
          <w:noProof/>
        </w:rPr>
        <w:t>1</w:t>
      </w:r>
      <w:r w:rsidRPr="00166772">
        <w:rPr>
          <w:noProof/>
        </w:rPr>
        <w:t>.</w:t>
      </w:r>
      <w:r w:rsidRPr="00166772">
        <w:rPr>
          <w:noProof/>
        </w:rPr>
        <w:tab/>
        <w:t xml:space="preserve">AIHW. Australian Burden of Disease Study: Impact and causes of illness and death in Australia 2011. </w:t>
      </w:r>
      <w:r w:rsidRPr="00166772">
        <w:rPr>
          <w:i/>
          <w:noProof/>
        </w:rPr>
        <w:t xml:space="preserve">Australian Burden of Disease Study series no 3 BOD 4 </w:t>
      </w:r>
      <w:r w:rsidRPr="00166772">
        <w:rPr>
          <w:noProof/>
        </w:rPr>
        <w:t>2016.</w:t>
      </w:r>
      <w:bookmarkEnd w:id="11"/>
    </w:p>
    <w:p w14:paraId="14DA1D72" w14:textId="1DA960E7" w:rsidR="0073069E" w:rsidRPr="00166772" w:rsidRDefault="00906DE0" w:rsidP="0073069E">
      <w:pPr>
        <w:pStyle w:val="EndNoteBibliography"/>
        <w:spacing w:line="360" w:lineRule="auto"/>
        <w:rPr>
          <w:noProof/>
        </w:rPr>
      </w:pPr>
      <w:bookmarkStart w:id="12" w:name="_ENREF_12"/>
      <w:r w:rsidRPr="00166772">
        <w:rPr>
          <w:noProof/>
        </w:rPr>
        <w:lastRenderedPageBreak/>
        <w:t>12</w:t>
      </w:r>
      <w:r w:rsidR="0073069E" w:rsidRPr="00166772">
        <w:rPr>
          <w:noProof/>
        </w:rPr>
        <w:t>.</w:t>
      </w:r>
      <w:r w:rsidR="0073069E" w:rsidRPr="00166772">
        <w:rPr>
          <w:noProof/>
        </w:rPr>
        <w:tab/>
        <w:t xml:space="preserve">Driesen K, Jansen NWH, Kant I, Mohren DCL and van Amelsvoort LGPM. Depressed mood in the working population: Associations with work schedules and working hours. </w:t>
      </w:r>
      <w:r w:rsidR="00B47ED0" w:rsidRPr="00166772">
        <w:rPr>
          <w:i/>
          <w:noProof/>
        </w:rPr>
        <w:t>Chron Int</w:t>
      </w:r>
      <w:r w:rsidR="0073069E" w:rsidRPr="00166772">
        <w:rPr>
          <w:noProof/>
        </w:rPr>
        <w:t>. 2010;27:1062-1079.</w:t>
      </w:r>
      <w:bookmarkEnd w:id="12"/>
    </w:p>
    <w:p w14:paraId="0EA85C4F" w14:textId="5C5D56C5" w:rsidR="0073069E" w:rsidRPr="00166772" w:rsidRDefault="00906DE0" w:rsidP="0073069E">
      <w:pPr>
        <w:pStyle w:val="EndNoteBibliography"/>
        <w:spacing w:line="360" w:lineRule="auto"/>
        <w:rPr>
          <w:noProof/>
        </w:rPr>
      </w:pPr>
      <w:bookmarkStart w:id="13" w:name="_ENREF_13"/>
      <w:r w:rsidRPr="00166772">
        <w:rPr>
          <w:noProof/>
        </w:rPr>
        <w:t>13</w:t>
      </w:r>
      <w:r w:rsidR="0073069E" w:rsidRPr="00166772">
        <w:rPr>
          <w:noProof/>
        </w:rPr>
        <w:t>.</w:t>
      </w:r>
      <w:r w:rsidR="0073069E" w:rsidRPr="00166772">
        <w:rPr>
          <w:noProof/>
        </w:rPr>
        <w:tab/>
        <w:t xml:space="preserve">Lee HY, Kim MS, Kim O, Lee IH and Kim HK. Association between shift work and severity of depressive symptoms among female nurses: the Korea Nurses' Health Study. </w:t>
      </w:r>
      <w:r w:rsidR="0073069E" w:rsidRPr="00166772">
        <w:rPr>
          <w:i/>
          <w:noProof/>
        </w:rPr>
        <w:t>J Nurs Manag</w:t>
      </w:r>
      <w:r w:rsidR="0073069E" w:rsidRPr="00166772">
        <w:rPr>
          <w:noProof/>
        </w:rPr>
        <w:t>. 2016;24:192-200.</w:t>
      </w:r>
      <w:bookmarkEnd w:id="13"/>
    </w:p>
    <w:p w14:paraId="6BE9F785" w14:textId="5E604E64" w:rsidR="0073069E" w:rsidRPr="00166772" w:rsidRDefault="00486A7D" w:rsidP="0073069E">
      <w:pPr>
        <w:pStyle w:val="EndNoteBibliography"/>
        <w:spacing w:line="360" w:lineRule="auto"/>
        <w:rPr>
          <w:noProof/>
        </w:rPr>
      </w:pPr>
      <w:bookmarkStart w:id="14" w:name="_ENREF_14"/>
      <w:r w:rsidRPr="00166772">
        <w:rPr>
          <w:noProof/>
        </w:rPr>
        <w:t>*</w:t>
      </w:r>
      <w:r w:rsidR="0073069E" w:rsidRPr="00166772">
        <w:rPr>
          <w:noProof/>
        </w:rPr>
        <w:t>1</w:t>
      </w:r>
      <w:r w:rsidR="00906DE0" w:rsidRPr="00166772">
        <w:rPr>
          <w:noProof/>
        </w:rPr>
        <w:t>4</w:t>
      </w:r>
      <w:r w:rsidR="0073069E" w:rsidRPr="00166772">
        <w:rPr>
          <w:noProof/>
        </w:rPr>
        <w:t>.</w:t>
      </w:r>
      <w:r w:rsidR="0073069E" w:rsidRPr="00166772">
        <w:rPr>
          <w:noProof/>
        </w:rPr>
        <w:tab/>
        <w:t xml:space="preserve">Lin P-C, Chen C-H, Pan S-M, Pan C-H, Chen C-J, Chen Y-M, Hung H-C and Wu M-T. Atypical work schedules are associated with poor sleep quality and mental health in Taiwan female nurses. </w:t>
      </w:r>
      <w:r w:rsidR="00B47ED0" w:rsidRPr="00166772">
        <w:rPr>
          <w:i/>
          <w:noProof/>
        </w:rPr>
        <w:t>Int Arch Occup Environ Health</w:t>
      </w:r>
      <w:r w:rsidR="0073069E" w:rsidRPr="00166772">
        <w:rPr>
          <w:noProof/>
        </w:rPr>
        <w:t>. 2012;85:877-884.</w:t>
      </w:r>
      <w:bookmarkEnd w:id="14"/>
    </w:p>
    <w:p w14:paraId="09C9ABB2" w14:textId="769A067B" w:rsidR="0073069E" w:rsidRPr="00166772" w:rsidRDefault="00486A7D" w:rsidP="0073069E">
      <w:pPr>
        <w:pStyle w:val="EndNoteBibliography"/>
        <w:spacing w:line="360" w:lineRule="auto"/>
        <w:rPr>
          <w:noProof/>
        </w:rPr>
      </w:pPr>
      <w:bookmarkStart w:id="15" w:name="_ENREF_15"/>
      <w:r w:rsidRPr="00166772">
        <w:rPr>
          <w:noProof/>
        </w:rPr>
        <w:t>*</w:t>
      </w:r>
      <w:r w:rsidR="00906DE0" w:rsidRPr="00166772">
        <w:rPr>
          <w:noProof/>
        </w:rPr>
        <w:t>15</w:t>
      </w:r>
      <w:r w:rsidR="0073069E" w:rsidRPr="00166772">
        <w:rPr>
          <w:noProof/>
        </w:rPr>
        <w:t>.</w:t>
      </w:r>
      <w:r w:rsidR="0073069E" w:rsidRPr="00166772">
        <w:rPr>
          <w:noProof/>
        </w:rPr>
        <w:tab/>
        <w:t xml:space="preserve">Bara AC and Arber S. Working shifts and mental health - Findings from the British Household Panel Survey (1995-2005). </w:t>
      </w:r>
      <w:r w:rsidR="00B47ED0" w:rsidRPr="00166772">
        <w:rPr>
          <w:i/>
        </w:rPr>
        <w:t>S</w:t>
      </w:r>
      <w:r w:rsidR="00B47ED0" w:rsidRPr="00166772">
        <w:rPr>
          <w:i/>
          <w:noProof/>
        </w:rPr>
        <w:t>cand J Work Environ Health.</w:t>
      </w:r>
      <w:r w:rsidR="0073069E" w:rsidRPr="00166772">
        <w:rPr>
          <w:noProof/>
        </w:rPr>
        <w:t xml:space="preserve"> 2009;35:361-367.</w:t>
      </w:r>
      <w:bookmarkEnd w:id="15"/>
    </w:p>
    <w:p w14:paraId="18CC813E" w14:textId="073732C2" w:rsidR="0073069E" w:rsidRPr="00166772" w:rsidRDefault="0073069E" w:rsidP="0073069E">
      <w:pPr>
        <w:pStyle w:val="EndNoteBibliography"/>
        <w:spacing w:line="360" w:lineRule="auto"/>
        <w:rPr>
          <w:noProof/>
        </w:rPr>
      </w:pPr>
      <w:bookmarkStart w:id="16" w:name="_ENREF_16"/>
      <w:r w:rsidRPr="00166772">
        <w:rPr>
          <w:noProof/>
        </w:rPr>
        <w:t>1</w:t>
      </w:r>
      <w:r w:rsidR="00906DE0" w:rsidRPr="00166772">
        <w:rPr>
          <w:noProof/>
        </w:rPr>
        <w:t>6</w:t>
      </w:r>
      <w:r w:rsidRPr="00166772">
        <w:rPr>
          <w:noProof/>
        </w:rPr>
        <w:t>.</w:t>
      </w:r>
      <w:r w:rsidRPr="00166772">
        <w:rPr>
          <w:noProof/>
        </w:rPr>
        <w:tab/>
        <w:t xml:space="preserve">Nabe-Nielsen K, Garde AH, Albertsen K and Diderichsen F. The moderating effect of work-time influence on the effect of shift work: A prospective cohort study. </w:t>
      </w:r>
      <w:r w:rsidR="00B47ED0" w:rsidRPr="00166772">
        <w:rPr>
          <w:i/>
          <w:noProof/>
        </w:rPr>
        <w:t>Int Arch Occup Environ Health.</w:t>
      </w:r>
      <w:r w:rsidRPr="00166772">
        <w:rPr>
          <w:noProof/>
        </w:rPr>
        <w:t xml:space="preserve"> 2011;84:551-559.</w:t>
      </w:r>
      <w:bookmarkEnd w:id="16"/>
    </w:p>
    <w:p w14:paraId="7886D620" w14:textId="7B9F3DDA" w:rsidR="0073069E" w:rsidRPr="00166772" w:rsidRDefault="00486A7D" w:rsidP="0073069E">
      <w:pPr>
        <w:pStyle w:val="EndNoteBibliography"/>
        <w:spacing w:line="360" w:lineRule="auto"/>
        <w:rPr>
          <w:noProof/>
        </w:rPr>
      </w:pPr>
      <w:bookmarkStart w:id="17" w:name="_ENREF_17"/>
      <w:r w:rsidRPr="00166772">
        <w:rPr>
          <w:noProof/>
        </w:rPr>
        <w:t>*</w:t>
      </w:r>
      <w:r w:rsidR="00906DE0" w:rsidRPr="00166772">
        <w:rPr>
          <w:noProof/>
        </w:rPr>
        <w:t>17</w:t>
      </w:r>
      <w:r w:rsidR="0073069E" w:rsidRPr="00166772">
        <w:rPr>
          <w:noProof/>
        </w:rPr>
        <w:t>.</w:t>
      </w:r>
      <w:r w:rsidR="0073069E" w:rsidRPr="00166772">
        <w:rPr>
          <w:noProof/>
        </w:rPr>
        <w:tab/>
        <w:t xml:space="preserve">Bildt C and Michelsen H. Gender differences in the effects from working conditions on mental health: a 4-year follow-up. </w:t>
      </w:r>
      <w:r w:rsidR="00B47ED0" w:rsidRPr="00166772">
        <w:rPr>
          <w:i/>
          <w:noProof/>
        </w:rPr>
        <w:t>Int Arch Occup Environ Health</w:t>
      </w:r>
      <w:r w:rsidR="0073069E" w:rsidRPr="00166772">
        <w:rPr>
          <w:noProof/>
        </w:rPr>
        <w:t>. 2002;75:252-258.</w:t>
      </w:r>
      <w:bookmarkEnd w:id="17"/>
    </w:p>
    <w:p w14:paraId="67D18913" w14:textId="2EA9E1AB" w:rsidR="0073069E" w:rsidRPr="00166772" w:rsidRDefault="0073069E" w:rsidP="0073069E">
      <w:pPr>
        <w:pStyle w:val="EndNoteBibliography"/>
        <w:spacing w:line="360" w:lineRule="auto"/>
        <w:rPr>
          <w:noProof/>
        </w:rPr>
      </w:pPr>
      <w:bookmarkStart w:id="18" w:name="_ENREF_18"/>
      <w:r w:rsidRPr="00166772">
        <w:rPr>
          <w:noProof/>
        </w:rPr>
        <w:t>1</w:t>
      </w:r>
      <w:r w:rsidR="00906DE0" w:rsidRPr="00166772">
        <w:rPr>
          <w:noProof/>
        </w:rPr>
        <w:t>8</w:t>
      </w:r>
      <w:r w:rsidRPr="00166772">
        <w:rPr>
          <w:noProof/>
        </w:rPr>
        <w:t>.</w:t>
      </w:r>
      <w:r w:rsidRPr="00166772">
        <w:rPr>
          <w:noProof/>
        </w:rPr>
        <w:tab/>
        <w:t xml:space="preserve">Saksvik IB, Bjorvatn B, Hetland H, Sandal GM and Pallesen S. Individual differences in tolerance to shift work – A systematic review. </w:t>
      </w:r>
      <w:r w:rsidR="00B47ED0" w:rsidRPr="00166772">
        <w:rPr>
          <w:i/>
          <w:noProof/>
        </w:rPr>
        <w:t>Sleep Med</w:t>
      </w:r>
      <w:r w:rsidRPr="00166772">
        <w:rPr>
          <w:i/>
          <w:noProof/>
        </w:rPr>
        <w:t xml:space="preserve"> Rev</w:t>
      </w:r>
      <w:r w:rsidRPr="00166772">
        <w:rPr>
          <w:noProof/>
        </w:rPr>
        <w:t>. 2011;15:221-235.</w:t>
      </w:r>
      <w:bookmarkEnd w:id="18"/>
    </w:p>
    <w:p w14:paraId="6C849D0E" w14:textId="4BAE8743" w:rsidR="0073069E" w:rsidRPr="00166772" w:rsidRDefault="00906DE0" w:rsidP="0073069E">
      <w:pPr>
        <w:pStyle w:val="EndNoteBibliography"/>
        <w:spacing w:line="360" w:lineRule="auto"/>
        <w:rPr>
          <w:noProof/>
        </w:rPr>
      </w:pPr>
      <w:bookmarkStart w:id="19" w:name="_ENREF_19"/>
      <w:r w:rsidRPr="00166772">
        <w:rPr>
          <w:noProof/>
        </w:rPr>
        <w:t>19</w:t>
      </w:r>
      <w:r w:rsidR="0073069E" w:rsidRPr="00166772">
        <w:rPr>
          <w:noProof/>
        </w:rPr>
        <w:t>.</w:t>
      </w:r>
      <w:r w:rsidR="0073069E" w:rsidRPr="00166772">
        <w:rPr>
          <w:noProof/>
        </w:rPr>
        <w:tab/>
        <w:t xml:space="preserve">Stroup DF, Berlin JA, Morton SC, Olkin I, Williamson GD, Rennie D, Moher D, Becker BJ, Sipe TA and Thacker SB. Meta-analysis of observational studies in epidemiology: a proposal for reporting. </w:t>
      </w:r>
      <w:r w:rsidR="00B47ED0" w:rsidRPr="00166772">
        <w:rPr>
          <w:i/>
          <w:noProof/>
        </w:rPr>
        <w:t>JAMA</w:t>
      </w:r>
      <w:r w:rsidR="0073069E" w:rsidRPr="00166772">
        <w:rPr>
          <w:noProof/>
        </w:rPr>
        <w:t>. 2000;283:2008-2012.</w:t>
      </w:r>
      <w:bookmarkEnd w:id="19"/>
    </w:p>
    <w:p w14:paraId="368A054B" w14:textId="37CD6041" w:rsidR="0073069E" w:rsidRPr="00166772" w:rsidRDefault="0073069E" w:rsidP="0073069E">
      <w:pPr>
        <w:pStyle w:val="EndNoteBibliography"/>
        <w:spacing w:line="360" w:lineRule="auto"/>
        <w:rPr>
          <w:noProof/>
        </w:rPr>
      </w:pPr>
      <w:bookmarkStart w:id="20" w:name="_ENREF_20"/>
      <w:r w:rsidRPr="00166772">
        <w:rPr>
          <w:noProof/>
        </w:rPr>
        <w:t>2</w:t>
      </w:r>
      <w:r w:rsidR="00906DE0" w:rsidRPr="00166772">
        <w:rPr>
          <w:noProof/>
        </w:rPr>
        <w:t>0</w:t>
      </w:r>
      <w:r w:rsidRPr="00166772">
        <w:rPr>
          <w:noProof/>
        </w:rPr>
        <w:t>.</w:t>
      </w:r>
      <w:r w:rsidRPr="00166772">
        <w:rPr>
          <w:noProof/>
        </w:rPr>
        <w:tab/>
        <w:t xml:space="preserve">Wilczynski NL, Haynes RB and Team H. Optimal search strategies for identifying mental health content in MEDLINE: an analytic survey. </w:t>
      </w:r>
      <w:r w:rsidR="00B47ED0" w:rsidRPr="00166772">
        <w:rPr>
          <w:i/>
          <w:noProof/>
        </w:rPr>
        <w:t>Ann</w:t>
      </w:r>
      <w:r w:rsidRPr="00166772">
        <w:rPr>
          <w:i/>
          <w:noProof/>
        </w:rPr>
        <w:t xml:space="preserve"> Gen Psychiatry</w:t>
      </w:r>
      <w:r w:rsidRPr="00166772">
        <w:rPr>
          <w:noProof/>
        </w:rPr>
        <w:t>. 2006;5:4-4.</w:t>
      </w:r>
      <w:bookmarkEnd w:id="20"/>
    </w:p>
    <w:p w14:paraId="67F9D49A" w14:textId="0027BDD2" w:rsidR="0073069E" w:rsidRPr="00166772" w:rsidRDefault="00906DE0" w:rsidP="0073069E">
      <w:pPr>
        <w:pStyle w:val="EndNoteBibliography"/>
        <w:spacing w:line="360" w:lineRule="auto"/>
        <w:rPr>
          <w:noProof/>
        </w:rPr>
      </w:pPr>
      <w:bookmarkStart w:id="21" w:name="_ENREF_21"/>
      <w:r w:rsidRPr="00166772">
        <w:rPr>
          <w:noProof/>
        </w:rPr>
        <w:t>21</w:t>
      </w:r>
      <w:r w:rsidR="0073069E" w:rsidRPr="00166772">
        <w:rPr>
          <w:noProof/>
        </w:rPr>
        <w:t>.</w:t>
      </w:r>
      <w:r w:rsidR="0073069E" w:rsidRPr="00166772">
        <w:rPr>
          <w:noProof/>
        </w:rPr>
        <w:tab/>
        <w:t xml:space="preserve">Proper KI, van de Langenberg D, Rodenburg W, Vermeulen RC, van der Beek AJ, van Steeg H and van Kerkhof LW. The relationship between shift work and metabolic risk factors: A systematic review of longitudinal studies. </w:t>
      </w:r>
      <w:r w:rsidR="00B47ED0" w:rsidRPr="00166772">
        <w:rPr>
          <w:i/>
          <w:noProof/>
        </w:rPr>
        <w:t>Am</w:t>
      </w:r>
      <w:r w:rsidR="0073069E" w:rsidRPr="00166772">
        <w:rPr>
          <w:i/>
          <w:noProof/>
        </w:rPr>
        <w:t xml:space="preserve"> </w:t>
      </w:r>
      <w:r w:rsidR="00B47ED0" w:rsidRPr="00166772">
        <w:rPr>
          <w:i/>
          <w:noProof/>
        </w:rPr>
        <w:t>J P</w:t>
      </w:r>
      <w:r w:rsidR="0073069E" w:rsidRPr="00166772">
        <w:rPr>
          <w:i/>
          <w:noProof/>
        </w:rPr>
        <w:t>rev</w:t>
      </w:r>
      <w:r w:rsidR="00B47ED0" w:rsidRPr="00166772">
        <w:rPr>
          <w:i/>
          <w:noProof/>
        </w:rPr>
        <w:t xml:space="preserve"> M</w:t>
      </w:r>
      <w:r w:rsidR="0073069E" w:rsidRPr="00166772">
        <w:rPr>
          <w:i/>
          <w:noProof/>
        </w:rPr>
        <w:t>ed</w:t>
      </w:r>
      <w:r w:rsidR="0073069E" w:rsidRPr="00166772">
        <w:rPr>
          <w:noProof/>
        </w:rPr>
        <w:t>. 2016;50:e147-e157.</w:t>
      </w:r>
      <w:bookmarkEnd w:id="21"/>
    </w:p>
    <w:p w14:paraId="765E0749" w14:textId="563D4C24" w:rsidR="0073069E" w:rsidRPr="00166772" w:rsidRDefault="00906DE0" w:rsidP="0073069E">
      <w:pPr>
        <w:pStyle w:val="EndNoteBibliography"/>
        <w:spacing w:line="360" w:lineRule="auto"/>
        <w:rPr>
          <w:noProof/>
        </w:rPr>
      </w:pPr>
      <w:bookmarkStart w:id="22" w:name="_ENREF_22"/>
      <w:r w:rsidRPr="00166772">
        <w:rPr>
          <w:noProof/>
        </w:rPr>
        <w:t>22</w:t>
      </w:r>
      <w:r w:rsidR="0073069E" w:rsidRPr="00166772">
        <w:rPr>
          <w:noProof/>
        </w:rPr>
        <w:t>.</w:t>
      </w:r>
      <w:r w:rsidR="0073069E" w:rsidRPr="00166772">
        <w:rPr>
          <w:noProof/>
        </w:rPr>
        <w:tab/>
        <w:t>American Psychiatric Association. What Is Mental Illness? 2018;2018.</w:t>
      </w:r>
      <w:bookmarkEnd w:id="22"/>
    </w:p>
    <w:p w14:paraId="5F2DF7F9" w14:textId="4A97CC28" w:rsidR="00906DE0" w:rsidRPr="00166772" w:rsidRDefault="00906DE0" w:rsidP="0073069E">
      <w:pPr>
        <w:pStyle w:val="EndNoteBibliography"/>
        <w:spacing w:line="360" w:lineRule="auto"/>
        <w:rPr>
          <w:noProof/>
        </w:rPr>
      </w:pPr>
      <w:r w:rsidRPr="00166772">
        <w:rPr>
          <w:noProof/>
        </w:rPr>
        <w:t>23.</w:t>
      </w:r>
      <w:r w:rsidRPr="00166772">
        <w:rPr>
          <w:noProof/>
        </w:rPr>
        <w:tab/>
        <w:t xml:space="preserve">Thun E, Bjorvatn B, Torsheim T, Moen BE, Magerøy N, Pallesen S. Night work and symptoms of anxiety and depression among nurses: A longitudinal study. </w:t>
      </w:r>
      <w:r w:rsidRPr="00166772">
        <w:rPr>
          <w:i/>
          <w:noProof/>
        </w:rPr>
        <w:t>Work &amp; Stress.</w:t>
      </w:r>
      <w:r w:rsidRPr="00166772">
        <w:rPr>
          <w:noProof/>
        </w:rPr>
        <w:t xml:space="preserve"> 2014 Oct 2;28(4):376-86</w:t>
      </w:r>
    </w:p>
    <w:p w14:paraId="351BB05B" w14:textId="77567CB3" w:rsidR="004971DB" w:rsidRPr="00166772" w:rsidRDefault="004971DB" w:rsidP="004971DB">
      <w:pPr>
        <w:pStyle w:val="EndNoteBibliography"/>
        <w:spacing w:line="360" w:lineRule="auto"/>
        <w:rPr>
          <w:noProof/>
        </w:rPr>
      </w:pPr>
      <w:bookmarkStart w:id="23" w:name="_ENREF_23"/>
      <w:r w:rsidRPr="00166772">
        <w:rPr>
          <w:noProof/>
        </w:rPr>
        <w:t>24.</w:t>
      </w:r>
      <w:r w:rsidRPr="00166772">
        <w:rPr>
          <w:noProof/>
        </w:rPr>
        <w:tab/>
        <w:t xml:space="preserve">Ijaz S, Verbeek J, Seidler A, Lindbohm M-L, Ojajärvi A, Orsini N, Costa G and Neuvonen K. Night-shift work and breast cancer – a systematic review and meta-analysis. </w:t>
      </w:r>
      <w:r w:rsidRPr="00166772">
        <w:rPr>
          <w:i/>
        </w:rPr>
        <w:t>S</w:t>
      </w:r>
      <w:r w:rsidRPr="00166772">
        <w:rPr>
          <w:i/>
          <w:noProof/>
        </w:rPr>
        <w:t>cand J Work Environ Health</w:t>
      </w:r>
      <w:r w:rsidRPr="00166772">
        <w:rPr>
          <w:noProof/>
        </w:rPr>
        <w:t>. 2013:431-447.</w:t>
      </w:r>
      <w:bookmarkEnd w:id="23"/>
    </w:p>
    <w:p w14:paraId="4D51C658" w14:textId="77777777" w:rsidR="00906DE0" w:rsidRPr="00166772" w:rsidRDefault="00906DE0" w:rsidP="0073069E">
      <w:pPr>
        <w:pStyle w:val="EndNoteBibliography"/>
        <w:spacing w:line="360" w:lineRule="auto"/>
        <w:rPr>
          <w:noProof/>
        </w:rPr>
      </w:pPr>
    </w:p>
    <w:p w14:paraId="4CF68F85" w14:textId="469FA1BF" w:rsidR="009F73DD" w:rsidRPr="00166772" w:rsidRDefault="00906DE0" w:rsidP="0073069E">
      <w:pPr>
        <w:pStyle w:val="EndNoteBibliography"/>
        <w:spacing w:line="360" w:lineRule="auto"/>
        <w:rPr>
          <w:noProof/>
        </w:rPr>
      </w:pPr>
      <w:r w:rsidRPr="00166772">
        <w:rPr>
          <w:noProof/>
        </w:rPr>
        <w:lastRenderedPageBreak/>
        <w:t>2</w:t>
      </w:r>
      <w:r w:rsidR="004971DB" w:rsidRPr="00166772">
        <w:rPr>
          <w:noProof/>
        </w:rPr>
        <w:t>5</w:t>
      </w:r>
      <w:r w:rsidR="009F73DD" w:rsidRPr="00166772">
        <w:rPr>
          <w:noProof/>
        </w:rPr>
        <w:t>.   Riley RD, Higgins JP, Deeks JJ. Interpretation of random effects meta-analyses. BMJ. 2011;342:d549</w:t>
      </w:r>
    </w:p>
    <w:p w14:paraId="14007F63" w14:textId="11598F41" w:rsidR="0073069E" w:rsidRPr="00166772" w:rsidRDefault="004971DB" w:rsidP="0073069E">
      <w:pPr>
        <w:pStyle w:val="EndNoteBibliography"/>
        <w:spacing w:line="360" w:lineRule="auto"/>
        <w:rPr>
          <w:noProof/>
        </w:rPr>
      </w:pPr>
      <w:bookmarkStart w:id="24" w:name="_ENREF_24"/>
      <w:r w:rsidRPr="00166772">
        <w:rPr>
          <w:noProof/>
        </w:rPr>
        <w:t>26</w:t>
      </w:r>
      <w:r w:rsidR="0073069E" w:rsidRPr="00166772">
        <w:rPr>
          <w:noProof/>
        </w:rPr>
        <w:t>.</w:t>
      </w:r>
      <w:r w:rsidR="0073069E" w:rsidRPr="00166772">
        <w:rPr>
          <w:noProof/>
        </w:rPr>
        <w:tab/>
        <w:t xml:space="preserve">Bohle P and Tilley AJ. The impact of night work on psychological well-being. </w:t>
      </w:r>
      <w:r w:rsidR="0073069E" w:rsidRPr="00166772">
        <w:rPr>
          <w:i/>
          <w:noProof/>
        </w:rPr>
        <w:t>Ergonomics</w:t>
      </w:r>
      <w:r w:rsidR="0073069E" w:rsidRPr="00166772">
        <w:rPr>
          <w:noProof/>
        </w:rPr>
        <w:t>. 1989;32:1089-99.</w:t>
      </w:r>
      <w:bookmarkEnd w:id="24"/>
    </w:p>
    <w:p w14:paraId="7223C696" w14:textId="73C248CB" w:rsidR="0073069E" w:rsidRPr="00166772" w:rsidRDefault="00486A7D" w:rsidP="0073069E">
      <w:pPr>
        <w:pStyle w:val="EndNoteBibliography"/>
        <w:spacing w:line="360" w:lineRule="auto"/>
        <w:rPr>
          <w:noProof/>
        </w:rPr>
      </w:pPr>
      <w:bookmarkStart w:id="25" w:name="_ENREF_25"/>
      <w:r w:rsidRPr="00166772">
        <w:rPr>
          <w:noProof/>
        </w:rPr>
        <w:t>*</w:t>
      </w:r>
      <w:r w:rsidR="0073069E" w:rsidRPr="00166772">
        <w:rPr>
          <w:noProof/>
        </w:rPr>
        <w:t>2</w:t>
      </w:r>
      <w:r w:rsidR="00227511" w:rsidRPr="00166772">
        <w:rPr>
          <w:noProof/>
        </w:rPr>
        <w:t>7</w:t>
      </w:r>
      <w:r w:rsidR="0073069E" w:rsidRPr="00166772">
        <w:rPr>
          <w:noProof/>
        </w:rPr>
        <w:t>.</w:t>
      </w:r>
      <w:r w:rsidR="0073069E" w:rsidRPr="00166772">
        <w:rPr>
          <w:noProof/>
        </w:rPr>
        <w:tab/>
        <w:t xml:space="preserve">Driesen K, Jansen NWH, van Amelsvoort LGPM and Kant I. The mutual relationship between shift work and depressive complaints - a prospective cohort study. </w:t>
      </w:r>
      <w:r w:rsidR="00FF39E3" w:rsidRPr="00166772">
        <w:rPr>
          <w:i/>
        </w:rPr>
        <w:t>S</w:t>
      </w:r>
      <w:r w:rsidR="00FF39E3" w:rsidRPr="00166772">
        <w:rPr>
          <w:i/>
          <w:noProof/>
        </w:rPr>
        <w:t>cand J Work Environ Health.</w:t>
      </w:r>
      <w:r w:rsidR="0073069E" w:rsidRPr="00166772">
        <w:rPr>
          <w:noProof/>
        </w:rPr>
        <w:t xml:space="preserve"> 2011;37:402-410.</w:t>
      </w:r>
      <w:bookmarkEnd w:id="25"/>
    </w:p>
    <w:p w14:paraId="61866F96" w14:textId="6D8E3A51" w:rsidR="0073069E" w:rsidRPr="00166772" w:rsidRDefault="00486A7D" w:rsidP="0073069E">
      <w:pPr>
        <w:pStyle w:val="EndNoteBibliography"/>
        <w:spacing w:line="360" w:lineRule="auto"/>
        <w:rPr>
          <w:noProof/>
        </w:rPr>
      </w:pPr>
      <w:bookmarkStart w:id="26" w:name="_ENREF_26"/>
      <w:r w:rsidRPr="00166772">
        <w:rPr>
          <w:noProof/>
        </w:rPr>
        <w:t>*</w:t>
      </w:r>
      <w:r w:rsidR="0073069E" w:rsidRPr="00166772">
        <w:rPr>
          <w:noProof/>
        </w:rPr>
        <w:t>2</w:t>
      </w:r>
      <w:r w:rsidR="00227511" w:rsidRPr="00166772">
        <w:rPr>
          <w:noProof/>
        </w:rPr>
        <w:t>8</w:t>
      </w:r>
      <w:r w:rsidR="0073069E" w:rsidRPr="00166772">
        <w:rPr>
          <w:noProof/>
        </w:rPr>
        <w:t>.</w:t>
      </w:r>
      <w:r w:rsidR="0073069E" w:rsidRPr="00166772">
        <w:rPr>
          <w:noProof/>
        </w:rPr>
        <w:tab/>
        <w:t xml:space="preserve">De Raeve L, Kant I, Jansen NWH, Vasse RM and van den Brandt PA. Changes in mental health as a predictor of changes in working time arrangements and occupational mobility: Results from a prospective cohort study. </w:t>
      </w:r>
      <w:r w:rsidR="00915FD6" w:rsidRPr="00166772">
        <w:rPr>
          <w:i/>
          <w:noProof/>
        </w:rPr>
        <w:t>J Psychosom Res</w:t>
      </w:r>
      <w:r w:rsidR="0073069E" w:rsidRPr="00166772">
        <w:rPr>
          <w:i/>
          <w:noProof/>
        </w:rPr>
        <w:t>.</w:t>
      </w:r>
      <w:r w:rsidR="0073069E" w:rsidRPr="00166772">
        <w:rPr>
          <w:noProof/>
        </w:rPr>
        <w:t xml:space="preserve"> 2009;66:137-145.</w:t>
      </w:r>
      <w:bookmarkEnd w:id="26"/>
    </w:p>
    <w:p w14:paraId="7D73BA82" w14:textId="2A3D8693" w:rsidR="0073069E" w:rsidRPr="00166772" w:rsidRDefault="0073069E" w:rsidP="0073069E">
      <w:pPr>
        <w:pStyle w:val="EndNoteBibliography"/>
        <w:spacing w:line="360" w:lineRule="auto"/>
        <w:rPr>
          <w:noProof/>
        </w:rPr>
      </w:pPr>
      <w:bookmarkStart w:id="27" w:name="_ENREF_27"/>
      <w:r w:rsidRPr="00166772">
        <w:rPr>
          <w:noProof/>
        </w:rPr>
        <w:t>2</w:t>
      </w:r>
      <w:r w:rsidR="00227511" w:rsidRPr="00166772">
        <w:rPr>
          <w:noProof/>
        </w:rPr>
        <w:t>9</w:t>
      </w:r>
      <w:r w:rsidRPr="00166772">
        <w:rPr>
          <w:noProof/>
        </w:rPr>
        <w:t>.</w:t>
      </w:r>
      <w:r w:rsidRPr="00166772">
        <w:rPr>
          <w:noProof/>
        </w:rPr>
        <w:tab/>
        <w:t xml:space="preserve">Berthelsen M, Pallesen S, Mageroy N, Tyssen R, Bjorvatn B, Moen BE and Knardahl S. Effects of Psychological and Social Factors in Shiftwork on Symptoms of Anxiety and Depression in Nurses A 1-Year Follow-Up. </w:t>
      </w:r>
      <w:r w:rsidR="00915FD6" w:rsidRPr="00166772">
        <w:rPr>
          <w:i/>
          <w:noProof/>
        </w:rPr>
        <w:t>J Occup Environ Med</w:t>
      </w:r>
      <w:r w:rsidRPr="00166772">
        <w:rPr>
          <w:noProof/>
        </w:rPr>
        <w:t>. 2015;57:1127-1137.</w:t>
      </w:r>
      <w:bookmarkEnd w:id="27"/>
    </w:p>
    <w:p w14:paraId="5BC71871" w14:textId="745BA4EA" w:rsidR="0073069E" w:rsidRPr="00166772" w:rsidRDefault="00486A7D" w:rsidP="0073069E">
      <w:pPr>
        <w:pStyle w:val="EndNoteBibliography"/>
        <w:spacing w:line="360" w:lineRule="auto"/>
        <w:rPr>
          <w:noProof/>
        </w:rPr>
      </w:pPr>
      <w:bookmarkStart w:id="28" w:name="_ENREF_28"/>
      <w:r w:rsidRPr="00166772">
        <w:rPr>
          <w:noProof/>
        </w:rPr>
        <w:t>*</w:t>
      </w:r>
      <w:r w:rsidR="00227511" w:rsidRPr="00166772">
        <w:rPr>
          <w:noProof/>
        </w:rPr>
        <w:t>30</w:t>
      </w:r>
      <w:r w:rsidR="0073069E" w:rsidRPr="00166772">
        <w:rPr>
          <w:noProof/>
        </w:rPr>
        <w:t>.</w:t>
      </w:r>
      <w:r w:rsidR="0073069E" w:rsidRPr="00166772">
        <w:rPr>
          <w:noProof/>
        </w:rPr>
        <w:tab/>
        <w:t xml:space="preserve">Poole CJ, Evans GR, Spurgeon A and Bridges KW. Effects of a change in shift work on health. </w:t>
      </w:r>
      <w:r w:rsidR="00915FD6" w:rsidRPr="00166772">
        <w:rPr>
          <w:i/>
          <w:noProof/>
        </w:rPr>
        <w:t>Occup</w:t>
      </w:r>
      <w:r w:rsidR="0073069E" w:rsidRPr="00166772">
        <w:rPr>
          <w:i/>
          <w:noProof/>
        </w:rPr>
        <w:t xml:space="preserve"> </w:t>
      </w:r>
      <w:r w:rsidR="00915FD6" w:rsidRPr="00166772">
        <w:rPr>
          <w:i/>
          <w:noProof/>
        </w:rPr>
        <w:t>M</w:t>
      </w:r>
      <w:r w:rsidR="0073069E" w:rsidRPr="00166772">
        <w:rPr>
          <w:i/>
          <w:noProof/>
        </w:rPr>
        <w:t>ed (Oxford, England)</w:t>
      </w:r>
      <w:r w:rsidR="0073069E" w:rsidRPr="00166772">
        <w:rPr>
          <w:noProof/>
        </w:rPr>
        <w:t>. 1992;42:193-9.</w:t>
      </w:r>
      <w:bookmarkEnd w:id="28"/>
    </w:p>
    <w:p w14:paraId="69E1B1E8" w14:textId="230EA8FC" w:rsidR="00496138" w:rsidRPr="00166772" w:rsidRDefault="00227511" w:rsidP="0073069E">
      <w:pPr>
        <w:pStyle w:val="EndNoteBibliography"/>
        <w:spacing w:line="360" w:lineRule="auto"/>
        <w:rPr>
          <w:noProof/>
        </w:rPr>
      </w:pPr>
      <w:r w:rsidRPr="00166772">
        <w:rPr>
          <w:noProof/>
        </w:rPr>
        <w:t>31.</w:t>
      </w:r>
      <w:r w:rsidR="00496138" w:rsidRPr="00166772">
        <w:rPr>
          <w:noProof/>
        </w:rPr>
        <w:t xml:space="preserve"> Higgins JP, Thompson SG, Deeks JJ, Altman DG. Measuring inconsistency in meta-analyses. </w:t>
      </w:r>
      <w:r w:rsidR="00496138" w:rsidRPr="00166772">
        <w:rPr>
          <w:i/>
          <w:noProof/>
        </w:rPr>
        <w:t>BMJ</w:t>
      </w:r>
      <w:r w:rsidR="00496138" w:rsidRPr="00166772">
        <w:rPr>
          <w:noProof/>
        </w:rPr>
        <w:t>. 2003 Sep 4;327(7414):557-60.</w:t>
      </w:r>
    </w:p>
    <w:p w14:paraId="000193C7" w14:textId="3CE31581" w:rsidR="0073069E" w:rsidRPr="00166772" w:rsidRDefault="00BC6218" w:rsidP="0073069E">
      <w:pPr>
        <w:pStyle w:val="EndNoteBibliography"/>
        <w:spacing w:line="360" w:lineRule="auto"/>
        <w:rPr>
          <w:noProof/>
        </w:rPr>
      </w:pPr>
      <w:bookmarkStart w:id="29" w:name="_ENREF_29"/>
      <w:r w:rsidRPr="00166772">
        <w:rPr>
          <w:noProof/>
        </w:rPr>
        <w:t>32</w:t>
      </w:r>
      <w:r w:rsidR="0073069E" w:rsidRPr="00166772">
        <w:rPr>
          <w:noProof/>
        </w:rPr>
        <w:t>.</w:t>
      </w:r>
      <w:r w:rsidR="0073069E" w:rsidRPr="00166772">
        <w:rPr>
          <w:noProof/>
        </w:rPr>
        <w:tab/>
        <w:t xml:space="preserve">Lee A, Myung SK, Cho JJ, Jung YJ, Yoon JL and Kim MY. Night shift work and risk of depression: Meta-analysis of observational studies. </w:t>
      </w:r>
      <w:r w:rsidR="00915FD6" w:rsidRPr="00166772">
        <w:rPr>
          <w:i/>
          <w:noProof/>
        </w:rPr>
        <w:t xml:space="preserve">J Korean Med Sci. </w:t>
      </w:r>
      <w:r w:rsidR="0073069E" w:rsidRPr="00166772">
        <w:rPr>
          <w:noProof/>
        </w:rPr>
        <w:t>2017;32:1091-1096.</w:t>
      </w:r>
      <w:bookmarkEnd w:id="29"/>
    </w:p>
    <w:p w14:paraId="578EDBE9" w14:textId="56C51ACD" w:rsidR="0073069E" w:rsidRPr="00166772" w:rsidRDefault="00BC6218" w:rsidP="0073069E">
      <w:pPr>
        <w:pStyle w:val="EndNoteBibliography"/>
        <w:spacing w:line="360" w:lineRule="auto"/>
        <w:rPr>
          <w:noProof/>
        </w:rPr>
      </w:pPr>
      <w:bookmarkStart w:id="30" w:name="_ENREF_30"/>
      <w:r w:rsidRPr="00166772">
        <w:rPr>
          <w:noProof/>
        </w:rPr>
        <w:t>33</w:t>
      </w:r>
      <w:r w:rsidR="0073069E" w:rsidRPr="00166772">
        <w:rPr>
          <w:noProof/>
        </w:rPr>
        <w:t>.</w:t>
      </w:r>
      <w:r w:rsidR="0073069E" w:rsidRPr="00166772">
        <w:rPr>
          <w:noProof/>
        </w:rPr>
        <w:tab/>
        <w:t xml:space="preserve">Angerer P, Schmook R, Elfantel I and Li J. Night work and the risk of depression-A systematic review. </w:t>
      </w:r>
      <w:r w:rsidR="0073069E" w:rsidRPr="00166772">
        <w:rPr>
          <w:i/>
          <w:noProof/>
        </w:rPr>
        <w:t>Deutsches Arzteblatt International</w:t>
      </w:r>
      <w:r w:rsidR="0073069E" w:rsidRPr="00166772">
        <w:rPr>
          <w:noProof/>
        </w:rPr>
        <w:t>. 2017;114:404-411.</w:t>
      </w:r>
      <w:bookmarkEnd w:id="30"/>
    </w:p>
    <w:p w14:paraId="1E975057" w14:textId="34B82E15" w:rsidR="0073069E" w:rsidRPr="00166772" w:rsidRDefault="00BC6218" w:rsidP="0073069E">
      <w:pPr>
        <w:pStyle w:val="EndNoteBibliography"/>
        <w:spacing w:line="360" w:lineRule="auto"/>
        <w:rPr>
          <w:noProof/>
        </w:rPr>
      </w:pPr>
      <w:bookmarkStart w:id="31" w:name="_ENREF_31"/>
      <w:r w:rsidRPr="00166772">
        <w:rPr>
          <w:noProof/>
        </w:rPr>
        <w:t>34</w:t>
      </w:r>
      <w:r w:rsidR="0073069E" w:rsidRPr="00166772">
        <w:rPr>
          <w:noProof/>
        </w:rPr>
        <w:t>.</w:t>
      </w:r>
      <w:r w:rsidR="0073069E" w:rsidRPr="00166772">
        <w:rPr>
          <w:noProof/>
        </w:rPr>
        <w:tab/>
        <w:t>Dalgard OS, S</w:t>
      </w:r>
      <w:r w:rsidR="0073069E" w:rsidRPr="00166772">
        <w:rPr>
          <w:rFonts w:ascii="Cambria Math" w:hAnsi="Cambria Math" w:cs="Cambria Math"/>
          <w:noProof/>
        </w:rPr>
        <w:t>o</w:t>
      </w:r>
      <w:r w:rsidR="0073069E" w:rsidRPr="00166772">
        <w:rPr>
          <w:noProof/>
        </w:rPr>
        <w:t xml:space="preserve">rensen T, Sandanger I, Nygård JF, Svensson E and Reas DL. Job demands, job control, and mental health in an 11-year follow-up study: Normal and reversed relationships. </w:t>
      </w:r>
      <w:r w:rsidR="0073069E" w:rsidRPr="00166772">
        <w:rPr>
          <w:i/>
          <w:noProof/>
        </w:rPr>
        <w:t>Work &amp; Stress</w:t>
      </w:r>
      <w:r w:rsidR="0073069E" w:rsidRPr="00166772">
        <w:rPr>
          <w:noProof/>
        </w:rPr>
        <w:t>. 2009;23:284-296.</w:t>
      </w:r>
      <w:bookmarkEnd w:id="31"/>
    </w:p>
    <w:p w14:paraId="2DF1E103" w14:textId="3E34D8B0" w:rsidR="0073069E" w:rsidRPr="00166772" w:rsidRDefault="0073069E" w:rsidP="0073069E">
      <w:pPr>
        <w:pStyle w:val="EndNoteBibliography"/>
        <w:spacing w:line="360" w:lineRule="auto"/>
        <w:rPr>
          <w:noProof/>
        </w:rPr>
      </w:pPr>
      <w:bookmarkStart w:id="32" w:name="_ENREF_32"/>
      <w:r w:rsidRPr="00166772">
        <w:rPr>
          <w:noProof/>
        </w:rPr>
        <w:t>3</w:t>
      </w:r>
      <w:r w:rsidR="00BC6218" w:rsidRPr="00166772">
        <w:rPr>
          <w:noProof/>
        </w:rPr>
        <w:t>5</w:t>
      </w:r>
      <w:r w:rsidRPr="00166772">
        <w:rPr>
          <w:noProof/>
        </w:rPr>
        <w:t>.</w:t>
      </w:r>
      <w:r w:rsidRPr="00166772">
        <w:rPr>
          <w:noProof/>
        </w:rPr>
        <w:tab/>
        <w:t xml:space="preserve">Bentley RJ, Kavanagh A, Krnjacki L and LaMontagne AD. A longitudinal analysis of changes in job control and mental health. </w:t>
      </w:r>
      <w:r w:rsidRPr="00166772">
        <w:rPr>
          <w:i/>
          <w:noProof/>
        </w:rPr>
        <w:t xml:space="preserve">Am </w:t>
      </w:r>
      <w:r w:rsidR="00915FD6" w:rsidRPr="00166772">
        <w:rPr>
          <w:i/>
          <w:noProof/>
        </w:rPr>
        <w:t>J</w:t>
      </w:r>
      <w:r w:rsidRPr="00166772">
        <w:rPr>
          <w:i/>
          <w:noProof/>
        </w:rPr>
        <w:t xml:space="preserve"> </w:t>
      </w:r>
      <w:r w:rsidR="00915FD6" w:rsidRPr="00166772">
        <w:rPr>
          <w:i/>
          <w:noProof/>
        </w:rPr>
        <w:t>E</w:t>
      </w:r>
      <w:r w:rsidRPr="00166772">
        <w:rPr>
          <w:i/>
          <w:noProof/>
        </w:rPr>
        <w:t>pi</w:t>
      </w:r>
      <w:r w:rsidR="00915FD6" w:rsidRPr="00166772">
        <w:rPr>
          <w:i/>
          <w:noProof/>
        </w:rPr>
        <w:t>demiol</w:t>
      </w:r>
      <w:r w:rsidRPr="00166772">
        <w:rPr>
          <w:noProof/>
        </w:rPr>
        <w:t>. 2015;182:328-334.</w:t>
      </w:r>
      <w:bookmarkEnd w:id="32"/>
    </w:p>
    <w:p w14:paraId="33520DE7" w14:textId="5F262EFC" w:rsidR="0073069E" w:rsidRPr="00166772" w:rsidRDefault="0073069E" w:rsidP="0073069E">
      <w:pPr>
        <w:pStyle w:val="EndNoteBibliography"/>
        <w:spacing w:line="360" w:lineRule="auto"/>
        <w:rPr>
          <w:noProof/>
        </w:rPr>
      </w:pPr>
      <w:bookmarkStart w:id="33" w:name="_ENREF_33"/>
      <w:r w:rsidRPr="00166772">
        <w:rPr>
          <w:noProof/>
        </w:rPr>
        <w:t>3</w:t>
      </w:r>
      <w:r w:rsidR="00BC6218" w:rsidRPr="00166772">
        <w:rPr>
          <w:noProof/>
        </w:rPr>
        <w:t>6</w:t>
      </w:r>
      <w:r w:rsidRPr="00166772">
        <w:rPr>
          <w:noProof/>
        </w:rPr>
        <w:t>.</w:t>
      </w:r>
      <w:r w:rsidRPr="00166772">
        <w:rPr>
          <w:noProof/>
        </w:rPr>
        <w:tab/>
        <w:t xml:space="preserve">Stansfeld S and Candy B. Psychosocial work environment and mental health--a meta-analytic review. </w:t>
      </w:r>
      <w:r w:rsidR="00915FD6" w:rsidRPr="00166772">
        <w:rPr>
          <w:i/>
        </w:rPr>
        <w:t>S</w:t>
      </w:r>
      <w:r w:rsidR="00915FD6" w:rsidRPr="00166772">
        <w:rPr>
          <w:i/>
          <w:noProof/>
        </w:rPr>
        <w:t>cand J Work Environ Health</w:t>
      </w:r>
      <w:r w:rsidRPr="00166772">
        <w:rPr>
          <w:noProof/>
        </w:rPr>
        <w:t>. 2006;32:443-62.</w:t>
      </w:r>
      <w:bookmarkEnd w:id="33"/>
    </w:p>
    <w:p w14:paraId="6DEC1A47" w14:textId="22BA2F8E" w:rsidR="0073069E" w:rsidRPr="00166772" w:rsidRDefault="0073069E" w:rsidP="0073069E">
      <w:pPr>
        <w:pStyle w:val="EndNoteBibliography"/>
        <w:spacing w:line="360" w:lineRule="auto"/>
        <w:rPr>
          <w:noProof/>
        </w:rPr>
      </w:pPr>
      <w:bookmarkStart w:id="34" w:name="_ENREF_34"/>
      <w:r w:rsidRPr="00166772">
        <w:rPr>
          <w:noProof/>
        </w:rPr>
        <w:t>3</w:t>
      </w:r>
      <w:r w:rsidR="00BC6218" w:rsidRPr="00166772">
        <w:rPr>
          <w:noProof/>
        </w:rPr>
        <w:t>7</w:t>
      </w:r>
      <w:r w:rsidRPr="00166772">
        <w:rPr>
          <w:noProof/>
        </w:rPr>
        <w:t>.</w:t>
      </w:r>
      <w:r w:rsidRPr="00166772">
        <w:rPr>
          <w:noProof/>
        </w:rPr>
        <w:tab/>
        <w:t xml:space="preserve">Theorell T, Hammarström A, Aronsson G, Bendz LT, Grape T, Hogstedt C, Marteinsdottir I, Skoog I and Hall C. A systematic review including meta-analysis of work environment and depressive symptoms. </w:t>
      </w:r>
      <w:r w:rsidRPr="00166772">
        <w:rPr>
          <w:i/>
          <w:noProof/>
        </w:rPr>
        <w:t xml:space="preserve">BMC </w:t>
      </w:r>
      <w:r w:rsidR="00915FD6" w:rsidRPr="00166772">
        <w:rPr>
          <w:i/>
          <w:noProof/>
        </w:rPr>
        <w:t>P</w:t>
      </w:r>
      <w:r w:rsidRPr="00166772">
        <w:rPr>
          <w:i/>
          <w:noProof/>
        </w:rPr>
        <w:t>ublic</w:t>
      </w:r>
      <w:r w:rsidR="00915FD6" w:rsidRPr="00166772">
        <w:rPr>
          <w:i/>
          <w:noProof/>
        </w:rPr>
        <w:t xml:space="preserve"> H</w:t>
      </w:r>
      <w:r w:rsidRPr="00166772">
        <w:rPr>
          <w:i/>
          <w:noProof/>
        </w:rPr>
        <w:t>ealth</w:t>
      </w:r>
      <w:r w:rsidRPr="00166772">
        <w:rPr>
          <w:noProof/>
        </w:rPr>
        <w:t>. 2015;15:738.</w:t>
      </w:r>
      <w:bookmarkEnd w:id="34"/>
    </w:p>
    <w:p w14:paraId="15B8FAF3" w14:textId="3A2AAB1A" w:rsidR="0073069E" w:rsidRPr="00166772" w:rsidRDefault="0073069E" w:rsidP="0073069E">
      <w:pPr>
        <w:pStyle w:val="EndNoteBibliography"/>
        <w:spacing w:line="360" w:lineRule="auto"/>
        <w:rPr>
          <w:noProof/>
        </w:rPr>
      </w:pPr>
      <w:bookmarkStart w:id="35" w:name="_ENREF_35"/>
      <w:r w:rsidRPr="00166772">
        <w:rPr>
          <w:noProof/>
        </w:rPr>
        <w:t>3</w:t>
      </w:r>
      <w:r w:rsidR="00BC6218" w:rsidRPr="00166772">
        <w:rPr>
          <w:noProof/>
        </w:rPr>
        <w:t>8</w:t>
      </w:r>
      <w:r w:rsidRPr="00166772">
        <w:rPr>
          <w:noProof/>
        </w:rPr>
        <w:t>.</w:t>
      </w:r>
      <w:r w:rsidRPr="00166772">
        <w:rPr>
          <w:noProof/>
        </w:rPr>
        <w:tab/>
        <w:t xml:space="preserve">Åkerstedt T, Garefelt J, Richter A, Westerlund H, Hanson LLM, Sverke M and Kecklund G. Work and sleep-A prospective study of psychosocial work factors, physical work factors, and work scheduling. </w:t>
      </w:r>
      <w:r w:rsidRPr="00166772">
        <w:rPr>
          <w:i/>
          <w:noProof/>
        </w:rPr>
        <w:t>Sleep</w:t>
      </w:r>
      <w:r w:rsidRPr="00166772">
        <w:rPr>
          <w:noProof/>
        </w:rPr>
        <w:t>. 2015;38:1129-1136.</w:t>
      </w:r>
      <w:bookmarkEnd w:id="35"/>
    </w:p>
    <w:p w14:paraId="747FF824" w14:textId="2E3A3EE5" w:rsidR="0073069E" w:rsidRPr="00166772" w:rsidRDefault="0073069E" w:rsidP="0073069E">
      <w:pPr>
        <w:pStyle w:val="EndNoteBibliography"/>
        <w:spacing w:line="360" w:lineRule="auto"/>
        <w:rPr>
          <w:noProof/>
        </w:rPr>
      </w:pPr>
      <w:bookmarkStart w:id="36" w:name="_ENREF_36"/>
      <w:r w:rsidRPr="00166772">
        <w:rPr>
          <w:noProof/>
        </w:rPr>
        <w:lastRenderedPageBreak/>
        <w:t>3</w:t>
      </w:r>
      <w:r w:rsidR="00BC6218" w:rsidRPr="00166772">
        <w:rPr>
          <w:noProof/>
        </w:rPr>
        <w:t>9</w:t>
      </w:r>
      <w:r w:rsidRPr="00166772">
        <w:rPr>
          <w:noProof/>
        </w:rPr>
        <w:t>.</w:t>
      </w:r>
      <w:r w:rsidRPr="00166772">
        <w:rPr>
          <w:noProof/>
        </w:rPr>
        <w:tab/>
        <w:t xml:space="preserve">Wang J, Patten SB, Currie S, Sareen J and Schmitz N. A population-based longitudinal study on work environmental factors and the risk of major depressive disorder. </w:t>
      </w:r>
      <w:r w:rsidRPr="00166772">
        <w:rPr>
          <w:i/>
          <w:noProof/>
        </w:rPr>
        <w:t>Am</w:t>
      </w:r>
      <w:r w:rsidR="00915FD6" w:rsidRPr="00166772">
        <w:rPr>
          <w:i/>
          <w:noProof/>
        </w:rPr>
        <w:t xml:space="preserve"> J</w:t>
      </w:r>
      <w:r w:rsidRPr="00166772">
        <w:rPr>
          <w:i/>
          <w:noProof/>
        </w:rPr>
        <w:t xml:space="preserve"> </w:t>
      </w:r>
      <w:r w:rsidR="00915FD6" w:rsidRPr="00166772">
        <w:rPr>
          <w:i/>
          <w:noProof/>
        </w:rPr>
        <w:t>E</w:t>
      </w:r>
      <w:r w:rsidRPr="00166772">
        <w:rPr>
          <w:i/>
          <w:noProof/>
        </w:rPr>
        <w:t>pidemiol</w:t>
      </w:r>
      <w:r w:rsidRPr="00166772">
        <w:rPr>
          <w:noProof/>
        </w:rPr>
        <w:t>. 2012;176:52-59.</w:t>
      </w:r>
      <w:bookmarkEnd w:id="36"/>
    </w:p>
    <w:p w14:paraId="6C5F824C" w14:textId="3612C848" w:rsidR="0073069E" w:rsidRPr="00166772" w:rsidRDefault="00BC6218" w:rsidP="0073069E">
      <w:pPr>
        <w:pStyle w:val="EndNoteBibliography"/>
        <w:spacing w:line="360" w:lineRule="auto"/>
        <w:rPr>
          <w:noProof/>
        </w:rPr>
      </w:pPr>
      <w:bookmarkStart w:id="37" w:name="_ENREF_37"/>
      <w:r w:rsidRPr="00166772">
        <w:rPr>
          <w:noProof/>
        </w:rPr>
        <w:t>40</w:t>
      </w:r>
      <w:r w:rsidR="0073069E" w:rsidRPr="00166772">
        <w:rPr>
          <w:noProof/>
        </w:rPr>
        <w:t>.</w:t>
      </w:r>
      <w:r w:rsidR="0073069E" w:rsidRPr="00166772">
        <w:rPr>
          <w:noProof/>
        </w:rPr>
        <w:tab/>
        <w:t xml:space="preserve">Kuehner C. Why is depression more common among women than among men? </w:t>
      </w:r>
      <w:r w:rsidR="0073069E" w:rsidRPr="00166772">
        <w:rPr>
          <w:i/>
          <w:noProof/>
        </w:rPr>
        <w:t>Lancet Psychiatry</w:t>
      </w:r>
      <w:r w:rsidR="0073069E" w:rsidRPr="00166772">
        <w:rPr>
          <w:noProof/>
        </w:rPr>
        <w:t>. 2017;4:146-158.</w:t>
      </w:r>
      <w:bookmarkEnd w:id="37"/>
    </w:p>
    <w:p w14:paraId="27169C51" w14:textId="3B26CA61" w:rsidR="0073069E" w:rsidRPr="00166772" w:rsidRDefault="00BC6218" w:rsidP="0073069E">
      <w:pPr>
        <w:pStyle w:val="EndNoteBibliography"/>
        <w:spacing w:line="360" w:lineRule="auto"/>
        <w:rPr>
          <w:noProof/>
        </w:rPr>
      </w:pPr>
      <w:bookmarkStart w:id="38" w:name="_ENREF_38"/>
      <w:r w:rsidRPr="00166772">
        <w:rPr>
          <w:noProof/>
        </w:rPr>
        <w:t>41</w:t>
      </w:r>
      <w:r w:rsidR="0073069E" w:rsidRPr="00166772">
        <w:rPr>
          <w:noProof/>
        </w:rPr>
        <w:t>.</w:t>
      </w:r>
      <w:r w:rsidR="0073069E" w:rsidRPr="00166772">
        <w:rPr>
          <w:noProof/>
        </w:rPr>
        <w:tab/>
        <w:t xml:space="preserve">WHO. Mental Health Action Plan 2013-2020 2013;ISBN 978 92 4 150602 1 </w:t>
      </w:r>
      <w:bookmarkEnd w:id="38"/>
    </w:p>
    <w:p w14:paraId="297788E6" w14:textId="312F543E" w:rsidR="0073069E" w:rsidRPr="00166772" w:rsidRDefault="00BC6218" w:rsidP="0073069E">
      <w:pPr>
        <w:pStyle w:val="EndNoteBibliography"/>
        <w:spacing w:line="360" w:lineRule="auto"/>
        <w:rPr>
          <w:noProof/>
        </w:rPr>
      </w:pPr>
      <w:bookmarkStart w:id="39" w:name="_ENREF_39"/>
      <w:r w:rsidRPr="00166772">
        <w:rPr>
          <w:noProof/>
        </w:rPr>
        <w:t>42</w:t>
      </w:r>
      <w:r w:rsidR="0073069E" w:rsidRPr="00166772">
        <w:rPr>
          <w:noProof/>
        </w:rPr>
        <w:t>.</w:t>
      </w:r>
      <w:r w:rsidR="0073069E" w:rsidRPr="00166772">
        <w:rPr>
          <w:noProof/>
        </w:rPr>
        <w:tab/>
        <w:t xml:space="preserve">Bloom DE, Cafiero ET, Jané-Llopis E, Abrahams-Gessel S, Bloom LR, Fathima S, Feigl AB, Gaziano T, Mowafi M, Pandya A, Prettner K, Rosenberg L, Seligman B, Stein AZ and Weinstein C. </w:t>
      </w:r>
      <w:bookmarkEnd w:id="39"/>
      <w:r w:rsidR="00915FD6" w:rsidRPr="00166772">
        <w:rPr>
          <w:noProof/>
        </w:rPr>
        <w:t>The Global Economic Burden of Noncommunicable Diseases.2011 [online] Ideas.repec.org. Available at: https://ideas.repec.org/p/gdm/wpaper/8712.html [Accessed 21 Dec. 2018].</w:t>
      </w:r>
    </w:p>
    <w:p w14:paraId="69CB9F3E" w14:textId="7DF8ED25" w:rsidR="0073069E" w:rsidRPr="00166772" w:rsidRDefault="00BC6218" w:rsidP="0073069E">
      <w:pPr>
        <w:pStyle w:val="EndNoteBibliography"/>
        <w:spacing w:line="360" w:lineRule="auto"/>
        <w:rPr>
          <w:noProof/>
        </w:rPr>
      </w:pPr>
      <w:bookmarkStart w:id="40" w:name="_ENREF_40"/>
      <w:r w:rsidRPr="00166772">
        <w:rPr>
          <w:noProof/>
        </w:rPr>
        <w:t>43</w:t>
      </w:r>
      <w:r w:rsidR="0073069E" w:rsidRPr="00166772">
        <w:rPr>
          <w:noProof/>
        </w:rPr>
        <w:t>.</w:t>
      </w:r>
      <w:r w:rsidR="0073069E" w:rsidRPr="00166772">
        <w:rPr>
          <w:noProof/>
        </w:rPr>
        <w:tab/>
        <w:t xml:space="preserve">Bekkers MB, Koppes LL, Rodenburg W, van Steeg H and Proper KI. Relationship of night and shift work with weight change and lifestyle behaviors. </w:t>
      </w:r>
      <w:r w:rsidR="00094C53" w:rsidRPr="00166772">
        <w:rPr>
          <w:i/>
          <w:noProof/>
        </w:rPr>
        <w:t>J Occup Environ Med</w:t>
      </w:r>
      <w:r w:rsidR="0073069E" w:rsidRPr="00166772">
        <w:rPr>
          <w:noProof/>
        </w:rPr>
        <w:t>. 2015;57:e37-44.</w:t>
      </w:r>
      <w:bookmarkEnd w:id="40"/>
    </w:p>
    <w:p w14:paraId="43A8F680" w14:textId="77777777" w:rsidR="0073069E" w:rsidRPr="00166772" w:rsidRDefault="0073069E" w:rsidP="005E3605">
      <w:pPr>
        <w:widowControl w:val="0"/>
        <w:tabs>
          <w:tab w:val="left" w:pos="220"/>
          <w:tab w:val="left" w:pos="720"/>
        </w:tabs>
        <w:autoSpaceDE w:val="0"/>
        <w:autoSpaceDN w:val="0"/>
        <w:adjustRightInd w:val="0"/>
        <w:spacing w:before="120" w:line="480" w:lineRule="auto"/>
        <w:jc w:val="both"/>
        <w:rPr>
          <w:rFonts w:ascii="Arial" w:hAnsi="Arial" w:cs="Arial"/>
          <w:color w:val="262626"/>
        </w:rPr>
      </w:pPr>
      <w:r w:rsidRPr="00166772">
        <w:rPr>
          <w:rFonts w:ascii="Arial" w:hAnsi="Arial" w:cs="Arial"/>
          <w:color w:val="262626"/>
        </w:rPr>
        <w:br w:type="page"/>
      </w:r>
    </w:p>
    <w:p w14:paraId="44055255" w14:textId="77777777" w:rsidR="0073069E" w:rsidRPr="00166772" w:rsidRDefault="0073069E" w:rsidP="005E3605">
      <w:pPr>
        <w:widowControl w:val="0"/>
        <w:tabs>
          <w:tab w:val="left" w:pos="220"/>
          <w:tab w:val="left" w:pos="720"/>
        </w:tabs>
        <w:autoSpaceDE w:val="0"/>
        <w:autoSpaceDN w:val="0"/>
        <w:adjustRightInd w:val="0"/>
        <w:spacing w:before="120" w:line="480" w:lineRule="auto"/>
        <w:jc w:val="both"/>
        <w:rPr>
          <w:rFonts w:ascii="Arial" w:hAnsi="Arial" w:cs="Arial"/>
          <w:b/>
          <w:color w:val="262626"/>
        </w:rPr>
      </w:pPr>
      <w:r w:rsidRPr="00166772">
        <w:rPr>
          <w:rFonts w:ascii="Arial" w:hAnsi="Arial" w:cs="Arial"/>
          <w:b/>
          <w:color w:val="262626"/>
        </w:rPr>
        <w:lastRenderedPageBreak/>
        <w:t>Tables and Figures</w:t>
      </w:r>
    </w:p>
    <w:p w14:paraId="1B346BCF" w14:textId="77777777" w:rsidR="0073069E" w:rsidRPr="00166772" w:rsidRDefault="0073069E" w:rsidP="005E3605">
      <w:pPr>
        <w:widowControl w:val="0"/>
        <w:tabs>
          <w:tab w:val="left" w:pos="220"/>
          <w:tab w:val="left" w:pos="720"/>
        </w:tabs>
        <w:autoSpaceDE w:val="0"/>
        <w:autoSpaceDN w:val="0"/>
        <w:adjustRightInd w:val="0"/>
        <w:spacing w:before="120" w:line="480" w:lineRule="auto"/>
        <w:jc w:val="both"/>
        <w:rPr>
          <w:rFonts w:ascii="Arial" w:hAnsi="Arial" w:cs="Arial"/>
          <w:color w:val="262626"/>
        </w:rPr>
      </w:pPr>
    </w:p>
    <w:p w14:paraId="4518B160" w14:textId="77777777" w:rsidR="0073069E" w:rsidRPr="00166772" w:rsidRDefault="0073069E" w:rsidP="005E3605">
      <w:pPr>
        <w:pStyle w:val="LightGrid-Accent31"/>
        <w:widowControl w:val="0"/>
        <w:tabs>
          <w:tab w:val="left" w:pos="220"/>
          <w:tab w:val="left" w:pos="720"/>
        </w:tabs>
        <w:autoSpaceDE w:val="0"/>
        <w:autoSpaceDN w:val="0"/>
        <w:adjustRightInd w:val="0"/>
        <w:spacing w:after="120" w:line="480" w:lineRule="auto"/>
        <w:ind w:left="0"/>
        <w:jc w:val="center"/>
        <w:rPr>
          <w:rFonts w:ascii="Arial" w:hAnsi="Arial" w:cs="Arial"/>
          <w:i/>
          <w:color w:val="262626"/>
        </w:rPr>
      </w:pPr>
      <w:r w:rsidRPr="00166772">
        <w:rPr>
          <w:rFonts w:ascii="Arial" w:hAnsi="Arial" w:cs="Arial"/>
          <w:b/>
          <w:noProof/>
          <w:lang w:val="en-GB" w:eastAsia="en-GB"/>
        </w:rPr>
        <w:drawing>
          <wp:inline distT="0" distB="0" distL="0" distR="0" wp14:anchorId="5E196EF2" wp14:editId="10C2327A">
            <wp:extent cx="5439104" cy="5025397"/>
            <wp:effectExtent l="0" t="0" r="9525"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43881" cy="5029811"/>
                    </a:xfrm>
                    <a:prstGeom prst="rect">
                      <a:avLst/>
                    </a:prstGeom>
                    <a:noFill/>
                  </pic:spPr>
                </pic:pic>
              </a:graphicData>
            </a:graphic>
          </wp:inline>
        </w:drawing>
      </w:r>
    </w:p>
    <w:p w14:paraId="5F598D29" w14:textId="77777777" w:rsidR="0073069E" w:rsidRPr="00166772" w:rsidRDefault="0073069E" w:rsidP="005E3605">
      <w:pPr>
        <w:rPr>
          <w:rFonts w:ascii="Arial" w:hAnsi="Arial" w:cs="Arial"/>
        </w:rPr>
      </w:pPr>
      <w:r w:rsidRPr="00166772">
        <w:rPr>
          <w:rFonts w:ascii="Arial" w:hAnsi="Arial" w:cs="Arial"/>
        </w:rPr>
        <w:t>Figure 1 - Flow diagram of literature search and selection of studies</w:t>
      </w:r>
    </w:p>
    <w:p w14:paraId="09893D35" w14:textId="66F4FE70" w:rsidR="0073069E" w:rsidRPr="00166772" w:rsidRDefault="00861232" w:rsidP="005E3605">
      <w:pPr>
        <w:pStyle w:val="LightGrid-Accent31"/>
        <w:widowControl w:val="0"/>
        <w:tabs>
          <w:tab w:val="left" w:pos="220"/>
          <w:tab w:val="left" w:pos="720"/>
        </w:tabs>
        <w:autoSpaceDE w:val="0"/>
        <w:autoSpaceDN w:val="0"/>
        <w:adjustRightInd w:val="0"/>
        <w:spacing w:line="480" w:lineRule="auto"/>
        <w:ind w:left="0"/>
        <w:jc w:val="both"/>
        <w:rPr>
          <w:rFonts w:ascii="Arial" w:hAnsi="Arial" w:cs="Arial"/>
          <w:i/>
          <w:color w:val="262626"/>
        </w:rPr>
      </w:pPr>
      <w:r>
        <w:rPr>
          <w:rFonts w:ascii="Arial" w:hAnsi="Arial" w:cs="Arial"/>
          <w:i/>
          <w:color w:val="262626"/>
        </w:rPr>
        <w:lastRenderedPageBreak/>
        <w:pict w14:anchorId="0F2539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pt;height:399pt">
            <v:imagedata r:id="rId15" o:title="RevisionJune19_overall effects"/>
          </v:shape>
        </w:pict>
      </w:r>
    </w:p>
    <w:p w14:paraId="70FDCF86" w14:textId="17061642" w:rsidR="0073069E" w:rsidRPr="00166772" w:rsidRDefault="0073069E" w:rsidP="005E3605">
      <w:pPr>
        <w:rPr>
          <w:rFonts w:ascii="Arial" w:hAnsi="Arial" w:cs="Arial"/>
        </w:rPr>
      </w:pPr>
      <w:r w:rsidRPr="00166772">
        <w:rPr>
          <w:rFonts w:ascii="Arial" w:hAnsi="Arial" w:cs="Arial"/>
        </w:rPr>
        <w:t xml:space="preserve">Figure 2 – Effect of exposure to shift work on </w:t>
      </w:r>
      <w:r w:rsidR="00E36BAA" w:rsidRPr="00166772">
        <w:rPr>
          <w:rFonts w:ascii="Arial" w:hAnsi="Arial" w:cs="Arial"/>
        </w:rPr>
        <w:t xml:space="preserve">adverse </w:t>
      </w:r>
      <w:r w:rsidRPr="00166772">
        <w:rPr>
          <w:rFonts w:ascii="Arial" w:hAnsi="Arial" w:cs="Arial"/>
        </w:rPr>
        <w:t xml:space="preserve">mental health outcomes. </w:t>
      </w:r>
    </w:p>
    <w:p w14:paraId="540F4D80" w14:textId="77777777" w:rsidR="0073069E" w:rsidRPr="00166772" w:rsidRDefault="0073069E" w:rsidP="005E3605">
      <w:pPr>
        <w:pStyle w:val="LightGrid-Accent31"/>
        <w:widowControl w:val="0"/>
        <w:tabs>
          <w:tab w:val="left" w:pos="220"/>
          <w:tab w:val="left" w:pos="720"/>
        </w:tabs>
        <w:autoSpaceDE w:val="0"/>
        <w:autoSpaceDN w:val="0"/>
        <w:adjustRightInd w:val="0"/>
        <w:spacing w:line="480" w:lineRule="auto"/>
        <w:ind w:left="0"/>
        <w:jc w:val="both"/>
        <w:rPr>
          <w:rFonts w:ascii="Arial" w:hAnsi="Arial" w:cs="Arial"/>
          <w:i/>
          <w:color w:val="262626"/>
        </w:rPr>
      </w:pPr>
    </w:p>
    <w:p w14:paraId="6A1D1139" w14:textId="74C631BD" w:rsidR="0073069E" w:rsidRPr="00166772" w:rsidRDefault="00861232" w:rsidP="005E3605">
      <w:pPr>
        <w:pStyle w:val="LightGrid-Accent31"/>
        <w:widowControl w:val="0"/>
        <w:tabs>
          <w:tab w:val="left" w:pos="220"/>
          <w:tab w:val="left" w:pos="720"/>
        </w:tabs>
        <w:autoSpaceDE w:val="0"/>
        <w:autoSpaceDN w:val="0"/>
        <w:adjustRightInd w:val="0"/>
        <w:spacing w:line="480" w:lineRule="auto"/>
        <w:ind w:left="0"/>
        <w:jc w:val="both"/>
        <w:rPr>
          <w:rFonts w:ascii="Arial" w:hAnsi="Arial" w:cs="Arial"/>
          <w:i/>
          <w:color w:val="262626"/>
        </w:rPr>
      </w:pPr>
      <w:r>
        <w:rPr>
          <w:rFonts w:ascii="Arial" w:hAnsi="Arial" w:cs="Arial"/>
          <w:i/>
          <w:color w:val="262626"/>
        </w:rPr>
        <w:lastRenderedPageBreak/>
        <w:pict w14:anchorId="69B002A8">
          <v:shape id="_x0000_i1026" type="#_x0000_t75" style="width:503pt;height:383pt">
            <v:imagedata r:id="rId16" o:title="RevisionJune_outcome by sex"/>
          </v:shape>
        </w:pict>
      </w:r>
    </w:p>
    <w:p w14:paraId="782A9CDB" w14:textId="7580A402" w:rsidR="0073069E" w:rsidRPr="00166772" w:rsidRDefault="0073069E" w:rsidP="005E3605">
      <w:pPr>
        <w:widowControl w:val="0"/>
        <w:tabs>
          <w:tab w:val="left" w:pos="220"/>
          <w:tab w:val="left" w:pos="720"/>
        </w:tabs>
        <w:autoSpaceDE w:val="0"/>
        <w:autoSpaceDN w:val="0"/>
        <w:adjustRightInd w:val="0"/>
        <w:spacing w:before="120"/>
        <w:rPr>
          <w:rFonts w:ascii="Arial" w:hAnsi="Arial" w:cs="Arial"/>
          <w:color w:val="262626"/>
        </w:rPr>
      </w:pPr>
      <w:r w:rsidRPr="00166772">
        <w:rPr>
          <w:rFonts w:ascii="Arial" w:hAnsi="Arial" w:cs="Arial"/>
          <w:color w:val="262626"/>
        </w:rPr>
        <w:t>Figure 3 - Effect of shift work on a</w:t>
      </w:r>
      <w:r w:rsidR="005121B8" w:rsidRPr="00166772">
        <w:rPr>
          <w:rFonts w:ascii="Arial" w:hAnsi="Arial" w:cs="Arial"/>
          <w:color w:val="262626"/>
        </w:rPr>
        <w:t xml:space="preserve">dverse </w:t>
      </w:r>
      <w:r w:rsidRPr="00166772">
        <w:rPr>
          <w:rFonts w:ascii="Arial" w:hAnsi="Arial" w:cs="Arial"/>
          <w:color w:val="262626"/>
        </w:rPr>
        <w:t>mental health outcome</w:t>
      </w:r>
      <w:r w:rsidR="005121B8" w:rsidRPr="00166772">
        <w:rPr>
          <w:rFonts w:ascii="Arial" w:hAnsi="Arial" w:cs="Arial"/>
          <w:color w:val="262626"/>
        </w:rPr>
        <w:t>s</w:t>
      </w:r>
      <w:r w:rsidRPr="00166772">
        <w:rPr>
          <w:rFonts w:ascii="Arial" w:hAnsi="Arial" w:cs="Arial"/>
          <w:color w:val="262626"/>
        </w:rPr>
        <w:t>, by gender</w:t>
      </w:r>
    </w:p>
    <w:p w14:paraId="15D08602" w14:textId="77777777" w:rsidR="0073069E" w:rsidRPr="00166772" w:rsidRDefault="0073069E" w:rsidP="005E3605">
      <w:pPr>
        <w:widowControl w:val="0"/>
        <w:tabs>
          <w:tab w:val="left" w:pos="220"/>
          <w:tab w:val="left" w:pos="720"/>
        </w:tabs>
        <w:autoSpaceDE w:val="0"/>
        <w:autoSpaceDN w:val="0"/>
        <w:adjustRightInd w:val="0"/>
        <w:spacing w:before="120" w:line="480" w:lineRule="auto"/>
        <w:jc w:val="both"/>
        <w:rPr>
          <w:rFonts w:ascii="Arial" w:hAnsi="Arial" w:cs="Arial"/>
          <w:color w:val="262626"/>
        </w:rPr>
        <w:sectPr w:rsidR="0073069E" w:rsidRPr="00166772" w:rsidSect="005E3605">
          <w:pgSz w:w="11900" w:h="16840"/>
          <w:pgMar w:top="1134" w:right="1021" w:bottom="1134" w:left="1134" w:header="708" w:footer="708" w:gutter="0"/>
          <w:cols w:space="708"/>
          <w:docGrid w:linePitch="360"/>
        </w:sectPr>
      </w:pPr>
    </w:p>
    <w:p w14:paraId="7BB1A55C" w14:textId="77777777" w:rsidR="0073069E" w:rsidRPr="00166772" w:rsidRDefault="0073069E" w:rsidP="005E3605">
      <w:pPr>
        <w:widowControl w:val="0"/>
        <w:tabs>
          <w:tab w:val="left" w:pos="220"/>
          <w:tab w:val="left" w:pos="720"/>
        </w:tabs>
        <w:autoSpaceDE w:val="0"/>
        <w:autoSpaceDN w:val="0"/>
        <w:adjustRightInd w:val="0"/>
        <w:spacing w:before="120"/>
        <w:rPr>
          <w:rFonts w:ascii="Arial" w:hAnsi="Arial" w:cs="Arial"/>
          <w:i/>
          <w:color w:val="262626"/>
        </w:rPr>
      </w:pPr>
      <w:r w:rsidRPr="00166772">
        <w:rPr>
          <w:rFonts w:ascii="Arial" w:hAnsi="Arial" w:cs="Arial"/>
          <w:i/>
          <w:color w:val="262626"/>
        </w:rPr>
        <w:lastRenderedPageBreak/>
        <w:t>Table 1 – Characteristics of the studies included in the meta-analysis</w:t>
      </w:r>
    </w:p>
    <w:tbl>
      <w:tblPr>
        <w:tblpPr w:leftFromText="181" w:rightFromText="181" w:vertAnchor="text" w:horzAnchor="margin" w:tblpX="-602" w:tblpY="87"/>
        <w:tblOverlap w:val="never"/>
        <w:tblW w:w="5472" w:type="pct"/>
        <w:tblLayout w:type="fixed"/>
        <w:tblLook w:val="04A0" w:firstRow="1" w:lastRow="0" w:firstColumn="1" w:lastColumn="0" w:noHBand="0" w:noVBand="1"/>
      </w:tblPr>
      <w:tblGrid>
        <w:gridCol w:w="2191"/>
        <w:gridCol w:w="1136"/>
        <w:gridCol w:w="1291"/>
        <w:gridCol w:w="2175"/>
        <w:gridCol w:w="1586"/>
        <w:gridCol w:w="2017"/>
        <w:gridCol w:w="1146"/>
        <w:gridCol w:w="1431"/>
        <w:gridCol w:w="1162"/>
        <w:gridCol w:w="2049"/>
      </w:tblGrid>
      <w:tr w:rsidR="0073069E" w:rsidRPr="00166772" w14:paraId="074FC877" w14:textId="77777777" w:rsidTr="00486A7D">
        <w:trPr>
          <w:trHeight w:val="532"/>
        </w:trPr>
        <w:tc>
          <w:tcPr>
            <w:tcW w:w="677" w:type="pct"/>
            <w:tcBorders>
              <w:top w:val="single" w:sz="4" w:space="0" w:color="auto"/>
              <w:bottom w:val="single" w:sz="4" w:space="0" w:color="auto"/>
            </w:tcBorders>
            <w:shd w:val="clear" w:color="auto" w:fill="auto"/>
            <w:noWrap/>
            <w:vAlign w:val="center"/>
            <w:hideMark/>
          </w:tcPr>
          <w:p w14:paraId="6921A1D2" w14:textId="77777777" w:rsidR="0073069E" w:rsidRPr="00166772" w:rsidRDefault="0073069E" w:rsidP="00486A7D">
            <w:pPr>
              <w:contextualSpacing/>
              <w:jc w:val="center"/>
              <w:rPr>
                <w:rFonts w:ascii="Arial" w:eastAsia="Times New Roman" w:hAnsi="Arial" w:cs="Arial"/>
                <w:b/>
                <w:bCs/>
                <w:color w:val="000000"/>
                <w:sz w:val="22"/>
                <w:szCs w:val="22"/>
              </w:rPr>
            </w:pPr>
          </w:p>
          <w:p w14:paraId="4A49E89A" w14:textId="77777777" w:rsidR="0073069E" w:rsidRPr="00166772" w:rsidRDefault="0073069E" w:rsidP="00486A7D">
            <w:pPr>
              <w:contextualSpacing/>
              <w:jc w:val="center"/>
              <w:rPr>
                <w:rFonts w:ascii="Arial" w:eastAsia="Times New Roman" w:hAnsi="Arial" w:cs="Arial"/>
                <w:b/>
                <w:bCs/>
                <w:color w:val="000000"/>
                <w:sz w:val="22"/>
                <w:szCs w:val="22"/>
              </w:rPr>
            </w:pPr>
            <w:r w:rsidRPr="00166772">
              <w:rPr>
                <w:rFonts w:ascii="Arial" w:eastAsia="Times New Roman" w:hAnsi="Arial" w:cs="Arial"/>
                <w:b/>
                <w:bCs/>
                <w:color w:val="000000"/>
                <w:sz w:val="22"/>
                <w:szCs w:val="22"/>
              </w:rPr>
              <w:t>Author, year</w:t>
            </w:r>
          </w:p>
        </w:tc>
        <w:tc>
          <w:tcPr>
            <w:tcW w:w="351" w:type="pct"/>
            <w:tcBorders>
              <w:top w:val="single" w:sz="4" w:space="0" w:color="auto"/>
              <w:bottom w:val="single" w:sz="4" w:space="0" w:color="auto"/>
            </w:tcBorders>
            <w:vAlign w:val="center"/>
          </w:tcPr>
          <w:p w14:paraId="106D4AB1" w14:textId="77777777" w:rsidR="0073069E" w:rsidRPr="00166772" w:rsidRDefault="0073069E" w:rsidP="00486A7D">
            <w:pPr>
              <w:contextualSpacing/>
              <w:jc w:val="center"/>
              <w:rPr>
                <w:rFonts w:ascii="Arial" w:eastAsia="Times New Roman" w:hAnsi="Arial" w:cs="Arial"/>
                <w:b/>
                <w:bCs/>
                <w:color w:val="000000"/>
                <w:sz w:val="22"/>
                <w:szCs w:val="22"/>
              </w:rPr>
            </w:pPr>
            <w:r w:rsidRPr="00166772">
              <w:rPr>
                <w:rFonts w:ascii="Arial" w:eastAsia="Times New Roman" w:hAnsi="Arial" w:cs="Arial"/>
                <w:b/>
                <w:bCs/>
                <w:color w:val="000000"/>
                <w:sz w:val="22"/>
                <w:szCs w:val="22"/>
              </w:rPr>
              <w:t>Study design</w:t>
            </w:r>
          </w:p>
        </w:tc>
        <w:tc>
          <w:tcPr>
            <w:tcW w:w="399" w:type="pct"/>
            <w:tcBorders>
              <w:top w:val="single" w:sz="4" w:space="0" w:color="auto"/>
              <w:bottom w:val="single" w:sz="4" w:space="0" w:color="auto"/>
            </w:tcBorders>
            <w:vAlign w:val="center"/>
          </w:tcPr>
          <w:p w14:paraId="4BD72D9C" w14:textId="77777777" w:rsidR="0073069E" w:rsidRPr="00166772" w:rsidRDefault="0073069E" w:rsidP="00486A7D">
            <w:pPr>
              <w:contextualSpacing/>
              <w:jc w:val="center"/>
              <w:rPr>
                <w:rFonts w:ascii="Arial" w:eastAsia="Times New Roman" w:hAnsi="Arial" w:cs="Arial"/>
                <w:b/>
                <w:bCs/>
                <w:color w:val="000000"/>
                <w:sz w:val="22"/>
                <w:szCs w:val="22"/>
              </w:rPr>
            </w:pPr>
            <w:r w:rsidRPr="00166772">
              <w:rPr>
                <w:rFonts w:ascii="Arial" w:eastAsia="Times New Roman" w:hAnsi="Arial" w:cs="Arial"/>
                <w:b/>
                <w:bCs/>
                <w:color w:val="000000"/>
                <w:sz w:val="22"/>
                <w:szCs w:val="22"/>
              </w:rPr>
              <w:t>Follow-up</w:t>
            </w:r>
          </w:p>
        </w:tc>
        <w:tc>
          <w:tcPr>
            <w:tcW w:w="672" w:type="pct"/>
            <w:tcBorders>
              <w:top w:val="single" w:sz="4" w:space="0" w:color="auto"/>
              <w:bottom w:val="single" w:sz="4" w:space="0" w:color="auto"/>
            </w:tcBorders>
            <w:shd w:val="clear" w:color="auto" w:fill="auto"/>
            <w:noWrap/>
            <w:vAlign w:val="center"/>
            <w:hideMark/>
          </w:tcPr>
          <w:p w14:paraId="18FD9430" w14:textId="2B2431D3" w:rsidR="0073069E" w:rsidRPr="00166772" w:rsidRDefault="0073069E" w:rsidP="00486A7D">
            <w:pPr>
              <w:contextualSpacing/>
              <w:jc w:val="center"/>
              <w:rPr>
                <w:rFonts w:ascii="Arial" w:eastAsia="Times New Roman" w:hAnsi="Arial" w:cs="Arial"/>
                <w:b/>
                <w:bCs/>
                <w:color w:val="000000"/>
                <w:sz w:val="22"/>
                <w:szCs w:val="22"/>
              </w:rPr>
            </w:pPr>
            <w:r w:rsidRPr="00166772">
              <w:rPr>
                <w:rFonts w:ascii="Arial" w:eastAsia="Times New Roman" w:hAnsi="Arial" w:cs="Arial"/>
                <w:b/>
                <w:bCs/>
                <w:color w:val="000000"/>
                <w:sz w:val="22"/>
                <w:szCs w:val="22"/>
              </w:rPr>
              <w:t xml:space="preserve">Outcome </w:t>
            </w:r>
            <w:r w:rsidR="00E36BAA" w:rsidRPr="00166772">
              <w:rPr>
                <w:rFonts w:ascii="Arial" w:eastAsia="Times New Roman" w:hAnsi="Arial" w:cs="Arial"/>
                <w:b/>
                <w:bCs/>
                <w:color w:val="000000"/>
                <w:sz w:val="22"/>
                <w:szCs w:val="22"/>
              </w:rPr>
              <w:t xml:space="preserve">category </w:t>
            </w:r>
          </w:p>
        </w:tc>
        <w:tc>
          <w:tcPr>
            <w:tcW w:w="490" w:type="pct"/>
            <w:tcBorders>
              <w:top w:val="single" w:sz="4" w:space="0" w:color="auto"/>
              <w:bottom w:val="single" w:sz="4" w:space="0" w:color="auto"/>
            </w:tcBorders>
            <w:vAlign w:val="center"/>
          </w:tcPr>
          <w:p w14:paraId="532AB919" w14:textId="77777777" w:rsidR="0073069E" w:rsidRPr="00166772" w:rsidRDefault="0073069E" w:rsidP="00486A7D">
            <w:pPr>
              <w:contextualSpacing/>
              <w:jc w:val="center"/>
              <w:rPr>
                <w:rFonts w:ascii="Arial" w:eastAsia="Times New Roman" w:hAnsi="Arial" w:cs="Arial"/>
                <w:b/>
                <w:bCs/>
                <w:color w:val="000000"/>
                <w:sz w:val="22"/>
                <w:szCs w:val="22"/>
              </w:rPr>
            </w:pPr>
            <w:r w:rsidRPr="00166772">
              <w:rPr>
                <w:rFonts w:ascii="Arial" w:eastAsia="Times New Roman" w:hAnsi="Arial" w:cs="Arial"/>
                <w:b/>
                <w:bCs/>
                <w:color w:val="000000"/>
                <w:sz w:val="22"/>
                <w:szCs w:val="22"/>
              </w:rPr>
              <w:t>Tool used</w:t>
            </w:r>
          </w:p>
        </w:tc>
        <w:tc>
          <w:tcPr>
            <w:tcW w:w="623" w:type="pct"/>
            <w:tcBorders>
              <w:top w:val="single" w:sz="4" w:space="0" w:color="auto"/>
              <w:bottom w:val="single" w:sz="4" w:space="0" w:color="auto"/>
            </w:tcBorders>
            <w:vAlign w:val="center"/>
          </w:tcPr>
          <w:p w14:paraId="290BCEBF" w14:textId="77777777" w:rsidR="0073069E" w:rsidRPr="00166772" w:rsidRDefault="0073069E" w:rsidP="00486A7D">
            <w:pPr>
              <w:contextualSpacing/>
              <w:jc w:val="center"/>
              <w:rPr>
                <w:rFonts w:ascii="Arial" w:eastAsia="Times New Roman" w:hAnsi="Arial" w:cs="Arial"/>
                <w:b/>
                <w:bCs/>
                <w:color w:val="000000"/>
                <w:sz w:val="22"/>
                <w:szCs w:val="22"/>
              </w:rPr>
            </w:pPr>
            <w:r w:rsidRPr="00166772">
              <w:rPr>
                <w:rFonts w:ascii="Arial" w:eastAsia="Times New Roman" w:hAnsi="Arial" w:cs="Arial"/>
                <w:b/>
                <w:bCs/>
                <w:color w:val="000000"/>
                <w:sz w:val="22"/>
                <w:szCs w:val="22"/>
              </w:rPr>
              <w:t>Case definition</w:t>
            </w:r>
          </w:p>
        </w:tc>
        <w:tc>
          <w:tcPr>
            <w:tcW w:w="354" w:type="pct"/>
            <w:tcBorders>
              <w:top w:val="single" w:sz="4" w:space="0" w:color="auto"/>
              <w:bottom w:val="single" w:sz="4" w:space="0" w:color="auto"/>
            </w:tcBorders>
            <w:shd w:val="clear" w:color="auto" w:fill="auto"/>
            <w:noWrap/>
            <w:vAlign w:val="center"/>
            <w:hideMark/>
          </w:tcPr>
          <w:p w14:paraId="450746FC" w14:textId="77777777" w:rsidR="0073069E" w:rsidRPr="00166772" w:rsidRDefault="0073069E" w:rsidP="00486A7D">
            <w:pPr>
              <w:contextualSpacing/>
              <w:jc w:val="center"/>
              <w:rPr>
                <w:rFonts w:ascii="Arial" w:eastAsia="Times New Roman" w:hAnsi="Arial" w:cs="Arial"/>
                <w:b/>
                <w:bCs/>
                <w:color w:val="000000"/>
                <w:sz w:val="22"/>
                <w:szCs w:val="22"/>
              </w:rPr>
            </w:pPr>
            <w:r w:rsidRPr="00166772">
              <w:rPr>
                <w:rFonts w:ascii="Arial" w:eastAsia="Times New Roman" w:hAnsi="Arial" w:cs="Arial"/>
                <w:b/>
                <w:bCs/>
                <w:color w:val="000000"/>
                <w:sz w:val="22"/>
                <w:szCs w:val="22"/>
              </w:rPr>
              <w:t>Sample size</w:t>
            </w:r>
          </w:p>
        </w:tc>
        <w:tc>
          <w:tcPr>
            <w:tcW w:w="442" w:type="pct"/>
            <w:tcBorders>
              <w:top w:val="single" w:sz="4" w:space="0" w:color="auto"/>
              <w:bottom w:val="single" w:sz="4" w:space="0" w:color="auto"/>
            </w:tcBorders>
            <w:shd w:val="clear" w:color="auto" w:fill="auto"/>
            <w:noWrap/>
            <w:vAlign w:val="center"/>
            <w:hideMark/>
          </w:tcPr>
          <w:p w14:paraId="433B03F8" w14:textId="77777777" w:rsidR="0073069E" w:rsidRPr="00166772" w:rsidRDefault="0073069E" w:rsidP="00486A7D">
            <w:pPr>
              <w:contextualSpacing/>
              <w:jc w:val="center"/>
              <w:rPr>
                <w:rFonts w:ascii="Arial" w:eastAsia="Times New Roman" w:hAnsi="Arial" w:cs="Arial"/>
                <w:b/>
                <w:bCs/>
                <w:color w:val="000000"/>
                <w:sz w:val="22"/>
                <w:szCs w:val="22"/>
              </w:rPr>
            </w:pPr>
            <w:r w:rsidRPr="00166772">
              <w:rPr>
                <w:rFonts w:ascii="Arial" w:eastAsia="Times New Roman" w:hAnsi="Arial" w:cs="Arial"/>
                <w:b/>
                <w:bCs/>
                <w:color w:val="000000"/>
                <w:sz w:val="22"/>
                <w:szCs w:val="22"/>
              </w:rPr>
              <w:t>Age in years*</w:t>
            </w:r>
          </w:p>
        </w:tc>
        <w:tc>
          <w:tcPr>
            <w:tcW w:w="359" w:type="pct"/>
            <w:tcBorders>
              <w:top w:val="single" w:sz="4" w:space="0" w:color="auto"/>
              <w:bottom w:val="single" w:sz="4" w:space="0" w:color="auto"/>
            </w:tcBorders>
            <w:shd w:val="clear" w:color="auto" w:fill="auto"/>
            <w:noWrap/>
            <w:vAlign w:val="center"/>
            <w:hideMark/>
          </w:tcPr>
          <w:p w14:paraId="4A141371" w14:textId="77777777" w:rsidR="0073069E" w:rsidRPr="00166772" w:rsidRDefault="0073069E" w:rsidP="00486A7D">
            <w:pPr>
              <w:contextualSpacing/>
              <w:jc w:val="center"/>
              <w:rPr>
                <w:rFonts w:ascii="Arial" w:eastAsia="Times New Roman" w:hAnsi="Arial" w:cs="Arial"/>
                <w:b/>
                <w:bCs/>
                <w:color w:val="000000"/>
                <w:sz w:val="22"/>
                <w:szCs w:val="22"/>
              </w:rPr>
            </w:pPr>
            <w:r w:rsidRPr="00166772">
              <w:rPr>
                <w:rFonts w:ascii="Arial" w:eastAsia="Times New Roman" w:hAnsi="Arial" w:cs="Arial"/>
                <w:b/>
                <w:bCs/>
                <w:color w:val="000000"/>
                <w:sz w:val="22"/>
                <w:szCs w:val="22"/>
              </w:rPr>
              <w:t>Gender</w:t>
            </w:r>
          </w:p>
        </w:tc>
        <w:tc>
          <w:tcPr>
            <w:tcW w:w="633" w:type="pct"/>
            <w:tcBorders>
              <w:top w:val="single" w:sz="4" w:space="0" w:color="auto"/>
              <w:bottom w:val="single" w:sz="4" w:space="0" w:color="auto"/>
            </w:tcBorders>
            <w:shd w:val="clear" w:color="auto" w:fill="auto"/>
            <w:noWrap/>
            <w:vAlign w:val="center"/>
            <w:hideMark/>
          </w:tcPr>
          <w:p w14:paraId="7F3AA16D" w14:textId="77777777" w:rsidR="0073069E" w:rsidRPr="00166772" w:rsidRDefault="0073069E" w:rsidP="00486A7D">
            <w:pPr>
              <w:contextualSpacing/>
              <w:jc w:val="center"/>
              <w:rPr>
                <w:rFonts w:ascii="Arial" w:eastAsia="Times New Roman" w:hAnsi="Arial" w:cs="Arial"/>
                <w:b/>
                <w:bCs/>
                <w:color w:val="000000"/>
                <w:sz w:val="22"/>
                <w:szCs w:val="22"/>
              </w:rPr>
            </w:pPr>
            <w:r w:rsidRPr="00166772">
              <w:rPr>
                <w:rFonts w:ascii="Arial" w:eastAsia="Times New Roman" w:hAnsi="Arial" w:cs="Arial"/>
                <w:b/>
                <w:bCs/>
                <w:color w:val="000000"/>
                <w:sz w:val="22"/>
                <w:szCs w:val="22"/>
              </w:rPr>
              <w:t>Occupational group</w:t>
            </w:r>
          </w:p>
        </w:tc>
      </w:tr>
      <w:tr w:rsidR="0073069E" w:rsidRPr="00166772" w14:paraId="55C9B534" w14:textId="77777777" w:rsidTr="00486A7D">
        <w:trPr>
          <w:trHeight w:val="497"/>
        </w:trPr>
        <w:tc>
          <w:tcPr>
            <w:tcW w:w="677" w:type="pct"/>
            <w:tcBorders>
              <w:top w:val="single" w:sz="4" w:space="0" w:color="auto"/>
            </w:tcBorders>
            <w:shd w:val="clear" w:color="auto" w:fill="auto"/>
            <w:noWrap/>
            <w:tcMar>
              <w:top w:w="85" w:type="dxa"/>
            </w:tcMar>
            <w:vAlign w:val="center"/>
            <w:hideMark/>
          </w:tcPr>
          <w:p w14:paraId="1ACA2612" w14:textId="77777777" w:rsidR="0073069E" w:rsidRPr="00166772" w:rsidRDefault="0073069E" w:rsidP="00486A7D">
            <w:pPr>
              <w:contextualSpacing/>
              <w:jc w:val="center"/>
              <w:rPr>
                <w:rFonts w:ascii="Arial" w:eastAsia="Times New Roman" w:hAnsi="Arial" w:cs="Arial"/>
                <w:color w:val="000000"/>
                <w:sz w:val="20"/>
                <w:szCs w:val="20"/>
              </w:rPr>
            </w:pPr>
            <w:r w:rsidRPr="00166772">
              <w:rPr>
                <w:rFonts w:ascii="Arial" w:eastAsia="Times New Roman" w:hAnsi="Arial" w:cs="Arial"/>
                <w:color w:val="000000"/>
                <w:sz w:val="20"/>
                <w:szCs w:val="20"/>
              </w:rPr>
              <w:t>Poole et al., 1992</w:t>
            </w:r>
            <w:r w:rsidR="00E06A82" w:rsidRPr="00166772">
              <w:rPr>
                <w:rFonts w:ascii="Arial" w:eastAsia="Times New Roman" w:hAnsi="Arial" w:cs="Arial"/>
                <w:color w:val="000000"/>
                <w:sz w:val="20"/>
                <w:szCs w:val="20"/>
              </w:rPr>
              <w:t xml:space="preserve"> </w:t>
            </w:r>
            <w:r w:rsidR="00E06A82" w:rsidRPr="00166772">
              <w:rPr>
                <w:rFonts w:ascii="Arial" w:eastAsia="Times New Roman" w:hAnsi="Arial" w:cs="Arial"/>
                <w:color w:val="000000"/>
                <w:sz w:val="20"/>
                <w:szCs w:val="20"/>
                <w:vertAlign w:val="superscript"/>
              </w:rPr>
              <w:t>28</w:t>
            </w:r>
          </w:p>
        </w:tc>
        <w:tc>
          <w:tcPr>
            <w:tcW w:w="351" w:type="pct"/>
            <w:tcBorders>
              <w:top w:val="single" w:sz="4" w:space="0" w:color="auto"/>
            </w:tcBorders>
            <w:vAlign w:val="center"/>
          </w:tcPr>
          <w:p w14:paraId="582333CA" w14:textId="77777777" w:rsidR="0073069E" w:rsidRPr="00166772" w:rsidRDefault="0073069E" w:rsidP="00486A7D">
            <w:pPr>
              <w:contextualSpacing/>
              <w:jc w:val="center"/>
              <w:rPr>
                <w:rFonts w:ascii="Arial" w:eastAsia="Times New Roman" w:hAnsi="Arial" w:cs="Arial"/>
                <w:color w:val="000000"/>
                <w:sz w:val="20"/>
                <w:szCs w:val="20"/>
              </w:rPr>
            </w:pPr>
            <w:r w:rsidRPr="00166772">
              <w:rPr>
                <w:rFonts w:ascii="Arial" w:eastAsia="Times New Roman" w:hAnsi="Arial" w:cs="Arial"/>
                <w:color w:val="000000"/>
                <w:sz w:val="20"/>
                <w:szCs w:val="20"/>
              </w:rPr>
              <w:t>Cohort study</w:t>
            </w:r>
          </w:p>
        </w:tc>
        <w:tc>
          <w:tcPr>
            <w:tcW w:w="399" w:type="pct"/>
            <w:tcBorders>
              <w:top w:val="single" w:sz="4" w:space="0" w:color="auto"/>
            </w:tcBorders>
            <w:vAlign w:val="center"/>
          </w:tcPr>
          <w:p w14:paraId="5986AF83" w14:textId="77777777" w:rsidR="0073069E" w:rsidRPr="00166772" w:rsidRDefault="0073069E" w:rsidP="00486A7D">
            <w:pPr>
              <w:contextualSpacing/>
              <w:jc w:val="center"/>
              <w:rPr>
                <w:rFonts w:ascii="Arial" w:eastAsia="Times New Roman" w:hAnsi="Arial" w:cs="Arial"/>
                <w:color w:val="000000"/>
                <w:sz w:val="20"/>
                <w:szCs w:val="20"/>
              </w:rPr>
            </w:pPr>
            <w:r w:rsidRPr="00166772">
              <w:rPr>
                <w:rFonts w:ascii="Arial" w:eastAsia="Times New Roman" w:hAnsi="Arial" w:cs="Arial"/>
                <w:color w:val="000000"/>
                <w:sz w:val="20"/>
                <w:szCs w:val="20"/>
              </w:rPr>
              <w:t>6-months</w:t>
            </w:r>
          </w:p>
        </w:tc>
        <w:tc>
          <w:tcPr>
            <w:tcW w:w="672" w:type="pct"/>
            <w:tcBorders>
              <w:top w:val="single" w:sz="4" w:space="0" w:color="auto"/>
            </w:tcBorders>
            <w:shd w:val="clear" w:color="auto" w:fill="auto"/>
            <w:noWrap/>
            <w:tcMar>
              <w:top w:w="85" w:type="dxa"/>
            </w:tcMar>
            <w:vAlign w:val="center"/>
            <w:hideMark/>
          </w:tcPr>
          <w:p w14:paraId="1F081A58" w14:textId="77777777" w:rsidR="0073069E" w:rsidRPr="00166772" w:rsidRDefault="0073069E" w:rsidP="00486A7D">
            <w:pPr>
              <w:jc w:val="center"/>
              <w:rPr>
                <w:rFonts w:ascii="Arial" w:eastAsia="Times New Roman" w:hAnsi="Arial" w:cs="Arial"/>
                <w:sz w:val="20"/>
                <w:szCs w:val="20"/>
              </w:rPr>
            </w:pPr>
            <w:r w:rsidRPr="00166772">
              <w:rPr>
                <w:rFonts w:ascii="Arial" w:eastAsia="Times New Roman" w:hAnsi="Arial" w:cs="Arial"/>
                <w:sz w:val="20"/>
                <w:szCs w:val="20"/>
              </w:rPr>
              <w:t>Anxiety and depressive symptoms</w:t>
            </w:r>
          </w:p>
        </w:tc>
        <w:tc>
          <w:tcPr>
            <w:tcW w:w="490" w:type="pct"/>
            <w:tcBorders>
              <w:top w:val="single" w:sz="4" w:space="0" w:color="auto"/>
            </w:tcBorders>
            <w:vAlign w:val="center"/>
          </w:tcPr>
          <w:p w14:paraId="14E76F13" w14:textId="77777777" w:rsidR="0073069E" w:rsidRPr="00166772" w:rsidRDefault="0073069E" w:rsidP="00486A7D">
            <w:pPr>
              <w:contextualSpacing/>
              <w:jc w:val="center"/>
              <w:rPr>
                <w:rFonts w:ascii="Arial" w:eastAsia="Times New Roman" w:hAnsi="Arial" w:cs="Arial"/>
                <w:color w:val="000000"/>
                <w:sz w:val="20"/>
                <w:szCs w:val="20"/>
              </w:rPr>
            </w:pPr>
            <w:r w:rsidRPr="00166772">
              <w:rPr>
                <w:rFonts w:ascii="Arial" w:eastAsia="Times New Roman" w:hAnsi="Arial" w:cs="Arial"/>
                <w:color w:val="000000"/>
                <w:sz w:val="20"/>
                <w:szCs w:val="20"/>
              </w:rPr>
              <w:t>GHQ-28 anxiety and depression scales</w:t>
            </w:r>
          </w:p>
        </w:tc>
        <w:tc>
          <w:tcPr>
            <w:tcW w:w="623" w:type="pct"/>
            <w:tcBorders>
              <w:top w:val="single" w:sz="4" w:space="0" w:color="auto"/>
            </w:tcBorders>
            <w:vAlign w:val="center"/>
          </w:tcPr>
          <w:p w14:paraId="0D9CDBDC" w14:textId="77777777" w:rsidR="0073069E" w:rsidRPr="00166772" w:rsidRDefault="0073069E" w:rsidP="00486A7D">
            <w:pPr>
              <w:contextualSpacing/>
              <w:jc w:val="center"/>
              <w:rPr>
                <w:rFonts w:ascii="Arial" w:eastAsia="Times New Roman" w:hAnsi="Arial" w:cs="Arial"/>
                <w:color w:val="000000"/>
                <w:sz w:val="20"/>
                <w:szCs w:val="20"/>
              </w:rPr>
            </w:pPr>
            <w:r w:rsidRPr="00166772">
              <w:rPr>
                <w:rFonts w:ascii="Arial" w:eastAsia="Times New Roman" w:hAnsi="Arial" w:cs="Arial"/>
                <w:color w:val="000000"/>
                <w:sz w:val="20"/>
                <w:szCs w:val="20"/>
              </w:rPr>
              <w:t>Score &gt;4 in respective scales</w:t>
            </w:r>
          </w:p>
        </w:tc>
        <w:tc>
          <w:tcPr>
            <w:tcW w:w="354" w:type="pct"/>
            <w:tcBorders>
              <w:top w:val="single" w:sz="4" w:space="0" w:color="auto"/>
            </w:tcBorders>
            <w:shd w:val="clear" w:color="auto" w:fill="auto"/>
            <w:noWrap/>
            <w:tcMar>
              <w:top w:w="85" w:type="dxa"/>
            </w:tcMar>
            <w:vAlign w:val="center"/>
            <w:hideMark/>
          </w:tcPr>
          <w:p w14:paraId="55AB43FD" w14:textId="77777777" w:rsidR="0073069E" w:rsidRPr="00166772" w:rsidRDefault="0073069E" w:rsidP="00486A7D">
            <w:pPr>
              <w:contextualSpacing/>
              <w:jc w:val="center"/>
              <w:rPr>
                <w:rFonts w:ascii="Arial" w:eastAsia="Times New Roman" w:hAnsi="Arial" w:cs="Arial"/>
                <w:color w:val="000000"/>
                <w:sz w:val="20"/>
                <w:szCs w:val="20"/>
              </w:rPr>
            </w:pPr>
            <w:r w:rsidRPr="00166772">
              <w:rPr>
                <w:rFonts w:ascii="Arial" w:eastAsia="Times New Roman" w:hAnsi="Arial" w:cs="Arial"/>
                <w:color w:val="000000"/>
                <w:sz w:val="20"/>
                <w:szCs w:val="20"/>
              </w:rPr>
              <w:t>298</w:t>
            </w:r>
          </w:p>
        </w:tc>
        <w:tc>
          <w:tcPr>
            <w:tcW w:w="442" w:type="pct"/>
            <w:tcBorders>
              <w:top w:val="single" w:sz="4" w:space="0" w:color="auto"/>
            </w:tcBorders>
            <w:shd w:val="clear" w:color="auto" w:fill="auto"/>
            <w:noWrap/>
            <w:tcMar>
              <w:top w:w="85" w:type="dxa"/>
            </w:tcMar>
            <w:vAlign w:val="center"/>
            <w:hideMark/>
          </w:tcPr>
          <w:p w14:paraId="265C1C2D" w14:textId="77777777" w:rsidR="0073069E" w:rsidRPr="00166772" w:rsidRDefault="0073069E" w:rsidP="00486A7D">
            <w:pPr>
              <w:contextualSpacing/>
              <w:jc w:val="center"/>
              <w:rPr>
                <w:rFonts w:ascii="Arial" w:eastAsia="Times New Roman" w:hAnsi="Arial" w:cs="Arial"/>
                <w:color w:val="000000"/>
                <w:sz w:val="20"/>
                <w:szCs w:val="20"/>
              </w:rPr>
            </w:pPr>
            <w:r w:rsidRPr="00166772">
              <w:rPr>
                <w:rFonts w:ascii="Arial" w:eastAsia="Times New Roman" w:hAnsi="Arial" w:cs="Arial"/>
                <w:color w:val="000000"/>
                <w:sz w:val="20"/>
                <w:szCs w:val="20"/>
              </w:rPr>
              <w:t>35 (18-60)</w:t>
            </w:r>
          </w:p>
        </w:tc>
        <w:tc>
          <w:tcPr>
            <w:tcW w:w="359" w:type="pct"/>
            <w:tcBorders>
              <w:top w:val="single" w:sz="4" w:space="0" w:color="auto"/>
            </w:tcBorders>
            <w:shd w:val="clear" w:color="auto" w:fill="auto"/>
            <w:noWrap/>
            <w:tcMar>
              <w:top w:w="85" w:type="dxa"/>
            </w:tcMar>
            <w:vAlign w:val="center"/>
            <w:hideMark/>
          </w:tcPr>
          <w:p w14:paraId="36B1A6F7" w14:textId="77777777" w:rsidR="0073069E" w:rsidRPr="00166772" w:rsidRDefault="0073069E" w:rsidP="00486A7D">
            <w:pPr>
              <w:contextualSpacing/>
              <w:jc w:val="center"/>
              <w:rPr>
                <w:rFonts w:ascii="Arial" w:eastAsia="Times New Roman" w:hAnsi="Arial" w:cs="Arial"/>
                <w:color w:val="000000"/>
                <w:sz w:val="20"/>
                <w:szCs w:val="20"/>
              </w:rPr>
            </w:pPr>
            <w:r w:rsidRPr="00166772">
              <w:rPr>
                <w:rFonts w:ascii="Arial" w:eastAsia="Times New Roman" w:hAnsi="Arial" w:cs="Arial"/>
                <w:color w:val="000000"/>
                <w:sz w:val="20"/>
                <w:szCs w:val="20"/>
              </w:rPr>
              <w:t>F&amp;M</w:t>
            </w:r>
          </w:p>
        </w:tc>
        <w:tc>
          <w:tcPr>
            <w:tcW w:w="633" w:type="pct"/>
            <w:tcBorders>
              <w:top w:val="single" w:sz="4" w:space="0" w:color="auto"/>
            </w:tcBorders>
            <w:shd w:val="clear" w:color="auto" w:fill="auto"/>
            <w:noWrap/>
            <w:tcMar>
              <w:top w:w="85" w:type="dxa"/>
            </w:tcMar>
            <w:vAlign w:val="center"/>
            <w:hideMark/>
          </w:tcPr>
          <w:p w14:paraId="585F298C" w14:textId="77777777" w:rsidR="0073069E" w:rsidRPr="00166772" w:rsidRDefault="0073069E" w:rsidP="00486A7D">
            <w:pPr>
              <w:contextualSpacing/>
              <w:jc w:val="center"/>
              <w:rPr>
                <w:rFonts w:ascii="Arial" w:eastAsia="Times New Roman" w:hAnsi="Arial" w:cs="Arial"/>
                <w:color w:val="000000"/>
                <w:sz w:val="20"/>
                <w:szCs w:val="20"/>
              </w:rPr>
            </w:pPr>
            <w:r w:rsidRPr="00166772">
              <w:rPr>
                <w:rFonts w:ascii="Arial" w:eastAsia="Times New Roman" w:hAnsi="Arial" w:cs="Arial"/>
                <w:color w:val="000000"/>
                <w:sz w:val="20"/>
                <w:szCs w:val="20"/>
              </w:rPr>
              <w:t>Factory employees</w:t>
            </w:r>
          </w:p>
        </w:tc>
      </w:tr>
      <w:tr w:rsidR="0073069E" w:rsidRPr="00166772" w14:paraId="12A85D4C" w14:textId="77777777" w:rsidTr="00486A7D">
        <w:trPr>
          <w:trHeight w:val="1014"/>
        </w:trPr>
        <w:tc>
          <w:tcPr>
            <w:tcW w:w="677" w:type="pct"/>
            <w:shd w:val="clear" w:color="auto" w:fill="auto"/>
            <w:noWrap/>
            <w:tcMar>
              <w:top w:w="85" w:type="dxa"/>
            </w:tcMar>
            <w:vAlign w:val="center"/>
          </w:tcPr>
          <w:p w14:paraId="36396176" w14:textId="77777777" w:rsidR="0073069E" w:rsidRPr="00166772" w:rsidRDefault="0073069E" w:rsidP="00486A7D">
            <w:pPr>
              <w:contextualSpacing/>
              <w:jc w:val="center"/>
              <w:rPr>
                <w:rFonts w:ascii="Arial" w:eastAsia="Times New Roman" w:hAnsi="Arial" w:cs="Arial"/>
                <w:color w:val="000000"/>
                <w:sz w:val="20"/>
                <w:szCs w:val="20"/>
              </w:rPr>
            </w:pPr>
            <w:r w:rsidRPr="00166772">
              <w:rPr>
                <w:rFonts w:ascii="Arial" w:eastAsia="Times New Roman" w:hAnsi="Arial" w:cs="Arial"/>
                <w:color w:val="000000"/>
                <w:sz w:val="20"/>
                <w:szCs w:val="20"/>
              </w:rPr>
              <w:t>Bildt et al., 2002</w:t>
            </w:r>
            <w:r w:rsidR="00E06A82" w:rsidRPr="00166772">
              <w:rPr>
                <w:rFonts w:ascii="Arial" w:eastAsia="Times New Roman" w:hAnsi="Arial" w:cs="Arial"/>
                <w:color w:val="000000"/>
                <w:sz w:val="20"/>
                <w:szCs w:val="20"/>
              </w:rPr>
              <w:t xml:space="preserve"> </w:t>
            </w:r>
            <w:r w:rsidR="00E06A82" w:rsidRPr="00166772">
              <w:rPr>
                <w:rFonts w:ascii="Arial" w:eastAsia="Times New Roman" w:hAnsi="Arial" w:cs="Arial"/>
                <w:color w:val="000000"/>
                <w:sz w:val="20"/>
                <w:szCs w:val="20"/>
                <w:vertAlign w:val="superscript"/>
              </w:rPr>
              <w:t>17</w:t>
            </w:r>
          </w:p>
        </w:tc>
        <w:tc>
          <w:tcPr>
            <w:tcW w:w="351" w:type="pct"/>
            <w:vAlign w:val="center"/>
          </w:tcPr>
          <w:p w14:paraId="525CAFFA" w14:textId="77777777" w:rsidR="0073069E" w:rsidRPr="00166772" w:rsidRDefault="0073069E" w:rsidP="00486A7D">
            <w:pPr>
              <w:jc w:val="center"/>
            </w:pPr>
            <w:r w:rsidRPr="00166772">
              <w:rPr>
                <w:rFonts w:ascii="Arial" w:eastAsia="Times New Roman" w:hAnsi="Arial" w:cs="Arial"/>
                <w:color w:val="000000"/>
                <w:sz w:val="20"/>
                <w:szCs w:val="20"/>
              </w:rPr>
              <w:t>Cohort study</w:t>
            </w:r>
          </w:p>
        </w:tc>
        <w:tc>
          <w:tcPr>
            <w:tcW w:w="399" w:type="pct"/>
            <w:vAlign w:val="center"/>
          </w:tcPr>
          <w:p w14:paraId="48D7E7EE" w14:textId="77777777" w:rsidR="0073069E" w:rsidRPr="00166772" w:rsidRDefault="0073069E" w:rsidP="00486A7D">
            <w:pPr>
              <w:contextualSpacing/>
              <w:jc w:val="center"/>
              <w:rPr>
                <w:rFonts w:ascii="Arial" w:eastAsia="Times New Roman" w:hAnsi="Arial" w:cs="Arial"/>
                <w:color w:val="000000"/>
                <w:sz w:val="20"/>
                <w:szCs w:val="20"/>
              </w:rPr>
            </w:pPr>
            <w:r w:rsidRPr="00166772">
              <w:rPr>
                <w:rFonts w:ascii="Arial" w:eastAsia="Times New Roman" w:hAnsi="Arial" w:cs="Arial"/>
                <w:color w:val="000000"/>
                <w:sz w:val="20"/>
                <w:szCs w:val="20"/>
              </w:rPr>
              <w:t>4 years</w:t>
            </w:r>
          </w:p>
        </w:tc>
        <w:tc>
          <w:tcPr>
            <w:tcW w:w="672" w:type="pct"/>
            <w:shd w:val="clear" w:color="auto" w:fill="auto"/>
            <w:noWrap/>
            <w:tcMar>
              <w:top w:w="85" w:type="dxa"/>
            </w:tcMar>
            <w:vAlign w:val="center"/>
          </w:tcPr>
          <w:p w14:paraId="1DE974B2" w14:textId="51B1E9CA" w:rsidR="0073069E" w:rsidRPr="00166772" w:rsidRDefault="00581E12" w:rsidP="00581E12">
            <w:pPr>
              <w:jc w:val="center"/>
              <w:rPr>
                <w:rFonts w:ascii="Arial" w:eastAsia="Times New Roman" w:hAnsi="Arial" w:cs="Arial"/>
                <w:sz w:val="20"/>
                <w:szCs w:val="20"/>
              </w:rPr>
            </w:pPr>
            <w:r w:rsidRPr="00166772">
              <w:rPr>
                <w:rFonts w:ascii="Arial" w:eastAsia="Times New Roman" w:hAnsi="Arial" w:cs="Arial"/>
                <w:sz w:val="20"/>
                <w:szCs w:val="20"/>
              </w:rPr>
              <w:t>G</w:t>
            </w:r>
            <w:r w:rsidR="0073069E" w:rsidRPr="00166772">
              <w:rPr>
                <w:rFonts w:ascii="Arial" w:eastAsia="Times New Roman" w:hAnsi="Arial" w:cs="Arial"/>
                <w:sz w:val="20"/>
                <w:szCs w:val="20"/>
              </w:rPr>
              <w:t xml:space="preserve">eneral </w:t>
            </w:r>
            <w:r w:rsidR="005121B8" w:rsidRPr="00166772">
              <w:rPr>
                <w:rFonts w:ascii="Arial" w:eastAsia="Times New Roman" w:hAnsi="Arial" w:cs="Arial"/>
                <w:sz w:val="20"/>
                <w:szCs w:val="20"/>
              </w:rPr>
              <w:t xml:space="preserve"> </w:t>
            </w:r>
            <w:r w:rsidRPr="00166772">
              <w:rPr>
                <w:rFonts w:ascii="Arial" w:eastAsia="Times New Roman" w:hAnsi="Arial" w:cs="Arial"/>
                <w:sz w:val="20"/>
                <w:szCs w:val="20"/>
              </w:rPr>
              <w:t>p</w:t>
            </w:r>
            <w:r w:rsidR="005121B8" w:rsidRPr="00166772">
              <w:rPr>
                <w:rFonts w:ascii="Arial" w:eastAsia="Times New Roman" w:hAnsi="Arial" w:cs="Arial"/>
                <w:sz w:val="20"/>
                <w:szCs w:val="20"/>
              </w:rPr>
              <w:t xml:space="preserve">oor </w:t>
            </w:r>
            <w:r w:rsidR="0073069E" w:rsidRPr="00166772">
              <w:rPr>
                <w:rFonts w:ascii="Arial" w:eastAsia="Times New Roman" w:hAnsi="Arial" w:cs="Arial"/>
                <w:sz w:val="20"/>
                <w:szCs w:val="20"/>
              </w:rPr>
              <w:t>mental health</w:t>
            </w:r>
            <w:r w:rsidR="005121B8" w:rsidRPr="00166772">
              <w:rPr>
                <w:rFonts w:ascii="Arial" w:eastAsia="Times New Roman" w:hAnsi="Arial" w:cs="Arial"/>
                <w:sz w:val="20"/>
                <w:szCs w:val="20"/>
              </w:rPr>
              <w:t xml:space="preserve">  symptoms</w:t>
            </w:r>
          </w:p>
        </w:tc>
        <w:tc>
          <w:tcPr>
            <w:tcW w:w="490" w:type="pct"/>
            <w:vAlign w:val="center"/>
          </w:tcPr>
          <w:p w14:paraId="202EA556" w14:textId="77777777" w:rsidR="0073069E" w:rsidRPr="00166772" w:rsidRDefault="0073069E" w:rsidP="00486A7D">
            <w:pPr>
              <w:jc w:val="center"/>
              <w:rPr>
                <w:rFonts w:ascii="Arial" w:eastAsia="Times New Roman" w:hAnsi="Arial" w:cs="Arial"/>
                <w:color w:val="000000"/>
                <w:sz w:val="20"/>
                <w:szCs w:val="20"/>
              </w:rPr>
            </w:pPr>
            <w:r w:rsidRPr="00166772">
              <w:rPr>
                <w:rFonts w:ascii="Arial" w:eastAsia="Times New Roman" w:hAnsi="Arial" w:cs="Arial"/>
                <w:color w:val="000000"/>
                <w:sz w:val="20"/>
                <w:szCs w:val="20"/>
              </w:rPr>
              <w:t>GHQ-12</w:t>
            </w:r>
          </w:p>
          <w:p w14:paraId="38899176" w14:textId="77777777" w:rsidR="0073069E" w:rsidRPr="00166772" w:rsidRDefault="0073069E" w:rsidP="00486A7D">
            <w:pPr>
              <w:jc w:val="center"/>
              <w:rPr>
                <w:rFonts w:ascii="Arial" w:eastAsia="Times New Roman" w:hAnsi="Arial" w:cs="Arial"/>
                <w:color w:val="000000"/>
                <w:sz w:val="20"/>
                <w:szCs w:val="20"/>
              </w:rPr>
            </w:pPr>
          </w:p>
        </w:tc>
        <w:tc>
          <w:tcPr>
            <w:tcW w:w="623" w:type="pct"/>
            <w:vAlign w:val="center"/>
          </w:tcPr>
          <w:p w14:paraId="109E1EB5" w14:textId="77777777" w:rsidR="0073069E" w:rsidRPr="00166772" w:rsidRDefault="0073069E" w:rsidP="00486A7D">
            <w:pPr>
              <w:contextualSpacing/>
              <w:jc w:val="center"/>
              <w:rPr>
                <w:rFonts w:ascii="Arial" w:eastAsia="Times New Roman" w:hAnsi="Arial" w:cs="Arial"/>
                <w:color w:val="000000"/>
                <w:sz w:val="20"/>
                <w:szCs w:val="20"/>
              </w:rPr>
            </w:pPr>
            <w:r w:rsidRPr="00166772">
              <w:rPr>
                <w:rFonts w:ascii="Arial" w:eastAsia="Times New Roman" w:hAnsi="Arial" w:cs="Arial"/>
                <w:color w:val="000000"/>
                <w:sz w:val="20"/>
                <w:szCs w:val="20"/>
              </w:rPr>
              <w:t>Score &gt;75</w:t>
            </w:r>
            <w:r w:rsidRPr="00166772">
              <w:rPr>
                <w:rFonts w:ascii="Arial" w:eastAsia="Times New Roman" w:hAnsi="Arial" w:cs="Arial"/>
                <w:color w:val="000000"/>
                <w:sz w:val="20"/>
                <w:szCs w:val="20"/>
                <w:vertAlign w:val="superscript"/>
              </w:rPr>
              <w:t>th</w:t>
            </w:r>
            <w:r w:rsidRPr="00166772">
              <w:rPr>
                <w:rFonts w:ascii="Arial" w:eastAsia="Times New Roman" w:hAnsi="Arial" w:cs="Arial"/>
                <w:color w:val="000000"/>
                <w:sz w:val="20"/>
                <w:szCs w:val="20"/>
              </w:rPr>
              <w:t xml:space="preserve"> percentile </w:t>
            </w:r>
          </w:p>
        </w:tc>
        <w:tc>
          <w:tcPr>
            <w:tcW w:w="354" w:type="pct"/>
            <w:shd w:val="clear" w:color="auto" w:fill="auto"/>
            <w:noWrap/>
            <w:tcMar>
              <w:top w:w="85" w:type="dxa"/>
            </w:tcMar>
            <w:vAlign w:val="center"/>
          </w:tcPr>
          <w:p w14:paraId="1D0CBA22" w14:textId="77777777" w:rsidR="0073069E" w:rsidRPr="00166772" w:rsidRDefault="0073069E" w:rsidP="00486A7D">
            <w:pPr>
              <w:contextualSpacing/>
              <w:jc w:val="center"/>
              <w:rPr>
                <w:rFonts w:ascii="Arial" w:eastAsia="Times New Roman" w:hAnsi="Arial" w:cs="Arial"/>
                <w:color w:val="000000"/>
                <w:sz w:val="20"/>
                <w:szCs w:val="20"/>
              </w:rPr>
            </w:pPr>
            <w:r w:rsidRPr="00166772">
              <w:rPr>
                <w:rFonts w:ascii="Arial" w:eastAsia="Times New Roman" w:hAnsi="Arial" w:cs="Arial"/>
                <w:color w:val="000000"/>
                <w:sz w:val="20"/>
                <w:szCs w:val="20"/>
              </w:rPr>
              <w:t>420</w:t>
            </w:r>
          </w:p>
        </w:tc>
        <w:tc>
          <w:tcPr>
            <w:tcW w:w="442" w:type="pct"/>
            <w:shd w:val="clear" w:color="auto" w:fill="auto"/>
            <w:noWrap/>
            <w:tcMar>
              <w:top w:w="85" w:type="dxa"/>
            </w:tcMar>
            <w:vAlign w:val="center"/>
          </w:tcPr>
          <w:p w14:paraId="0C4D5C8F" w14:textId="77777777" w:rsidR="0073069E" w:rsidRPr="00166772" w:rsidRDefault="0073069E" w:rsidP="00486A7D">
            <w:pPr>
              <w:contextualSpacing/>
              <w:jc w:val="center"/>
              <w:rPr>
                <w:rFonts w:ascii="Arial" w:eastAsia="Times New Roman" w:hAnsi="Arial" w:cs="Arial"/>
                <w:color w:val="000000"/>
                <w:sz w:val="20"/>
                <w:szCs w:val="20"/>
              </w:rPr>
            </w:pPr>
            <w:r w:rsidRPr="00166772">
              <w:rPr>
                <w:rFonts w:ascii="Arial" w:eastAsia="Times New Roman" w:hAnsi="Arial" w:cs="Arial"/>
                <w:color w:val="000000"/>
                <w:sz w:val="20"/>
                <w:szCs w:val="20"/>
              </w:rPr>
              <w:t>46-63</w:t>
            </w:r>
          </w:p>
        </w:tc>
        <w:tc>
          <w:tcPr>
            <w:tcW w:w="359" w:type="pct"/>
            <w:shd w:val="clear" w:color="auto" w:fill="auto"/>
            <w:noWrap/>
            <w:tcMar>
              <w:top w:w="85" w:type="dxa"/>
            </w:tcMar>
            <w:vAlign w:val="center"/>
          </w:tcPr>
          <w:p w14:paraId="0EE481E4" w14:textId="77777777" w:rsidR="0073069E" w:rsidRPr="00166772" w:rsidRDefault="0073069E" w:rsidP="00486A7D">
            <w:pPr>
              <w:contextualSpacing/>
              <w:jc w:val="center"/>
              <w:rPr>
                <w:rFonts w:ascii="Arial" w:eastAsia="Times New Roman" w:hAnsi="Arial" w:cs="Arial"/>
                <w:color w:val="000000"/>
                <w:sz w:val="20"/>
                <w:szCs w:val="20"/>
              </w:rPr>
            </w:pPr>
            <w:r w:rsidRPr="00166772">
              <w:rPr>
                <w:rFonts w:ascii="Arial" w:eastAsia="Times New Roman" w:hAnsi="Arial" w:cs="Arial"/>
                <w:color w:val="000000"/>
                <w:sz w:val="20"/>
                <w:szCs w:val="20"/>
              </w:rPr>
              <w:t>F&amp;M</w:t>
            </w:r>
          </w:p>
        </w:tc>
        <w:tc>
          <w:tcPr>
            <w:tcW w:w="633" w:type="pct"/>
            <w:shd w:val="clear" w:color="auto" w:fill="auto"/>
            <w:noWrap/>
            <w:tcMar>
              <w:top w:w="85" w:type="dxa"/>
            </w:tcMar>
            <w:vAlign w:val="center"/>
          </w:tcPr>
          <w:p w14:paraId="6F57B42F" w14:textId="77777777" w:rsidR="0073069E" w:rsidRPr="00166772" w:rsidRDefault="0073069E" w:rsidP="00486A7D">
            <w:pPr>
              <w:contextualSpacing/>
              <w:jc w:val="center"/>
              <w:rPr>
                <w:rFonts w:ascii="Arial" w:eastAsia="Times New Roman" w:hAnsi="Arial" w:cs="Arial"/>
                <w:color w:val="000000"/>
                <w:sz w:val="20"/>
                <w:szCs w:val="20"/>
              </w:rPr>
            </w:pPr>
            <w:r w:rsidRPr="00166772">
              <w:rPr>
                <w:rFonts w:ascii="Arial" w:eastAsia="Times New Roman" w:hAnsi="Arial" w:cs="Arial"/>
                <w:color w:val="000000"/>
                <w:sz w:val="20"/>
                <w:szCs w:val="20"/>
              </w:rPr>
              <w:t>Not specified</w:t>
            </w:r>
          </w:p>
        </w:tc>
      </w:tr>
      <w:tr w:rsidR="0073069E" w:rsidRPr="00166772" w14:paraId="6BF9DA79" w14:textId="77777777" w:rsidTr="00486A7D">
        <w:trPr>
          <w:trHeight w:val="554"/>
        </w:trPr>
        <w:tc>
          <w:tcPr>
            <w:tcW w:w="677" w:type="pct"/>
            <w:shd w:val="clear" w:color="auto" w:fill="auto"/>
            <w:noWrap/>
            <w:tcMar>
              <w:top w:w="85" w:type="dxa"/>
            </w:tcMar>
            <w:vAlign w:val="center"/>
          </w:tcPr>
          <w:p w14:paraId="600FE794" w14:textId="77777777" w:rsidR="0073069E" w:rsidRPr="00166772" w:rsidRDefault="0073069E" w:rsidP="00486A7D">
            <w:pPr>
              <w:contextualSpacing/>
              <w:jc w:val="center"/>
              <w:rPr>
                <w:rFonts w:ascii="Arial" w:eastAsia="Times New Roman" w:hAnsi="Arial" w:cs="Arial"/>
                <w:color w:val="000000"/>
                <w:sz w:val="20"/>
                <w:szCs w:val="20"/>
              </w:rPr>
            </w:pPr>
            <w:r w:rsidRPr="00166772">
              <w:rPr>
                <w:rFonts w:ascii="Arial" w:eastAsia="Times New Roman" w:hAnsi="Arial" w:cs="Arial"/>
                <w:color w:val="000000"/>
                <w:sz w:val="20"/>
                <w:szCs w:val="20"/>
              </w:rPr>
              <w:t>Bara et al., 2009</w:t>
            </w:r>
            <w:r w:rsidR="00E06A82" w:rsidRPr="00166772">
              <w:rPr>
                <w:rFonts w:ascii="Arial" w:eastAsia="Times New Roman" w:hAnsi="Arial" w:cs="Arial"/>
                <w:color w:val="000000"/>
                <w:sz w:val="20"/>
                <w:szCs w:val="20"/>
              </w:rPr>
              <w:t xml:space="preserve"> </w:t>
            </w:r>
            <w:r w:rsidR="00E06A82" w:rsidRPr="00166772">
              <w:rPr>
                <w:rFonts w:ascii="Arial" w:eastAsia="Times New Roman" w:hAnsi="Arial" w:cs="Arial"/>
                <w:color w:val="000000"/>
                <w:sz w:val="20"/>
                <w:szCs w:val="20"/>
                <w:vertAlign w:val="superscript"/>
              </w:rPr>
              <w:t>15</w:t>
            </w:r>
          </w:p>
        </w:tc>
        <w:tc>
          <w:tcPr>
            <w:tcW w:w="351" w:type="pct"/>
            <w:vAlign w:val="center"/>
          </w:tcPr>
          <w:p w14:paraId="5D33F0BB" w14:textId="77777777" w:rsidR="0073069E" w:rsidRPr="00166772" w:rsidRDefault="0073069E" w:rsidP="00486A7D">
            <w:pPr>
              <w:jc w:val="center"/>
            </w:pPr>
            <w:r w:rsidRPr="00166772">
              <w:rPr>
                <w:rFonts w:ascii="Arial" w:eastAsia="Times New Roman" w:hAnsi="Arial" w:cs="Arial"/>
                <w:color w:val="000000"/>
                <w:sz w:val="20"/>
                <w:szCs w:val="20"/>
              </w:rPr>
              <w:t>Cohort study</w:t>
            </w:r>
          </w:p>
        </w:tc>
        <w:tc>
          <w:tcPr>
            <w:tcW w:w="399" w:type="pct"/>
            <w:vAlign w:val="center"/>
          </w:tcPr>
          <w:p w14:paraId="2CA71937" w14:textId="77777777" w:rsidR="0073069E" w:rsidRPr="00166772" w:rsidRDefault="0073069E" w:rsidP="00486A7D">
            <w:pPr>
              <w:contextualSpacing/>
              <w:jc w:val="center"/>
              <w:rPr>
                <w:rFonts w:ascii="Arial" w:eastAsia="Times New Roman" w:hAnsi="Arial" w:cs="Arial"/>
                <w:color w:val="000000"/>
                <w:sz w:val="20"/>
                <w:szCs w:val="20"/>
              </w:rPr>
            </w:pPr>
            <w:r w:rsidRPr="00166772">
              <w:rPr>
                <w:rFonts w:ascii="Arial" w:eastAsia="Times New Roman" w:hAnsi="Arial" w:cs="Arial"/>
                <w:color w:val="000000"/>
                <w:sz w:val="20"/>
                <w:szCs w:val="20"/>
              </w:rPr>
              <w:t>8 years</w:t>
            </w:r>
          </w:p>
        </w:tc>
        <w:tc>
          <w:tcPr>
            <w:tcW w:w="672" w:type="pct"/>
            <w:shd w:val="clear" w:color="auto" w:fill="auto"/>
            <w:noWrap/>
            <w:tcMar>
              <w:top w:w="85" w:type="dxa"/>
            </w:tcMar>
            <w:vAlign w:val="center"/>
          </w:tcPr>
          <w:p w14:paraId="217F204F" w14:textId="17F4D1D8" w:rsidR="0073069E" w:rsidRPr="00166772" w:rsidRDefault="00581E12" w:rsidP="00486A7D">
            <w:pPr>
              <w:jc w:val="center"/>
              <w:rPr>
                <w:rFonts w:ascii="Arial" w:eastAsia="Times New Roman" w:hAnsi="Arial" w:cs="Arial"/>
                <w:sz w:val="20"/>
                <w:szCs w:val="20"/>
              </w:rPr>
            </w:pPr>
            <w:r w:rsidRPr="00166772">
              <w:rPr>
                <w:rFonts w:ascii="Arial" w:eastAsia="Times New Roman" w:hAnsi="Arial" w:cs="Arial"/>
                <w:sz w:val="20"/>
                <w:szCs w:val="20"/>
              </w:rPr>
              <w:t>G</w:t>
            </w:r>
            <w:r w:rsidR="0073069E" w:rsidRPr="00166772">
              <w:rPr>
                <w:rFonts w:ascii="Arial" w:eastAsia="Times New Roman" w:hAnsi="Arial" w:cs="Arial"/>
                <w:sz w:val="20"/>
                <w:szCs w:val="20"/>
              </w:rPr>
              <w:t>eneral</w:t>
            </w:r>
            <w:r w:rsidR="005121B8" w:rsidRPr="00166772">
              <w:rPr>
                <w:rFonts w:ascii="Arial" w:eastAsia="Times New Roman" w:hAnsi="Arial" w:cs="Arial"/>
                <w:sz w:val="20"/>
                <w:szCs w:val="20"/>
              </w:rPr>
              <w:t xml:space="preserve"> poor </w:t>
            </w:r>
            <w:r w:rsidR="0073069E" w:rsidRPr="00166772">
              <w:rPr>
                <w:rFonts w:ascii="Arial" w:eastAsia="Times New Roman" w:hAnsi="Arial" w:cs="Arial"/>
                <w:sz w:val="20"/>
                <w:szCs w:val="20"/>
              </w:rPr>
              <w:t>mental health</w:t>
            </w:r>
            <w:r w:rsidR="005121B8" w:rsidRPr="00166772">
              <w:rPr>
                <w:rFonts w:ascii="Arial" w:eastAsia="Times New Roman" w:hAnsi="Arial" w:cs="Arial"/>
                <w:sz w:val="20"/>
                <w:szCs w:val="20"/>
              </w:rPr>
              <w:t xml:space="preserve">  symptoms</w:t>
            </w:r>
          </w:p>
        </w:tc>
        <w:tc>
          <w:tcPr>
            <w:tcW w:w="490" w:type="pct"/>
            <w:vAlign w:val="center"/>
          </w:tcPr>
          <w:p w14:paraId="25073B8F" w14:textId="77777777" w:rsidR="0073069E" w:rsidRPr="00166772" w:rsidRDefault="0073069E" w:rsidP="00486A7D">
            <w:pPr>
              <w:jc w:val="center"/>
              <w:rPr>
                <w:rFonts w:ascii="Arial" w:eastAsia="Times New Roman" w:hAnsi="Arial" w:cs="Arial"/>
                <w:color w:val="000000"/>
                <w:sz w:val="20"/>
                <w:szCs w:val="20"/>
              </w:rPr>
            </w:pPr>
            <w:r w:rsidRPr="00166772">
              <w:rPr>
                <w:rFonts w:ascii="Arial" w:eastAsia="Times New Roman" w:hAnsi="Arial" w:cs="Arial"/>
                <w:color w:val="000000"/>
                <w:sz w:val="20"/>
                <w:szCs w:val="20"/>
              </w:rPr>
              <w:t>GHQ-12</w:t>
            </w:r>
          </w:p>
        </w:tc>
        <w:tc>
          <w:tcPr>
            <w:tcW w:w="623" w:type="pct"/>
            <w:vAlign w:val="center"/>
          </w:tcPr>
          <w:p w14:paraId="2184B405" w14:textId="77777777" w:rsidR="0073069E" w:rsidRPr="00166772" w:rsidRDefault="0073069E" w:rsidP="00486A7D">
            <w:pPr>
              <w:jc w:val="center"/>
              <w:rPr>
                <w:rFonts w:ascii="Arial" w:eastAsia="Times New Roman" w:hAnsi="Arial" w:cs="Arial"/>
                <w:color w:val="000000"/>
                <w:sz w:val="20"/>
                <w:szCs w:val="20"/>
              </w:rPr>
            </w:pPr>
            <w:r w:rsidRPr="00166772">
              <w:rPr>
                <w:rFonts w:ascii="Arial" w:eastAsia="Times New Roman" w:hAnsi="Arial" w:cs="Arial"/>
                <w:color w:val="000000"/>
                <w:sz w:val="20"/>
                <w:szCs w:val="20"/>
              </w:rPr>
              <w:t>Score &gt;4</w:t>
            </w:r>
          </w:p>
        </w:tc>
        <w:tc>
          <w:tcPr>
            <w:tcW w:w="354" w:type="pct"/>
            <w:shd w:val="clear" w:color="auto" w:fill="auto"/>
            <w:noWrap/>
            <w:tcMar>
              <w:top w:w="85" w:type="dxa"/>
            </w:tcMar>
            <w:vAlign w:val="center"/>
          </w:tcPr>
          <w:p w14:paraId="7AFAD9D6" w14:textId="77777777" w:rsidR="0073069E" w:rsidRPr="00166772" w:rsidRDefault="0073069E" w:rsidP="00486A7D">
            <w:pPr>
              <w:contextualSpacing/>
              <w:jc w:val="center"/>
              <w:rPr>
                <w:rFonts w:ascii="Arial" w:eastAsia="Times New Roman" w:hAnsi="Arial" w:cs="Arial"/>
                <w:color w:val="000000"/>
                <w:sz w:val="20"/>
                <w:szCs w:val="20"/>
              </w:rPr>
            </w:pPr>
            <w:r w:rsidRPr="00166772">
              <w:rPr>
                <w:rFonts w:ascii="Arial" w:eastAsia="Times New Roman" w:hAnsi="Arial" w:cs="Arial"/>
                <w:color w:val="000000"/>
                <w:sz w:val="20"/>
                <w:szCs w:val="20"/>
              </w:rPr>
              <w:t>9765</w:t>
            </w:r>
          </w:p>
        </w:tc>
        <w:tc>
          <w:tcPr>
            <w:tcW w:w="442" w:type="pct"/>
            <w:shd w:val="clear" w:color="auto" w:fill="auto"/>
            <w:noWrap/>
            <w:tcMar>
              <w:top w:w="85" w:type="dxa"/>
            </w:tcMar>
            <w:vAlign w:val="center"/>
          </w:tcPr>
          <w:p w14:paraId="0483E586" w14:textId="77777777" w:rsidR="0073069E" w:rsidRPr="00166772" w:rsidRDefault="0073069E" w:rsidP="00486A7D">
            <w:pPr>
              <w:contextualSpacing/>
              <w:jc w:val="center"/>
              <w:rPr>
                <w:rFonts w:ascii="Arial" w:eastAsia="Times New Roman" w:hAnsi="Arial" w:cs="Arial"/>
                <w:color w:val="000000"/>
                <w:sz w:val="20"/>
                <w:szCs w:val="20"/>
              </w:rPr>
            </w:pPr>
            <w:r w:rsidRPr="00166772">
              <w:rPr>
                <w:rFonts w:ascii="Arial" w:eastAsia="Times New Roman" w:hAnsi="Arial" w:cs="Arial"/>
                <w:color w:val="000000"/>
                <w:sz w:val="20"/>
                <w:szCs w:val="20"/>
              </w:rPr>
              <w:t>21-73</w:t>
            </w:r>
          </w:p>
        </w:tc>
        <w:tc>
          <w:tcPr>
            <w:tcW w:w="359" w:type="pct"/>
            <w:shd w:val="clear" w:color="auto" w:fill="auto"/>
            <w:noWrap/>
            <w:tcMar>
              <w:top w:w="85" w:type="dxa"/>
            </w:tcMar>
            <w:vAlign w:val="center"/>
          </w:tcPr>
          <w:p w14:paraId="5309060B" w14:textId="77777777" w:rsidR="0073069E" w:rsidRPr="00166772" w:rsidRDefault="0073069E" w:rsidP="00486A7D">
            <w:pPr>
              <w:contextualSpacing/>
              <w:jc w:val="center"/>
              <w:rPr>
                <w:rFonts w:ascii="Arial" w:eastAsia="Times New Roman" w:hAnsi="Arial" w:cs="Arial"/>
                <w:color w:val="000000"/>
                <w:sz w:val="20"/>
                <w:szCs w:val="20"/>
              </w:rPr>
            </w:pPr>
            <w:r w:rsidRPr="00166772">
              <w:rPr>
                <w:rFonts w:ascii="Arial" w:eastAsia="Times New Roman" w:hAnsi="Arial" w:cs="Arial"/>
                <w:color w:val="000000"/>
                <w:sz w:val="20"/>
                <w:szCs w:val="20"/>
              </w:rPr>
              <w:t>F&amp;M</w:t>
            </w:r>
          </w:p>
        </w:tc>
        <w:tc>
          <w:tcPr>
            <w:tcW w:w="633" w:type="pct"/>
            <w:shd w:val="clear" w:color="auto" w:fill="auto"/>
            <w:noWrap/>
            <w:tcMar>
              <w:top w:w="85" w:type="dxa"/>
            </w:tcMar>
            <w:vAlign w:val="center"/>
          </w:tcPr>
          <w:p w14:paraId="1C39AEF6" w14:textId="77777777" w:rsidR="0073069E" w:rsidRPr="00166772" w:rsidRDefault="0073069E" w:rsidP="00486A7D">
            <w:pPr>
              <w:contextualSpacing/>
              <w:jc w:val="center"/>
              <w:rPr>
                <w:rFonts w:ascii="Arial" w:eastAsia="Times New Roman" w:hAnsi="Arial" w:cs="Arial"/>
                <w:color w:val="000000"/>
                <w:sz w:val="20"/>
                <w:szCs w:val="20"/>
              </w:rPr>
            </w:pPr>
            <w:r w:rsidRPr="00166772">
              <w:rPr>
                <w:rFonts w:ascii="Arial" w:eastAsia="Times New Roman" w:hAnsi="Arial" w:cs="Arial"/>
                <w:color w:val="000000"/>
                <w:sz w:val="20"/>
                <w:szCs w:val="20"/>
              </w:rPr>
              <w:t>Not specified</w:t>
            </w:r>
          </w:p>
        </w:tc>
      </w:tr>
      <w:tr w:rsidR="0073069E" w:rsidRPr="00166772" w14:paraId="46A974D9" w14:textId="77777777" w:rsidTr="00486A7D">
        <w:trPr>
          <w:trHeight w:val="575"/>
        </w:trPr>
        <w:tc>
          <w:tcPr>
            <w:tcW w:w="677" w:type="pct"/>
            <w:shd w:val="clear" w:color="auto" w:fill="auto"/>
            <w:noWrap/>
            <w:tcMar>
              <w:top w:w="85" w:type="dxa"/>
            </w:tcMar>
            <w:vAlign w:val="center"/>
          </w:tcPr>
          <w:p w14:paraId="6B3F3C41" w14:textId="15AA4A0F" w:rsidR="0073069E" w:rsidRPr="00166772" w:rsidRDefault="0073069E" w:rsidP="00227511">
            <w:pPr>
              <w:contextualSpacing/>
              <w:jc w:val="center"/>
              <w:rPr>
                <w:rFonts w:ascii="Arial" w:eastAsia="Times New Roman" w:hAnsi="Arial" w:cs="Arial"/>
                <w:color w:val="000000"/>
                <w:sz w:val="20"/>
                <w:szCs w:val="20"/>
              </w:rPr>
            </w:pPr>
            <w:r w:rsidRPr="00166772">
              <w:rPr>
                <w:rFonts w:ascii="Arial" w:eastAsia="Times New Roman" w:hAnsi="Arial" w:cs="Arial"/>
                <w:color w:val="000000"/>
                <w:sz w:val="20"/>
                <w:szCs w:val="20"/>
              </w:rPr>
              <w:t>De Raeve et al., 2009</w:t>
            </w:r>
            <w:r w:rsidR="00E06A82" w:rsidRPr="00166772">
              <w:rPr>
                <w:rFonts w:ascii="Arial" w:eastAsia="Times New Roman" w:hAnsi="Arial" w:cs="Arial"/>
                <w:color w:val="000000"/>
                <w:sz w:val="20"/>
                <w:szCs w:val="20"/>
              </w:rPr>
              <w:t xml:space="preserve"> </w:t>
            </w:r>
            <w:r w:rsidR="00E06A82" w:rsidRPr="00166772">
              <w:rPr>
                <w:rFonts w:ascii="Arial" w:eastAsia="Times New Roman" w:hAnsi="Arial" w:cs="Arial"/>
                <w:color w:val="000000"/>
                <w:sz w:val="20"/>
                <w:szCs w:val="20"/>
                <w:vertAlign w:val="superscript"/>
              </w:rPr>
              <w:t>2</w:t>
            </w:r>
            <w:r w:rsidR="00227511" w:rsidRPr="00166772">
              <w:rPr>
                <w:rFonts w:ascii="Arial" w:eastAsia="Times New Roman" w:hAnsi="Arial" w:cs="Arial"/>
                <w:color w:val="000000"/>
                <w:sz w:val="20"/>
                <w:szCs w:val="20"/>
                <w:vertAlign w:val="superscript"/>
              </w:rPr>
              <w:t>8</w:t>
            </w:r>
          </w:p>
        </w:tc>
        <w:tc>
          <w:tcPr>
            <w:tcW w:w="351" w:type="pct"/>
            <w:vAlign w:val="center"/>
          </w:tcPr>
          <w:p w14:paraId="73F783D2" w14:textId="77777777" w:rsidR="0073069E" w:rsidRPr="00166772" w:rsidRDefault="0073069E" w:rsidP="00486A7D">
            <w:pPr>
              <w:contextualSpacing/>
              <w:jc w:val="center"/>
              <w:rPr>
                <w:rFonts w:ascii="Arial" w:eastAsia="Times New Roman" w:hAnsi="Arial" w:cs="Arial"/>
                <w:color w:val="000000"/>
                <w:sz w:val="20"/>
                <w:szCs w:val="20"/>
              </w:rPr>
            </w:pPr>
            <w:r w:rsidRPr="00166772">
              <w:rPr>
                <w:rFonts w:ascii="Arial" w:eastAsia="Times New Roman" w:hAnsi="Arial" w:cs="Arial"/>
                <w:color w:val="000000"/>
                <w:sz w:val="20"/>
                <w:szCs w:val="20"/>
              </w:rPr>
              <w:t>Cohort study</w:t>
            </w:r>
          </w:p>
        </w:tc>
        <w:tc>
          <w:tcPr>
            <w:tcW w:w="399" w:type="pct"/>
            <w:vAlign w:val="center"/>
          </w:tcPr>
          <w:p w14:paraId="7988F304" w14:textId="77777777" w:rsidR="0073069E" w:rsidRPr="00166772" w:rsidRDefault="0073069E" w:rsidP="00486A7D">
            <w:pPr>
              <w:contextualSpacing/>
              <w:jc w:val="center"/>
              <w:rPr>
                <w:rFonts w:ascii="Arial" w:eastAsia="Times New Roman" w:hAnsi="Arial" w:cs="Arial"/>
                <w:color w:val="000000"/>
                <w:sz w:val="20"/>
                <w:szCs w:val="20"/>
              </w:rPr>
            </w:pPr>
            <w:r w:rsidRPr="00166772">
              <w:rPr>
                <w:rFonts w:ascii="Arial" w:eastAsia="Times New Roman" w:hAnsi="Arial" w:cs="Arial"/>
                <w:color w:val="000000"/>
                <w:sz w:val="20"/>
                <w:szCs w:val="20"/>
              </w:rPr>
              <w:t>2 years</w:t>
            </w:r>
          </w:p>
        </w:tc>
        <w:tc>
          <w:tcPr>
            <w:tcW w:w="672" w:type="pct"/>
            <w:shd w:val="clear" w:color="auto" w:fill="auto"/>
            <w:noWrap/>
            <w:tcMar>
              <w:top w:w="85" w:type="dxa"/>
            </w:tcMar>
            <w:vAlign w:val="center"/>
          </w:tcPr>
          <w:p w14:paraId="15DFD7AB" w14:textId="00BCC292" w:rsidR="0073069E" w:rsidRPr="00166772" w:rsidRDefault="00581E12" w:rsidP="00581E12">
            <w:pPr>
              <w:jc w:val="center"/>
              <w:rPr>
                <w:rFonts w:ascii="Arial" w:eastAsia="Times New Roman" w:hAnsi="Arial" w:cs="Arial"/>
                <w:sz w:val="20"/>
                <w:szCs w:val="20"/>
              </w:rPr>
            </w:pPr>
            <w:r w:rsidRPr="00166772">
              <w:rPr>
                <w:rFonts w:ascii="Arial" w:eastAsia="Times New Roman" w:hAnsi="Arial" w:cs="Arial"/>
                <w:sz w:val="20"/>
                <w:szCs w:val="20"/>
              </w:rPr>
              <w:t>G</w:t>
            </w:r>
            <w:r w:rsidR="0073069E" w:rsidRPr="00166772">
              <w:rPr>
                <w:rFonts w:ascii="Arial" w:eastAsia="Times New Roman" w:hAnsi="Arial" w:cs="Arial"/>
                <w:sz w:val="20"/>
                <w:szCs w:val="20"/>
              </w:rPr>
              <w:t xml:space="preserve">eneral </w:t>
            </w:r>
            <w:r w:rsidR="005121B8" w:rsidRPr="00166772">
              <w:rPr>
                <w:rFonts w:ascii="Arial" w:eastAsia="Times New Roman" w:hAnsi="Arial" w:cs="Arial"/>
                <w:sz w:val="20"/>
                <w:szCs w:val="20"/>
              </w:rPr>
              <w:t xml:space="preserve">poor </w:t>
            </w:r>
            <w:r w:rsidR="0073069E" w:rsidRPr="00166772">
              <w:rPr>
                <w:rFonts w:ascii="Arial" w:eastAsia="Times New Roman" w:hAnsi="Arial" w:cs="Arial"/>
                <w:sz w:val="20"/>
                <w:szCs w:val="20"/>
              </w:rPr>
              <w:t>mental health</w:t>
            </w:r>
            <w:r w:rsidR="005121B8" w:rsidRPr="00166772">
              <w:rPr>
                <w:rFonts w:ascii="Arial" w:eastAsia="Times New Roman" w:hAnsi="Arial" w:cs="Arial"/>
                <w:sz w:val="20"/>
                <w:szCs w:val="20"/>
              </w:rPr>
              <w:t xml:space="preserve">  symptoms</w:t>
            </w:r>
          </w:p>
        </w:tc>
        <w:tc>
          <w:tcPr>
            <w:tcW w:w="490" w:type="pct"/>
            <w:vAlign w:val="center"/>
          </w:tcPr>
          <w:p w14:paraId="47616E4C" w14:textId="77777777" w:rsidR="0073069E" w:rsidRPr="00166772" w:rsidRDefault="0073069E" w:rsidP="00486A7D">
            <w:pPr>
              <w:jc w:val="center"/>
              <w:rPr>
                <w:rFonts w:ascii="Arial" w:eastAsia="Times New Roman" w:hAnsi="Arial" w:cs="Arial"/>
                <w:color w:val="000000"/>
                <w:sz w:val="20"/>
                <w:szCs w:val="20"/>
              </w:rPr>
            </w:pPr>
            <w:r w:rsidRPr="00166772">
              <w:rPr>
                <w:rFonts w:ascii="Arial" w:eastAsia="Times New Roman" w:hAnsi="Arial" w:cs="Arial"/>
                <w:color w:val="000000"/>
                <w:sz w:val="20"/>
                <w:szCs w:val="20"/>
              </w:rPr>
              <w:t>GHQ-12</w:t>
            </w:r>
          </w:p>
        </w:tc>
        <w:tc>
          <w:tcPr>
            <w:tcW w:w="623" w:type="pct"/>
            <w:vAlign w:val="center"/>
          </w:tcPr>
          <w:p w14:paraId="7FD135C5" w14:textId="77777777" w:rsidR="0073069E" w:rsidRPr="00166772" w:rsidRDefault="0073069E" w:rsidP="00486A7D">
            <w:pPr>
              <w:contextualSpacing/>
              <w:jc w:val="center"/>
              <w:rPr>
                <w:rFonts w:ascii="Arial" w:eastAsia="Times New Roman" w:hAnsi="Arial" w:cs="Arial"/>
                <w:color w:val="000000"/>
                <w:sz w:val="20"/>
                <w:szCs w:val="20"/>
              </w:rPr>
            </w:pPr>
            <w:r w:rsidRPr="00166772">
              <w:rPr>
                <w:rFonts w:ascii="Arial" w:eastAsia="Times New Roman" w:hAnsi="Arial" w:cs="Arial"/>
                <w:color w:val="000000"/>
                <w:sz w:val="20"/>
                <w:szCs w:val="20"/>
              </w:rPr>
              <w:t>Score &gt;4</w:t>
            </w:r>
          </w:p>
        </w:tc>
        <w:tc>
          <w:tcPr>
            <w:tcW w:w="354" w:type="pct"/>
            <w:shd w:val="clear" w:color="auto" w:fill="auto"/>
            <w:noWrap/>
            <w:tcMar>
              <w:top w:w="85" w:type="dxa"/>
            </w:tcMar>
            <w:vAlign w:val="center"/>
          </w:tcPr>
          <w:p w14:paraId="1808B071" w14:textId="77777777" w:rsidR="0073069E" w:rsidRPr="00166772" w:rsidRDefault="0073069E" w:rsidP="00486A7D">
            <w:pPr>
              <w:contextualSpacing/>
              <w:jc w:val="center"/>
              <w:rPr>
                <w:rFonts w:ascii="Arial" w:eastAsia="Times New Roman" w:hAnsi="Arial" w:cs="Arial"/>
                <w:color w:val="000000"/>
                <w:sz w:val="20"/>
                <w:szCs w:val="20"/>
              </w:rPr>
            </w:pPr>
            <w:r w:rsidRPr="00166772">
              <w:rPr>
                <w:rFonts w:ascii="Arial" w:eastAsia="Times New Roman" w:hAnsi="Arial" w:cs="Arial"/>
                <w:color w:val="000000"/>
                <w:sz w:val="20"/>
                <w:szCs w:val="20"/>
              </w:rPr>
              <w:t>6828</w:t>
            </w:r>
          </w:p>
        </w:tc>
        <w:tc>
          <w:tcPr>
            <w:tcW w:w="442" w:type="pct"/>
            <w:shd w:val="clear" w:color="auto" w:fill="auto"/>
            <w:noWrap/>
            <w:tcMar>
              <w:top w:w="85" w:type="dxa"/>
            </w:tcMar>
            <w:vAlign w:val="center"/>
          </w:tcPr>
          <w:p w14:paraId="2065ABDB" w14:textId="77777777" w:rsidR="0073069E" w:rsidRPr="00166772" w:rsidRDefault="0073069E" w:rsidP="00486A7D">
            <w:pPr>
              <w:contextualSpacing/>
              <w:jc w:val="center"/>
              <w:rPr>
                <w:rFonts w:ascii="Arial" w:eastAsia="Times New Roman" w:hAnsi="Arial" w:cs="Arial"/>
                <w:color w:val="000000"/>
                <w:sz w:val="20"/>
                <w:szCs w:val="20"/>
              </w:rPr>
            </w:pPr>
            <w:r w:rsidRPr="00166772">
              <w:rPr>
                <w:rFonts w:ascii="Arial" w:eastAsia="Times New Roman" w:hAnsi="Arial" w:cs="Arial"/>
                <w:color w:val="000000"/>
                <w:sz w:val="20"/>
                <w:szCs w:val="20"/>
              </w:rPr>
              <w:t>41.72 (8.70)</w:t>
            </w:r>
          </w:p>
        </w:tc>
        <w:tc>
          <w:tcPr>
            <w:tcW w:w="359" w:type="pct"/>
            <w:shd w:val="clear" w:color="auto" w:fill="auto"/>
            <w:noWrap/>
            <w:tcMar>
              <w:top w:w="85" w:type="dxa"/>
            </w:tcMar>
            <w:vAlign w:val="center"/>
          </w:tcPr>
          <w:p w14:paraId="777EAB00" w14:textId="77777777" w:rsidR="0073069E" w:rsidRPr="00166772" w:rsidRDefault="0073069E" w:rsidP="00486A7D">
            <w:pPr>
              <w:contextualSpacing/>
              <w:jc w:val="center"/>
              <w:rPr>
                <w:rFonts w:ascii="Arial" w:eastAsia="Times New Roman" w:hAnsi="Arial" w:cs="Arial"/>
                <w:color w:val="000000"/>
                <w:sz w:val="20"/>
                <w:szCs w:val="20"/>
              </w:rPr>
            </w:pPr>
            <w:r w:rsidRPr="00166772">
              <w:rPr>
                <w:rFonts w:ascii="Arial" w:eastAsia="Times New Roman" w:hAnsi="Arial" w:cs="Arial"/>
                <w:color w:val="000000"/>
                <w:sz w:val="20"/>
                <w:szCs w:val="20"/>
              </w:rPr>
              <w:t>F&amp;M</w:t>
            </w:r>
          </w:p>
        </w:tc>
        <w:tc>
          <w:tcPr>
            <w:tcW w:w="633" w:type="pct"/>
            <w:shd w:val="clear" w:color="auto" w:fill="auto"/>
            <w:noWrap/>
            <w:tcMar>
              <w:top w:w="85" w:type="dxa"/>
            </w:tcMar>
            <w:vAlign w:val="center"/>
          </w:tcPr>
          <w:p w14:paraId="517312EA" w14:textId="77777777" w:rsidR="0073069E" w:rsidRPr="00166772" w:rsidRDefault="0073069E" w:rsidP="00486A7D">
            <w:pPr>
              <w:contextualSpacing/>
              <w:jc w:val="center"/>
              <w:rPr>
                <w:rFonts w:ascii="Arial" w:eastAsia="Times New Roman" w:hAnsi="Arial" w:cs="Arial"/>
                <w:color w:val="000000"/>
                <w:sz w:val="20"/>
                <w:szCs w:val="20"/>
              </w:rPr>
            </w:pPr>
            <w:r w:rsidRPr="00166772">
              <w:rPr>
                <w:rFonts w:ascii="Arial" w:eastAsia="Times New Roman" w:hAnsi="Arial" w:cs="Arial"/>
                <w:color w:val="000000"/>
                <w:sz w:val="20"/>
                <w:szCs w:val="20"/>
              </w:rPr>
              <w:t>Not specified</w:t>
            </w:r>
          </w:p>
        </w:tc>
      </w:tr>
      <w:tr w:rsidR="0073069E" w:rsidRPr="00166772" w14:paraId="7F962782" w14:textId="77777777" w:rsidTr="00486A7D">
        <w:trPr>
          <w:trHeight w:val="463"/>
        </w:trPr>
        <w:tc>
          <w:tcPr>
            <w:tcW w:w="677" w:type="pct"/>
            <w:shd w:val="clear" w:color="auto" w:fill="auto"/>
            <w:noWrap/>
            <w:tcMar>
              <w:top w:w="85" w:type="dxa"/>
            </w:tcMar>
            <w:vAlign w:val="center"/>
          </w:tcPr>
          <w:p w14:paraId="6DF47A80" w14:textId="71B0EA2C" w:rsidR="0073069E" w:rsidRPr="00166772" w:rsidRDefault="0073069E" w:rsidP="00227511">
            <w:pPr>
              <w:contextualSpacing/>
              <w:jc w:val="center"/>
              <w:rPr>
                <w:rFonts w:ascii="Arial" w:eastAsia="Times New Roman" w:hAnsi="Arial" w:cs="Arial"/>
                <w:color w:val="000000"/>
                <w:sz w:val="20"/>
                <w:szCs w:val="20"/>
              </w:rPr>
            </w:pPr>
            <w:r w:rsidRPr="00166772">
              <w:rPr>
                <w:rFonts w:ascii="Arial" w:eastAsia="Times New Roman" w:hAnsi="Arial" w:cs="Arial"/>
                <w:color w:val="000000"/>
                <w:sz w:val="20"/>
                <w:szCs w:val="20"/>
              </w:rPr>
              <w:t>Driesen et al., 2011</w:t>
            </w:r>
            <w:r w:rsidR="00486A7D" w:rsidRPr="00166772">
              <w:rPr>
                <w:rFonts w:ascii="Arial" w:eastAsia="Times New Roman" w:hAnsi="Arial" w:cs="Arial"/>
                <w:color w:val="000000"/>
                <w:sz w:val="20"/>
                <w:szCs w:val="20"/>
              </w:rPr>
              <w:t xml:space="preserve"> </w:t>
            </w:r>
            <w:r w:rsidR="00486A7D" w:rsidRPr="00166772">
              <w:rPr>
                <w:rFonts w:ascii="Arial" w:eastAsia="Times New Roman" w:hAnsi="Arial" w:cs="Arial"/>
                <w:color w:val="000000"/>
                <w:sz w:val="20"/>
                <w:szCs w:val="20"/>
                <w:vertAlign w:val="superscript"/>
              </w:rPr>
              <w:t>2</w:t>
            </w:r>
            <w:r w:rsidR="00227511" w:rsidRPr="00166772">
              <w:rPr>
                <w:rFonts w:ascii="Arial" w:eastAsia="Times New Roman" w:hAnsi="Arial" w:cs="Arial"/>
                <w:color w:val="000000"/>
                <w:sz w:val="20"/>
                <w:szCs w:val="20"/>
                <w:vertAlign w:val="superscript"/>
              </w:rPr>
              <w:t>7</w:t>
            </w:r>
          </w:p>
        </w:tc>
        <w:tc>
          <w:tcPr>
            <w:tcW w:w="351" w:type="pct"/>
            <w:vAlign w:val="center"/>
          </w:tcPr>
          <w:p w14:paraId="570C8040" w14:textId="77777777" w:rsidR="0073069E" w:rsidRPr="00166772" w:rsidRDefault="0073069E" w:rsidP="00486A7D">
            <w:pPr>
              <w:contextualSpacing/>
              <w:jc w:val="center"/>
              <w:rPr>
                <w:rFonts w:ascii="Arial" w:eastAsia="Times New Roman" w:hAnsi="Arial" w:cs="Arial"/>
                <w:color w:val="000000"/>
                <w:sz w:val="20"/>
                <w:szCs w:val="20"/>
              </w:rPr>
            </w:pPr>
            <w:r w:rsidRPr="00166772">
              <w:rPr>
                <w:rFonts w:ascii="Arial" w:eastAsia="Times New Roman" w:hAnsi="Arial" w:cs="Arial"/>
                <w:color w:val="000000"/>
                <w:sz w:val="20"/>
                <w:szCs w:val="20"/>
              </w:rPr>
              <w:t>Cohort study</w:t>
            </w:r>
          </w:p>
        </w:tc>
        <w:tc>
          <w:tcPr>
            <w:tcW w:w="399" w:type="pct"/>
            <w:vAlign w:val="center"/>
          </w:tcPr>
          <w:p w14:paraId="15A10BEB" w14:textId="77777777" w:rsidR="0073069E" w:rsidRPr="00166772" w:rsidRDefault="0073069E" w:rsidP="00486A7D">
            <w:pPr>
              <w:contextualSpacing/>
              <w:jc w:val="center"/>
              <w:rPr>
                <w:rFonts w:ascii="Arial" w:eastAsia="Times New Roman" w:hAnsi="Arial" w:cs="Arial"/>
                <w:color w:val="000000"/>
                <w:sz w:val="20"/>
                <w:szCs w:val="20"/>
              </w:rPr>
            </w:pPr>
            <w:r w:rsidRPr="00166772">
              <w:rPr>
                <w:rFonts w:ascii="Arial" w:eastAsia="Times New Roman" w:hAnsi="Arial" w:cs="Arial"/>
                <w:color w:val="000000"/>
                <w:sz w:val="20"/>
                <w:szCs w:val="20"/>
              </w:rPr>
              <w:t>10 years</w:t>
            </w:r>
          </w:p>
        </w:tc>
        <w:tc>
          <w:tcPr>
            <w:tcW w:w="672" w:type="pct"/>
            <w:shd w:val="clear" w:color="auto" w:fill="auto"/>
            <w:noWrap/>
            <w:tcMar>
              <w:top w:w="85" w:type="dxa"/>
            </w:tcMar>
            <w:vAlign w:val="center"/>
          </w:tcPr>
          <w:p w14:paraId="5E52E2BA" w14:textId="77777777" w:rsidR="0073069E" w:rsidRPr="00166772" w:rsidRDefault="0073069E" w:rsidP="00486A7D">
            <w:pPr>
              <w:jc w:val="center"/>
              <w:rPr>
                <w:rFonts w:ascii="Arial" w:eastAsia="Times New Roman" w:hAnsi="Arial" w:cs="Arial"/>
                <w:sz w:val="20"/>
                <w:szCs w:val="20"/>
              </w:rPr>
            </w:pPr>
            <w:r w:rsidRPr="00166772">
              <w:rPr>
                <w:rFonts w:ascii="Arial" w:eastAsia="Times New Roman" w:hAnsi="Arial" w:cs="Arial"/>
                <w:sz w:val="20"/>
                <w:szCs w:val="20"/>
              </w:rPr>
              <w:t>Depressive symptoms</w:t>
            </w:r>
          </w:p>
        </w:tc>
        <w:tc>
          <w:tcPr>
            <w:tcW w:w="490" w:type="pct"/>
            <w:vAlign w:val="center"/>
          </w:tcPr>
          <w:p w14:paraId="2CD0E7CB" w14:textId="77777777" w:rsidR="0073069E" w:rsidRPr="00166772" w:rsidRDefault="0073069E" w:rsidP="00486A7D">
            <w:pPr>
              <w:contextualSpacing/>
              <w:jc w:val="center"/>
              <w:rPr>
                <w:rFonts w:ascii="Arial" w:eastAsia="Times New Roman" w:hAnsi="Arial" w:cs="Arial"/>
                <w:color w:val="000000"/>
                <w:sz w:val="20"/>
                <w:szCs w:val="20"/>
              </w:rPr>
            </w:pPr>
            <w:r w:rsidRPr="00166772">
              <w:rPr>
                <w:rFonts w:ascii="Arial" w:eastAsia="Times New Roman" w:hAnsi="Arial" w:cs="Arial"/>
                <w:color w:val="000000"/>
                <w:sz w:val="20"/>
                <w:szCs w:val="20"/>
              </w:rPr>
              <w:t>Self-report HPQ checklist</w:t>
            </w:r>
          </w:p>
        </w:tc>
        <w:tc>
          <w:tcPr>
            <w:tcW w:w="623" w:type="pct"/>
            <w:vAlign w:val="center"/>
          </w:tcPr>
          <w:p w14:paraId="655911A3" w14:textId="77777777" w:rsidR="0073069E" w:rsidRPr="00166772" w:rsidRDefault="0073069E" w:rsidP="00486A7D">
            <w:pPr>
              <w:contextualSpacing/>
              <w:jc w:val="center"/>
              <w:rPr>
                <w:rFonts w:ascii="Arial" w:eastAsia="Times New Roman" w:hAnsi="Arial" w:cs="Arial"/>
                <w:color w:val="000000"/>
                <w:sz w:val="20"/>
                <w:szCs w:val="20"/>
              </w:rPr>
            </w:pPr>
            <w:r w:rsidRPr="00166772">
              <w:rPr>
                <w:rFonts w:ascii="Arial" w:eastAsia="Times New Roman" w:hAnsi="Arial" w:cs="Arial"/>
                <w:color w:val="000000"/>
                <w:sz w:val="20"/>
                <w:szCs w:val="20"/>
              </w:rPr>
              <w:t xml:space="preserve">Current/past treatment of depressive disorder </w:t>
            </w:r>
          </w:p>
        </w:tc>
        <w:tc>
          <w:tcPr>
            <w:tcW w:w="354" w:type="pct"/>
            <w:shd w:val="clear" w:color="auto" w:fill="auto"/>
            <w:noWrap/>
            <w:tcMar>
              <w:top w:w="85" w:type="dxa"/>
            </w:tcMar>
            <w:vAlign w:val="center"/>
          </w:tcPr>
          <w:p w14:paraId="25069194" w14:textId="77777777" w:rsidR="0073069E" w:rsidRPr="00166772" w:rsidRDefault="0073069E" w:rsidP="00486A7D">
            <w:pPr>
              <w:contextualSpacing/>
              <w:jc w:val="center"/>
              <w:rPr>
                <w:rFonts w:ascii="Arial" w:eastAsia="Times New Roman" w:hAnsi="Arial" w:cs="Arial"/>
                <w:color w:val="000000"/>
                <w:sz w:val="20"/>
                <w:szCs w:val="20"/>
              </w:rPr>
            </w:pPr>
            <w:r w:rsidRPr="00166772">
              <w:rPr>
                <w:rFonts w:ascii="Arial" w:eastAsia="Times New Roman" w:hAnsi="Arial" w:cs="Arial"/>
                <w:color w:val="000000"/>
                <w:sz w:val="20"/>
                <w:szCs w:val="20"/>
              </w:rPr>
              <w:t>8178</w:t>
            </w:r>
          </w:p>
        </w:tc>
        <w:tc>
          <w:tcPr>
            <w:tcW w:w="442" w:type="pct"/>
            <w:shd w:val="clear" w:color="auto" w:fill="auto"/>
            <w:noWrap/>
            <w:tcMar>
              <w:top w:w="85" w:type="dxa"/>
            </w:tcMar>
            <w:vAlign w:val="center"/>
          </w:tcPr>
          <w:p w14:paraId="080B9BCF" w14:textId="77777777" w:rsidR="0073069E" w:rsidRPr="00166772" w:rsidRDefault="0073069E" w:rsidP="00486A7D">
            <w:pPr>
              <w:contextualSpacing/>
              <w:jc w:val="center"/>
              <w:rPr>
                <w:rFonts w:ascii="Arial" w:eastAsia="Times New Roman" w:hAnsi="Arial" w:cs="Arial"/>
                <w:color w:val="000000"/>
                <w:sz w:val="20"/>
                <w:szCs w:val="20"/>
              </w:rPr>
            </w:pPr>
            <w:r w:rsidRPr="00166772">
              <w:rPr>
                <w:rFonts w:ascii="Arial" w:eastAsia="Times New Roman" w:hAnsi="Arial" w:cs="Arial"/>
                <w:color w:val="000000"/>
                <w:sz w:val="20"/>
                <w:szCs w:val="20"/>
              </w:rPr>
              <w:t>40.1(8.0)</w:t>
            </w:r>
          </w:p>
        </w:tc>
        <w:tc>
          <w:tcPr>
            <w:tcW w:w="359" w:type="pct"/>
            <w:shd w:val="clear" w:color="auto" w:fill="auto"/>
            <w:noWrap/>
            <w:tcMar>
              <w:top w:w="85" w:type="dxa"/>
            </w:tcMar>
            <w:vAlign w:val="center"/>
          </w:tcPr>
          <w:p w14:paraId="4064FACA" w14:textId="77777777" w:rsidR="0073069E" w:rsidRPr="00166772" w:rsidRDefault="0073069E" w:rsidP="00486A7D">
            <w:pPr>
              <w:contextualSpacing/>
              <w:jc w:val="center"/>
              <w:rPr>
                <w:rFonts w:ascii="Arial" w:eastAsia="Times New Roman" w:hAnsi="Arial" w:cs="Arial"/>
                <w:color w:val="000000"/>
                <w:sz w:val="20"/>
                <w:szCs w:val="20"/>
              </w:rPr>
            </w:pPr>
            <w:r w:rsidRPr="00166772">
              <w:rPr>
                <w:rFonts w:ascii="Arial" w:eastAsia="Times New Roman" w:hAnsi="Arial" w:cs="Arial"/>
                <w:color w:val="000000"/>
                <w:sz w:val="20"/>
                <w:szCs w:val="20"/>
              </w:rPr>
              <w:t>F&amp;M</w:t>
            </w:r>
          </w:p>
        </w:tc>
        <w:tc>
          <w:tcPr>
            <w:tcW w:w="633" w:type="pct"/>
            <w:shd w:val="clear" w:color="auto" w:fill="auto"/>
            <w:noWrap/>
            <w:tcMar>
              <w:top w:w="85" w:type="dxa"/>
            </w:tcMar>
            <w:vAlign w:val="center"/>
          </w:tcPr>
          <w:p w14:paraId="7CF5DFC3" w14:textId="77777777" w:rsidR="0073069E" w:rsidRPr="00166772" w:rsidRDefault="0073069E" w:rsidP="00486A7D">
            <w:pPr>
              <w:contextualSpacing/>
              <w:jc w:val="center"/>
              <w:rPr>
                <w:rFonts w:ascii="Arial" w:eastAsia="Times New Roman" w:hAnsi="Arial" w:cs="Arial"/>
                <w:color w:val="000000"/>
                <w:sz w:val="20"/>
                <w:szCs w:val="20"/>
              </w:rPr>
            </w:pPr>
            <w:r w:rsidRPr="00166772">
              <w:rPr>
                <w:rFonts w:ascii="Arial" w:eastAsia="Times New Roman" w:hAnsi="Arial" w:cs="Arial"/>
                <w:color w:val="000000"/>
                <w:sz w:val="20"/>
                <w:szCs w:val="20"/>
              </w:rPr>
              <w:t>Not specified</w:t>
            </w:r>
          </w:p>
        </w:tc>
      </w:tr>
      <w:tr w:rsidR="0073069E" w:rsidRPr="00166772" w14:paraId="411615DC" w14:textId="77777777" w:rsidTr="00486A7D">
        <w:trPr>
          <w:trHeight w:val="463"/>
        </w:trPr>
        <w:tc>
          <w:tcPr>
            <w:tcW w:w="677" w:type="pct"/>
            <w:shd w:val="clear" w:color="auto" w:fill="auto"/>
            <w:noWrap/>
            <w:tcMar>
              <w:top w:w="85" w:type="dxa"/>
            </w:tcMar>
            <w:vAlign w:val="center"/>
          </w:tcPr>
          <w:p w14:paraId="3E76A72E" w14:textId="77777777" w:rsidR="0073069E" w:rsidRPr="00166772" w:rsidRDefault="0073069E" w:rsidP="00486A7D">
            <w:pPr>
              <w:contextualSpacing/>
              <w:jc w:val="center"/>
              <w:rPr>
                <w:rFonts w:ascii="Arial" w:eastAsia="Times New Roman" w:hAnsi="Arial" w:cs="Arial"/>
                <w:color w:val="000000"/>
                <w:sz w:val="20"/>
                <w:szCs w:val="20"/>
              </w:rPr>
            </w:pPr>
            <w:r w:rsidRPr="00166772">
              <w:rPr>
                <w:rFonts w:ascii="Arial" w:eastAsia="Times New Roman" w:hAnsi="Arial" w:cs="Arial"/>
                <w:color w:val="000000"/>
                <w:sz w:val="20"/>
                <w:szCs w:val="20"/>
              </w:rPr>
              <w:t>Lin et al., 2012</w:t>
            </w:r>
            <w:r w:rsidR="00486A7D" w:rsidRPr="00166772">
              <w:rPr>
                <w:rFonts w:ascii="Arial" w:eastAsia="Times New Roman" w:hAnsi="Arial" w:cs="Arial"/>
                <w:color w:val="000000"/>
                <w:sz w:val="20"/>
                <w:szCs w:val="20"/>
              </w:rPr>
              <w:t xml:space="preserve"> </w:t>
            </w:r>
            <w:r w:rsidR="00486A7D" w:rsidRPr="00166772">
              <w:rPr>
                <w:rFonts w:ascii="Arial" w:eastAsia="Times New Roman" w:hAnsi="Arial" w:cs="Arial"/>
                <w:color w:val="000000"/>
                <w:sz w:val="20"/>
                <w:szCs w:val="20"/>
                <w:vertAlign w:val="superscript"/>
              </w:rPr>
              <w:t>14</w:t>
            </w:r>
          </w:p>
        </w:tc>
        <w:tc>
          <w:tcPr>
            <w:tcW w:w="351" w:type="pct"/>
            <w:vAlign w:val="center"/>
          </w:tcPr>
          <w:p w14:paraId="68F85A6A" w14:textId="77777777" w:rsidR="0073069E" w:rsidRPr="00166772" w:rsidRDefault="0073069E" w:rsidP="00486A7D">
            <w:pPr>
              <w:contextualSpacing/>
              <w:jc w:val="center"/>
              <w:rPr>
                <w:rFonts w:ascii="Arial" w:eastAsia="Times New Roman" w:hAnsi="Arial" w:cs="Arial"/>
                <w:color w:val="000000"/>
                <w:sz w:val="20"/>
                <w:szCs w:val="20"/>
              </w:rPr>
            </w:pPr>
            <w:r w:rsidRPr="00166772">
              <w:rPr>
                <w:rFonts w:ascii="Arial" w:eastAsia="Times New Roman" w:hAnsi="Arial" w:cs="Arial"/>
                <w:color w:val="000000"/>
                <w:sz w:val="20"/>
                <w:szCs w:val="20"/>
              </w:rPr>
              <w:t>Cohort study</w:t>
            </w:r>
          </w:p>
        </w:tc>
        <w:tc>
          <w:tcPr>
            <w:tcW w:w="399" w:type="pct"/>
            <w:vAlign w:val="center"/>
          </w:tcPr>
          <w:p w14:paraId="1AB17205" w14:textId="77777777" w:rsidR="0073069E" w:rsidRPr="00166772" w:rsidRDefault="0073069E" w:rsidP="00486A7D">
            <w:pPr>
              <w:contextualSpacing/>
              <w:jc w:val="center"/>
              <w:rPr>
                <w:rFonts w:ascii="Arial" w:eastAsia="Times New Roman" w:hAnsi="Arial" w:cs="Arial"/>
                <w:color w:val="000000"/>
                <w:sz w:val="20"/>
                <w:szCs w:val="20"/>
              </w:rPr>
            </w:pPr>
            <w:r w:rsidRPr="00166772">
              <w:rPr>
                <w:rFonts w:ascii="Arial" w:eastAsia="Times New Roman" w:hAnsi="Arial" w:cs="Arial"/>
                <w:color w:val="000000"/>
                <w:sz w:val="20"/>
                <w:szCs w:val="20"/>
              </w:rPr>
              <w:t>1 year</w:t>
            </w:r>
          </w:p>
        </w:tc>
        <w:tc>
          <w:tcPr>
            <w:tcW w:w="672" w:type="pct"/>
            <w:shd w:val="clear" w:color="auto" w:fill="auto"/>
            <w:noWrap/>
            <w:tcMar>
              <w:top w:w="85" w:type="dxa"/>
            </w:tcMar>
            <w:vAlign w:val="center"/>
          </w:tcPr>
          <w:p w14:paraId="246FF7AB" w14:textId="68AF546D" w:rsidR="0073069E" w:rsidRPr="00166772" w:rsidRDefault="00581E12" w:rsidP="00486A7D">
            <w:pPr>
              <w:jc w:val="center"/>
              <w:rPr>
                <w:rFonts w:ascii="Arial" w:eastAsia="Times New Roman" w:hAnsi="Arial" w:cs="Arial"/>
                <w:sz w:val="20"/>
                <w:szCs w:val="20"/>
              </w:rPr>
            </w:pPr>
            <w:r w:rsidRPr="00166772">
              <w:rPr>
                <w:rFonts w:ascii="Arial" w:eastAsia="Times New Roman" w:hAnsi="Arial" w:cs="Arial"/>
                <w:sz w:val="20"/>
                <w:szCs w:val="20"/>
              </w:rPr>
              <w:t xml:space="preserve"> General poor mental health  symptoms </w:t>
            </w:r>
          </w:p>
        </w:tc>
        <w:tc>
          <w:tcPr>
            <w:tcW w:w="490" w:type="pct"/>
            <w:vAlign w:val="center"/>
          </w:tcPr>
          <w:p w14:paraId="767D2A64" w14:textId="77777777" w:rsidR="0073069E" w:rsidRPr="00166772" w:rsidRDefault="0073069E" w:rsidP="00486A7D">
            <w:pPr>
              <w:contextualSpacing/>
              <w:jc w:val="center"/>
              <w:rPr>
                <w:rFonts w:ascii="Arial" w:eastAsia="Times New Roman" w:hAnsi="Arial" w:cs="Arial"/>
                <w:color w:val="000000"/>
                <w:sz w:val="20"/>
                <w:szCs w:val="20"/>
              </w:rPr>
            </w:pPr>
            <w:r w:rsidRPr="00166772">
              <w:rPr>
                <w:rFonts w:ascii="Arial" w:eastAsia="Times New Roman" w:hAnsi="Arial" w:cs="Arial"/>
                <w:color w:val="000000"/>
                <w:sz w:val="20"/>
                <w:szCs w:val="20"/>
              </w:rPr>
              <w:t>GHQ-12</w:t>
            </w:r>
          </w:p>
        </w:tc>
        <w:tc>
          <w:tcPr>
            <w:tcW w:w="623" w:type="pct"/>
            <w:vAlign w:val="center"/>
          </w:tcPr>
          <w:p w14:paraId="3AD04546" w14:textId="77777777" w:rsidR="0073069E" w:rsidRPr="00166772" w:rsidRDefault="0073069E" w:rsidP="00486A7D">
            <w:pPr>
              <w:contextualSpacing/>
              <w:jc w:val="center"/>
              <w:rPr>
                <w:rFonts w:ascii="Arial" w:eastAsia="Times New Roman" w:hAnsi="Arial" w:cs="Arial"/>
                <w:color w:val="000000"/>
                <w:sz w:val="20"/>
                <w:szCs w:val="20"/>
              </w:rPr>
            </w:pPr>
            <w:r w:rsidRPr="00166772">
              <w:rPr>
                <w:rFonts w:ascii="Arial" w:eastAsia="Times New Roman" w:hAnsi="Arial" w:cs="Arial"/>
                <w:color w:val="000000"/>
                <w:sz w:val="20"/>
                <w:szCs w:val="20"/>
              </w:rPr>
              <w:t>Score &gt;4</w:t>
            </w:r>
          </w:p>
        </w:tc>
        <w:tc>
          <w:tcPr>
            <w:tcW w:w="354" w:type="pct"/>
            <w:shd w:val="clear" w:color="auto" w:fill="auto"/>
            <w:noWrap/>
            <w:tcMar>
              <w:top w:w="85" w:type="dxa"/>
            </w:tcMar>
            <w:vAlign w:val="center"/>
          </w:tcPr>
          <w:p w14:paraId="62FE6D83" w14:textId="77777777" w:rsidR="0073069E" w:rsidRPr="00166772" w:rsidRDefault="0073069E" w:rsidP="00486A7D">
            <w:pPr>
              <w:contextualSpacing/>
              <w:jc w:val="center"/>
              <w:rPr>
                <w:rFonts w:ascii="Arial" w:eastAsia="Times New Roman" w:hAnsi="Arial" w:cs="Arial"/>
                <w:color w:val="000000"/>
                <w:sz w:val="20"/>
                <w:szCs w:val="20"/>
              </w:rPr>
            </w:pPr>
            <w:r w:rsidRPr="00166772">
              <w:rPr>
                <w:rFonts w:ascii="Arial" w:eastAsia="Times New Roman" w:hAnsi="Arial" w:cs="Arial"/>
                <w:color w:val="000000"/>
                <w:sz w:val="20"/>
                <w:szCs w:val="20"/>
              </w:rPr>
              <w:t>1360</w:t>
            </w:r>
          </w:p>
        </w:tc>
        <w:tc>
          <w:tcPr>
            <w:tcW w:w="442" w:type="pct"/>
            <w:shd w:val="clear" w:color="auto" w:fill="auto"/>
            <w:noWrap/>
            <w:tcMar>
              <w:top w:w="85" w:type="dxa"/>
            </w:tcMar>
            <w:vAlign w:val="center"/>
          </w:tcPr>
          <w:p w14:paraId="55BC27AF" w14:textId="77777777" w:rsidR="0073069E" w:rsidRPr="00166772" w:rsidRDefault="0073069E" w:rsidP="00486A7D">
            <w:pPr>
              <w:contextualSpacing/>
              <w:jc w:val="center"/>
              <w:rPr>
                <w:rFonts w:ascii="Arial" w:eastAsia="Times New Roman" w:hAnsi="Arial" w:cs="Arial"/>
                <w:color w:val="000000"/>
                <w:sz w:val="20"/>
                <w:szCs w:val="20"/>
              </w:rPr>
            </w:pPr>
            <w:r w:rsidRPr="00166772">
              <w:rPr>
                <w:rFonts w:ascii="Arial" w:eastAsia="Times New Roman" w:hAnsi="Arial" w:cs="Arial"/>
                <w:color w:val="000000"/>
                <w:sz w:val="20"/>
                <w:szCs w:val="20"/>
              </w:rPr>
              <w:t>29.9 (20-45)</w:t>
            </w:r>
          </w:p>
        </w:tc>
        <w:tc>
          <w:tcPr>
            <w:tcW w:w="359" w:type="pct"/>
            <w:shd w:val="clear" w:color="auto" w:fill="auto"/>
            <w:noWrap/>
            <w:tcMar>
              <w:top w:w="85" w:type="dxa"/>
            </w:tcMar>
            <w:vAlign w:val="center"/>
          </w:tcPr>
          <w:p w14:paraId="2E4B5066" w14:textId="77777777" w:rsidR="0073069E" w:rsidRPr="00166772" w:rsidRDefault="0073069E" w:rsidP="00486A7D">
            <w:pPr>
              <w:contextualSpacing/>
              <w:jc w:val="center"/>
              <w:rPr>
                <w:rFonts w:ascii="Arial" w:eastAsia="Times New Roman" w:hAnsi="Arial" w:cs="Arial"/>
                <w:color w:val="000000"/>
                <w:sz w:val="20"/>
                <w:szCs w:val="20"/>
              </w:rPr>
            </w:pPr>
            <w:r w:rsidRPr="00166772">
              <w:rPr>
                <w:rFonts w:ascii="Arial" w:eastAsia="Times New Roman" w:hAnsi="Arial" w:cs="Arial"/>
                <w:color w:val="000000"/>
                <w:sz w:val="20"/>
                <w:szCs w:val="20"/>
              </w:rPr>
              <w:t>F</w:t>
            </w:r>
          </w:p>
        </w:tc>
        <w:tc>
          <w:tcPr>
            <w:tcW w:w="633" w:type="pct"/>
            <w:shd w:val="clear" w:color="auto" w:fill="auto"/>
            <w:noWrap/>
            <w:tcMar>
              <w:top w:w="85" w:type="dxa"/>
            </w:tcMar>
            <w:vAlign w:val="center"/>
          </w:tcPr>
          <w:p w14:paraId="1A581B25" w14:textId="77777777" w:rsidR="0073069E" w:rsidRPr="00166772" w:rsidRDefault="0073069E" w:rsidP="00486A7D">
            <w:pPr>
              <w:contextualSpacing/>
              <w:jc w:val="center"/>
              <w:rPr>
                <w:rFonts w:ascii="Arial" w:eastAsia="Times New Roman" w:hAnsi="Arial" w:cs="Arial"/>
                <w:color w:val="000000"/>
                <w:sz w:val="20"/>
                <w:szCs w:val="20"/>
              </w:rPr>
            </w:pPr>
            <w:r w:rsidRPr="00166772">
              <w:rPr>
                <w:rFonts w:ascii="Arial" w:eastAsia="Times New Roman" w:hAnsi="Arial" w:cs="Arial"/>
                <w:color w:val="000000"/>
                <w:sz w:val="20"/>
                <w:szCs w:val="20"/>
              </w:rPr>
              <w:t>Nurses</w:t>
            </w:r>
          </w:p>
        </w:tc>
      </w:tr>
      <w:tr w:rsidR="0073069E" w:rsidRPr="00166772" w14:paraId="73999A50" w14:textId="77777777" w:rsidTr="00486A7D">
        <w:trPr>
          <w:trHeight w:val="506"/>
        </w:trPr>
        <w:tc>
          <w:tcPr>
            <w:tcW w:w="677" w:type="pct"/>
            <w:tcBorders>
              <w:bottom w:val="single" w:sz="4" w:space="0" w:color="auto"/>
            </w:tcBorders>
            <w:shd w:val="clear" w:color="auto" w:fill="auto"/>
            <w:noWrap/>
            <w:tcMar>
              <w:top w:w="85" w:type="dxa"/>
            </w:tcMar>
            <w:vAlign w:val="center"/>
          </w:tcPr>
          <w:p w14:paraId="07517457" w14:textId="77777777" w:rsidR="0073069E" w:rsidRPr="00166772" w:rsidRDefault="0073069E" w:rsidP="00486A7D">
            <w:pPr>
              <w:contextualSpacing/>
              <w:jc w:val="center"/>
              <w:rPr>
                <w:rFonts w:ascii="Arial" w:eastAsia="Times New Roman" w:hAnsi="Arial" w:cs="Arial"/>
                <w:color w:val="000000"/>
                <w:sz w:val="20"/>
                <w:szCs w:val="20"/>
              </w:rPr>
            </w:pPr>
            <w:r w:rsidRPr="00166772">
              <w:rPr>
                <w:rFonts w:ascii="Arial" w:eastAsia="Times New Roman" w:hAnsi="Arial" w:cs="Arial"/>
                <w:color w:val="000000"/>
                <w:sz w:val="20"/>
                <w:szCs w:val="20"/>
              </w:rPr>
              <w:t>Berthelsen et al., 2015</w:t>
            </w:r>
            <w:r w:rsidR="00486A7D" w:rsidRPr="00166772">
              <w:rPr>
                <w:rFonts w:ascii="Arial" w:eastAsia="Times New Roman" w:hAnsi="Arial" w:cs="Arial"/>
                <w:color w:val="000000"/>
                <w:sz w:val="20"/>
                <w:szCs w:val="20"/>
              </w:rPr>
              <w:t xml:space="preserve"> </w:t>
            </w:r>
            <w:r w:rsidR="00486A7D" w:rsidRPr="00166772">
              <w:rPr>
                <w:rFonts w:ascii="Arial" w:eastAsia="Times New Roman" w:hAnsi="Arial" w:cs="Arial"/>
                <w:b/>
                <w:color w:val="000000"/>
                <w:sz w:val="20"/>
                <w:szCs w:val="20"/>
                <w:vertAlign w:val="superscript"/>
              </w:rPr>
              <w:t>7</w:t>
            </w:r>
          </w:p>
        </w:tc>
        <w:tc>
          <w:tcPr>
            <w:tcW w:w="351" w:type="pct"/>
            <w:tcBorders>
              <w:bottom w:val="single" w:sz="4" w:space="0" w:color="auto"/>
            </w:tcBorders>
            <w:vAlign w:val="center"/>
          </w:tcPr>
          <w:p w14:paraId="5AE8D1CB" w14:textId="77777777" w:rsidR="0073069E" w:rsidRPr="00166772" w:rsidRDefault="0073069E" w:rsidP="00486A7D">
            <w:pPr>
              <w:contextualSpacing/>
              <w:jc w:val="center"/>
              <w:rPr>
                <w:rFonts w:ascii="Arial" w:eastAsia="Times New Roman" w:hAnsi="Arial" w:cs="Arial"/>
                <w:color w:val="000000"/>
                <w:sz w:val="20"/>
                <w:szCs w:val="20"/>
              </w:rPr>
            </w:pPr>
            <w:r w:rsidRPr="00166772">
              <w:rPr>
                <w:rFonts w:ascii="Arial" w:eastAsia="Times New Roman" w:hAnsi="Arial" w:cs="Arial"/>
                <w:color w:val="000000"/>
                <w:sz w:val="20"/>
                <w:szCs w:val="20"/>
              </w:rPr>
              <w:t>Cohort study</w:t>
            </w:r>
          </w:p>
        </w:tc>
        <w:tc>
          <w:tcPr>
            <w:tcW w:w="399" w:type="pct"/>
            <w:tcBorders>
              <w:bottom w:val="single" w:sz="4" w:space="0" w:color="auto"/>
            </w:tcBorders>
            <w:vAlign w:val="center"/>
          </w:tcPr>
          <w:p w14:paraId="30C54EAF" w14:textId="77777777" w:rsidR="0073069E" w:rsidRPr="00166772" w:rsidRDefault="0073069E" w:rsidP="00486A7D">
            <w:pPr>
              <w:contextualSpacing/>
              <w:jc w:val="center"/>
              <w:rPr>
                <w:rFonts w:ascii="Arial" w:eastAsia="Times New Roman" w:hAnsi="Arial" w:cs="Arial"/>
                <w:color w:val="000000"/>
                <w:sz w:val="20"/>
                <w:szCs w:val="20"/>
              </w:rPr>
            </w:pPr>
            <w:r w:rsidRPr="00166772">
              <w:rPr>
                <w:rFonts w:ascii="Arial" w:eastAsia="Times New Roman" w:hAnsi="Arial" w:cs="Arial"/>
                <w:color w:val="000000"/>
                <w:sz w:val="20"/>
                <w:szCs w:val="20"/>
              </w:rPr>
              <w:t>1 year</w:t>
            </w:r>
          </w:p>
        </w:tc>
        <w:tc>
          <w:tcPr>
            <w:tcW w:w="672" w:type="pct"/>
            <w:tcBorders>
              <w:bottom w:val="single" w:sz="4" w:space="0" w:color="auto"/>
            </w:tcBorders>
            <w:shd w:val="clear" w:color="auto" w:fill="auto"/>
            <w:noWrap/>
            <w:tcMar>
              <w:top w:w="85" w:type="dxa"/>
            </w:tcMar>
            <w:vAlign w:val="center"/>
          </w:tcPr>
          <w:p w14:paraId="1C6865AB" w14:textId="77777777" w:rsidR="0073069E" w:rsidRPr="00166772" w:rsidRDefault="0073069E" w:rsidP="00486A7D">
            <w:pPr>
              <w:jc w:val="center"/>
              <w:rPr>
                <w:rFonts w:ascii="Arial" w:eastAsia="Times New Roman" w:hAnsi="Arial" w:cs="Arial"/>
                <w:sz w:val="20"/>
                <w:szCs w:val="20"/>
              </w:rPr>
            </w:pPr>
            <w:r w:rsidRPr="00166772">
              <w:rPr>
                <w:rFonts w:ascii="Arial" w:eastAsia="Times New Roman" w:hAnsi="Arial" w:cs="Arial"/>
                <w:sz w:val="20"/>
                <w:szCs w:val="20"/>
              </w:rPr>
              <w:t>Anxiety and depressive symptoms</w:t>
            </w:r>
          </w:p>
        </w:tc>
        <w:tc>
          <w:tcPr>
            <w:tcW w:w="490" w:type="pct"/>
            <w:tcBorders>
              <w:bottom w:val="single" w:sz="4" w:space="0" w:color="auto"/>
            </w:tcBorders>
            <w:vAlign w:val="center"/>
          </w:tcPr>
          <w:p w14:paraId="6C111FA5" w14:textId="77777777" w:rsidR="0073069E" w:rsidRPr="00166772" w:rsidRDefault="0073069E" w:rsidP="00486A7D">
            <w:pPr>
              <w:contextualSpacing/>
              <w:jc w:val="center"/>
              <w:rPr>
                <w:rFonts w:ascii="Arial" w:eastAsia="Times New Roman" w:hAnsi="Arial" w:cs="Arial"/>
                <w:color w:val="000000"/>
                <w:sz w:val="20"/>
                <w:szCs w:val="20"/>
              </w:rPr>
            </w:pPr>
            <w:r w:rsidRPr="00166772">
              <w:rPr>
                <w:rFonts w:ascii="Arial" w:eastAsia="Times New Roman" w:hAnsi="Arial" w:cs="Arial"/>
                <w:color w:val="000000"/>
                <w:sz w:val="20"/>
                <w:szCs w:val="20"/>
              </w:rPr>
              <w:t>HADS-14</w:t>
            </w:r>
          </w:p>
        </w:tc>
        <w:tc>
          <w:tcPr>
            <w:tcW w:w="623" w:type="pct"/>
            <w:tcBorders>
              <w:bottom w:val="single" w:sz="4" w:space="0" w:color="auto"/>
            </w:tcBorders>
            <w:vAlign w:val="center"/>
          </w:tcPr>
          <w:p w14:paraId="67F7E491" w14:textId="77777777" w:rsidR="0073069E" w:rsidRPr="00166772" w:rsidRDefault="0073069E" w:rsidP="00486A7D">
            <w:pPr>
              <w:contextualSpacing/>
              <w:jc w:val="center"/>
              <w:rPr>
                <w:rFonts w:ascii="Arial" w:eastAsia="Times New Roman" w:hAnsi="Arial" w:cs="Arial"/>
                <w:color w:val="000000"/>
                <w:sz w:val="20"/>
                <w:szCs w:val="20"/>
              </w:rPr>
            </w:pPr>
            <w:r w:rsidRPr="00166772">
              <w:rPr>
                <w:rFonts w:ascii="Arial" w:eastAsia="Times New Roman" w:hAnsi="Arial" w:cs="Arial"/>
                <w:color w:val="000000"/>
                <w:sz w:val="20"/>
                <w:szCs w:val="20"/>
              </w:rPr>
              <w:t>Score &gt;8 in respective scales</w:t>
            </w:r>
          </w:p>
        </w:tc>
        <w:tc>
          <w:tcPr>
            <w:tcW w:w="354" w:type="pct"/>
            <w:tcBorders>
              <w:bottom w:val="single" w:sz="4" w:space="0" w:color="auto"/>
            </w:tcBorders>
            <w:shd w:val="clear" w:color="auto" w:fill="auto"/>
            <w:noWrap/>
            <w:tcMar>
              <w:top w:w="85" w:type="dxa"/>
            </w:tcMar>
            <w:vAlign w:val="center"/>
          </w:tcPr>
          <w:p w14:paraId="2C08709C" w14:textId="77777777" w:rsidR="0073069E" w:rsidRPr="00166772" w:rsidRDefault="0073069E" w:rsidP="00486A7D">
            <w:pPr>
              <w:contextualSpacing/>
              <w:jc w:val="center"/>
              <w:rPr>
                <w:rFonts w:ascii="Arial" w:eastAsia="Times New Roman" w:hAnsi="Arial" w:cs="Arial"/>
                <w:color w:val="000000"/>
                <w:sz w:val="20"/>
                <w:szCs w:val="20"/>
              </w:rPr>
            </w:pPr>
            <w:r w:rsidRPr="00166772">
              <w:rPr>
                <w:rFonts w:ascii="Arial" w:eastAsia="Times New Roman" w:hAnsi="Arial" w:cs="Arial"/>
                <w:color w:val="000000"/>
                <w:sz w:val="20"/>
                <w:szCs w:val="20"/>
              </w:rPr>
              <w:t>1582</w:t>
            </w:r>
          </w:p>
        </w:tc>
        <w:tc>
          <w:tcPr>
            <w:tcW w:w="442" w:type="pct"/>
            <w:tcBorders>
              <w:bottom w:val="single" w:sz="4" w:space="0" w:color="auto"/>
            </w:tcBorders>
            <w:shd w:val="clear" w:color="auto" w:fill="auto"/>
            <w:noWrap/>
            <w:tcMar>
              <w:top w:w="85" w:type="dxa"/>
            </w:tcMar>
            <w:vAlign w:val="center"/>
          </w:tcPr>
          <w:p w14:paraId="5AD4D3A8" w14:textId="77777777" w:rsidR="0073069E" w:rsidRPr="00166772" w:rsidRDefault="0073069E" w:rsidP="00486A7D">
            <w:pPr>
              <w:contextualSpacing/>
              <w:jc w:val="center"/>
              <w:rPr>
                <w:rFonts w:ascii="Arial" w:eastAsia="Times New Roman" w:hAnsi="Arial" w:cs="Arial"/>
                <w:color w:val="000000"/>
                <w:sz w:val="20"/>
                <w:szCs w:val="20"/>
              </w:rPr>
            </w:pPr>
            <w:r w:rsidRPr="00166772">
              <w:rPr>
                <w:rFonts w:ascii="Arial" w:eastAsia="Times New Roman" w:hAnsi="Arial" w:cs="Arial"/>
                <w:color w:val="000000"/>
                <w:sz w:val="20"/>
                <w:szCs w:val="20"/>
              </w:rPr>
              <w:t>30 (21-60)</w:t>
            </w:r>
          </w:p>
        </w:tc>
        <w:tc>
          <w:tcPr>
            <w:tcW w:w="359" w:type="pct"/>
            <w:tcBorders>
              <w:bottom w:val="single" w:sz="4" w:space="0" w:color="auto"/>
            </w:tcBorders>
            <w:shd w:val="clear" w:color="auto" w:fill="auto"/>
            <w:noWrap/>
            <w:tcMar>
              <w:top w:w="85" w:type="dxa"/>
            </w:tcMar>
            <w:vAlign w:val="center"/>
          </w:tcPr>
          <w:p w14:paraId="31C8BCB5" w14:textId="77777777" w:rsidR="0073069E" w:rsidRPr="00166772" w:rsidRDefault="0073069E" w:rsidP="00486A7D">
            <w:pPr>
              <w:contextualSpacing/>
              <w:jc w:val="center"/>
              <w:rPr>
                <w:rFonts w:ascii="Arial" w:eastAsia="Times New Roman" w:hAnsi="Arial" w:cs="Arial"/>
                <w:color w:val="000000"/>
                <w:sz w:val="20"/>
                <w:szCs w:val="20"/>
              </w:rPr>
            </w:pPr>
            <w:r w:rsidRPr="00166772">
              <w:rPr>
                <w:rFonts w:ascii="Arial" w:eastAsia="Times New Roman" w:hAnsi="Arial" w:cs="Arial"/>
                <w:color w:val="000000"/>
                <w:sz w:val="20"/>
                <w:szCs w:val="20"/>
              </w:rPr>
              <w:t>F&amp;M</w:t>
            </w:r>
          </w:p>
        </w:tc>
        <w:tc>
          <w:tcPr>
            <w:tcW w:w="633" w:type="pct"/>
            <w:tcBorders>
              <w:bottom w:val="single" w:sz="4" w:space="0" w:color="auto"/>
            </w:tcBorders>
            <w:shd w:val="clear" w:color="auto" w:fill="auto"/>
            <w:noWrap/>
            <w:tcMar>
              <w:top w:w="85" w:type="dxa"/>
            </w:tcMar>
            <w:vAlign w:val="center"/>
          </w:tcPr>
          <w:p w14:paraId="7CFC3C13" w14:textId="77777777" w:rsidR="0073069E" w:rsidRPr="00166772" w:rsidRDefault="0073069E" w:rsidP="00486A7D">
            <w:pPr>
              <w:contextualSpacing/>
              <w:jc w:val="center"/>
              <w:rPr>
                <w:rFonts w:ascii="Arial" w:eastAsia="Times New Roman" w:hAnsi="Arial" w:cs="Arial"/>
                <w:color w:val="000000"/>
                <w:sz w:val="20"/>
                <w:szCs w:val="20"/>
              </w:rPr>
            </w:pPr>
            <w:r w:rsidRPr="00166772">
              <w:rPr>
                <w:rFonts w:ascii="Arial" w:eastAsia="Times New Roman" w:hAnsi="Arial" w:cs="Arial"/>
                <w:color w:val="000000"/>
                <w:sz w:val="20"/>
                <w:szCs w:val="20"/>
              </w:rPr>
              <w:t>Nurses</w:t>
            </w:r>
          </w:p>
        </w:tc>
      </w:tr>
    </w:tbl>
    <w:p w14:paraId="66C1E12D" w14:textId="157F723B" w:rsidR="0073069E" w:rsidRPr="00166772" w:rsidRDefault="0073069E" w:rsidP="005E3605">
      <w:pPr>
        <w:widowControl w:val="0"/>
        <w:tabs>
          <w:tab w:val="left" w:pos="220"/>
          <w:tab w:val="left" w:pos="720"/>
        </w:tabs>
        <w:autoSpaceDE w:val="0"/>
        <w:autoSpaceDN w:val="0"/>
        <w:adjustRightInd w:val="0"/>
        <w:spacing w:before="120" w:line="480" w:lineRule="auto"/>
        <w:jc w:val="both"/>
        <w:rPr>
          <w:rFonts w:ascii="Arial" w:hAnsi="Arial" w:cs="Arial"/>
          <w:b/>
          <w:i/>
          <w:color w:val="262626"/>
          <w:sz w:val="20"/>
          <w:szCs w:val="20"/>
        </w:rPr>
        <w:sectPr w:rsidR="0073069E" w:rsidRPr="00166772" w:rsidSect="005E3605">
          <w:pgSz w:w="16840" w:h="11900" w:orient="landscape"/>
          <w:pgMar w:top="1134" w:right="1134" w:bottom="1021" w:left="1134" w:header="708" w:footer="708" w:gutter="0"/>
          <w:cols w:space="708"/>
          <w:docGrid w:linePitch="360"/>
        </w:sectPr>
      </w:pPr>
      <w:r w:rsidRPr="00166772">
        <w:rPr>
          <w:rFonts w:ascii="Arial" w:hAnsi="Arial" w:cs="Arial"/>
          <w:b/>
          <w:i/>
          <w:color w:val="262626"/>
          <w:sz w:val="20"/>
          <w:szCs w:val="20"/>
        </w:rPr>
        <w:t>*</w:t>
      </w:r>
      <w:r w:rsidRPr="00166772">
        <w:rPr>
          <w:rFonts w:ascii="Arial" w:hAnsi="Arial" w:cs="Arial"/>
          <w:i/>
          <w:color w:val="262626"/>
          <w:sz w:val="20"/>
          <w:szCs w:val="20"/>
        </w:rPr>
        <w:t xml:space="preserve"> Average age at baseline, or the highest mean when the study presented the population in stratified groups, with standard deviation or range presented in parentheses ();</w:t>
      </w:r>
      <w:r w:rsidRPr="00166772">
        <w:rPr>
          <w:rFonts w:ascii="Arial" w:hAnsi="Arial" w:cs="Arial"/>
          <w:b/>
          <w:i/>
          <w:color w:val="262626"/>
          <w:sz w:val="20"/>
          <w:szCs w:val="20"/>
        </w:rPr>
        <w:t xml:space="preserve">F </w:t>
      </w:r>
      <w:r w:rsidRPr="00166772">
        <w:rPr>
          <w:rFonts w:ascii="Arial" w:hAnsi="Arial" w:cs="Arial"/>
          <w:i/>
          <w:color w:val="262626"/>
          <w:sz w:val="20"/>
          <w:szCs w:val="20"/>
        </w:rPr>
        <w:t>female</w:t>
      </w:r>
      <w:r w:rsidRPr="00166772">
        <w:rPr>
          <w:rFonts w:ascii="Arial" w:hAnsi="Arial" w:cs="Arial"/>
          <w:b/>
          <w:i/>
          <w:color w:val="262626"/>
          <w:sz w:val="20"/>
          <w:szCs w:val="20"/>
        </w:rPr>
        <w:t xml:space="preserve">; M </w:t>
      </w:r>
      <w:r w:rsidRPr="00166772">
        <w:rPr>
          <w:rFonts w:ascii="Arial" w:hAnsi="Arial" w:cs="Arial"/>
          <w:i/>
          <w:color w:val="262626"/>
          <w:sz w:val="20"/>
          <w:szCs w:val="20"/>
        </w:rPr>
        <w:t xml:space="preserve">males; </w:t>
      </w:r>
      <w:r w:rsidRPr="00166772">
        <w:rPr>
          <w:rFonts w:ascii="Arial" w:hAnsi="Arial" w:cs="Arial"/>
          <w:b/>
          <w:i/>
          <w:color w:val="262626"/>
          <w:sz w:val="20"/>
          <w:szCs w:val="20"/>
        </w:rPr>
        <w:t xml:space="preserve">GHQ </w:t>
      </w:r>
      <w:r w:rsidRPr="00166772">
        <w:rPr>
          <w:rFonts w:ascii="Arial" w:hAnsi="Arial" w:cs="Arial"/>
          <w:i/>
          <w:color w:val="262626"/>
          <w:sz w:val="20"/>
          <w:szCs w:val="20"/>
        </w:rPr>
        <w:t xml:space="preserve">General Health Questionnaire; </w:t>
      </w:r>
      <w:r w:rsidRPr="00166772">
        <w:rPr>
          <w:rFonts w:ascii="Arial" w:hAnsi="Arial" w:cs="Arial"/>
          <w:b/>
          <w:i/>
          <w:color w:val="262626"/>
          <w:sz w:val="20"/>
          <w:szCs w:val="20"/>
        </w:rPr>
        <w:t xml:space="preserve">HADS </w:t>
      </w:r>
      <w:r w:rsidRPr="00166772">
        <w:rPr>
          <w:rFonts w:ascii="Arial" w:hAnsi="Arial" w:cs="Arial"/>
          <w:i/>
          <w:color w:val="262626"/>
          <w:sz w:val="20"/>
          <w:szCs w:val="20"/>
        </w:rPr>
        <w:t>Hospital Anxiety and Depression Scale;</w:t>
      </w:r>
      <w:r w:rsidRPr="00166772">
        <w:rPr>
          <w:rFonts w:ascii="Arial" w:hAnsi="Arial" w:cs="Arial"/>
          <w:b/>
          <w:i/>
          <w:color w:val="262626"/>
          <w:sz w:val="20"/>
          <w:szCs w:val="20"/>
        </w:rPr>
        <w:t xml:space="preserve"> HPQ </w:t>
      </w:r>
      <w:r w:rsidRPr="00166772">
        <w:rPr>
          <w:rFonts w:ascii="Arial" w:hAnsi="Arial" w:cs="Arial"/>
          <w:i/>
          <w:color w:val="262626"/>
          <w:sz w:val="20"/>
          <w:szCs w:val="20"/>
        </w:rPr>
        <w:t xml:space="preserve">Health and </w:t>
      </w:r>
      <w:r w:rsidR="00E36BAA" w:rsidRPr="00166772">
        <w:rPr>
          <w:rFonts w:ascii="Arial" w:hAnsi="Arial" w:cs="Arial"/>
          <w:i/>
          <w:color w:val="262626"/>
          <w:sz w:val="20"/>
          <w:szCs w:val="20"/>
        </w:rPr>
        <w:t>W</w:t>
      </w:r>
      <w:r w:rsidRPr="00166772">
        <w:rPr>
          <w:rFonts w:ascii="Arial" w:hAnsi="Arial" w:cs="Arial"/>
          <w:i/>
          <w:color w:val="262626"/>
          <w:sz w:val="20"/>
          <w:szCs w:val="20"/>
        </w:rPr>
        <w:t xml:space="preserve">ork </w:t>
      </w:r>
      <w:r w:rsidR="00E36BAA" w:rsidRPr="00166772">
        <w:rPr>
          <w:rFonts w:ascii="Arial" w:hAnsi="Arial" w:cs="Arial"/>
          <w:i/>
          <w:color w:val="262626"/>
          <w:sz w:val="20"/>
          <w:szCs w:val="20"/>
        </w:rPr>
        <w:t>P</w:t>
      </w:r>
      <w:r w:rsidRPr="00166772">
        <w:rPr>
          <w:rFonts w:ascii="Arial" w:hAnsi="Arial" w:cs="Arial"/>
          <w:i/>
          <w:color w:val="262626"/>
          <w:sz w:val="20"/>
          <w:szCs w:val="20"/>
        </w:rPr>
        <w:t xml:space="preserve">erformance </w:t>
      </w:r>
      <w:r w:rsidR="00E36BAA" w:rsidRPr="00166772">
        <w:rPr>
          <w:rFonts w:ascii="Arial" w:hAnsi="Arial" w:cs="Arial"/>
          <w:i/>
          <w:color w:val="262626"/>
          <w:sz w:val="20"/>
          <w:szCs w:val="20"/>
        </w:rPr>
        <w:t>Q</w:t>
      </w:r>
      <w:r w:rsidRPr="00166772">
        <w:rPr>
          <w:rFonts w:ascii="Arial" w:hAnsi="Arial" w:cs="Arial"/>
          <w:i/>
          <w:color w:val="262626"/>
          <w:sz w:val="20"/>
          <w:szCs w:val="20"/>
        </w:rPr>
        <w:t>uestionnaire.</w:t>
      </w:r>
    </w:p>
    <w:p w14:paraId="36E86DC4" w14:textId="77777777" w:rsidR="0073069E" w:rsidRPr="00166772" w:rsidRDefault="0073069E" w:rsidP="005E3605">
      <w:pPr>
        <w:widowControl w:val="0"/>
        <w:tabs>
          <w:tab w:val="left" w:pos="220"/>
          <w:tab w:val="left" w:pos="720"/>
        </w:tabs>
        <w:autoSpaceDE w:val="0"/>
        <w:autoSpaceDN w:val="0"/>
        <w:adjustRightInd w:val="0"/>
        <w:spacing w:before="120" w:line="480" w:lineRule="auto"/>
        <w:jc w:val="both"/>
        <w:rPr>
          <w:rFonts w:ascii="Arial" w:hAnsi="Arial" w:cs="Arial"/>
          <w:color w:val="262626"/>
        </w:rPr>
      </w:pPr>
      <w:r w:rsidRPr="00166772">
        <w:rPr>
          <w:rFonts w:ascii="Arial" w:hAnsi="Arial" w:cs="Arial"/>
          <w:color w:val="262626"/>
        </w:rPr>
        <w:lastRenderedPageBreak/>
        <w:t>Table 2 – Risk of bias assessment in the seven studies</w:t>
      </w:r>
    </w:p>
    <w:p w14:paraId="0DC7B9B2" w14:textId="77777777" w:rsidR="0073069E" w:rsidRPr="00166772" w:rsidRDefault="0073069E" w:rsidP="005E3605">
      <w:pPr>
        <w:pStyle w:val="LightGrid-Accent31"/>
        <w:widowControl w:val="0"/>
        <w:tabs>
          <w:tab w:val="left" w:pos="220"/>
          <w:tab w:val="left" w:pos="720"/>
        </w:tabs>
        <w:autoSpaceDE w:val="0"/>
        <w:autoSpaceDN w:val="0"/>
        <w:adjustRightInd w:val="0"/>
        <w:ind w:left="0"/>
        <w:jc w:val="both"/>
        <w:rPr>
          <w:rFonts w:ascii="Arial" w:hAnsi="Arial" w:cs="Arial"/>
          <w:i/>
          <w:color w:val="262626"/>
        </w:rPr>
      </w:pPr>
    </w:p>
    <w:tbl>
      <w:tblPr>
        <w:tblW w:w="4885" w:type="pct"/>
        <w:jc w:val="center"/>
        <w:tblLayout w:type="fixed"/>
        <w:tblLook w:val="04A0" w:firstRow="1" w:lastRow="0" w:firstColumn="1" w:lastColumn="0" w:noHBand="0" w:noVBand="1"/>
      </w:tblPr>
      <w:tblGrid>
        <w:gridCol w:w="2870"/>
        <w:gridCol w:w="487"/>
        <w:gridCol w:w="487"/>
        <w:gridCol w:w="487"/>
        <w:gridCol w:w="487"/>
        <w:gridCol w:w="490"/>
        <w:gridCol w:w="529"/>
        <w:gridCol w:w="529"/>
        <w:gridCol w:w="531"/>
        <w:gridCol w:w="529"/>
        <w:gridCol w:w="539"/>
        <w:gridCol w:w="1767"/>
      </w:tblGrid>
      <w:tr w:rsidR="0073069E" w:rsidRPr="00166772" w14:paraId="2AA7CBC2" w14:textId="77777777" w:rsidTr="005E3605">
        <w:trPr>
          <w:trHeight w:val="423"/>
          <w:jc w:val="center"/>
        </w:trPr>
        <w:tc>
          <w:tcPr>
            <w:tcW w:w="1473" w:type="pct"/>
            <w:vMerge w:val="restart"/>
            <w:tcBorders>
              <w:top w:val="single" w:sz="4" w:space="0" w:color="auto"/>
            </w:tcBorders>
            <w:shd w:val="clear" w:color="auto" w:fill="auto"/>
            <w:noWrap/>
            <w:vAlign w:val="center"/>
            <w:hideMark/>
          </w:tcPr>
          <w:p w14:paraId="422B8BB3" w14:textId="77777777" w:rsidR="0073069E" w:rsidRPr="00166772" w:rsidRDefault="0073069E" w:rsidP="005E3605">
            <w:pPr>
              <w:jc w:val="center"/>
              <w:rPr>
                <w:rFonts w:ascii="Arial" w:eastAsia="Times New Roman" w:hAnsi="Arial" w:cs="Arial"/>
                <w:b/>
                <w:bCs/>
                <w:sz w:val="22"/>
                <w:szCs w:val="22"/>
              </w:rPr>
            </w:pPr>
            <w:r w:rsidRPr="00166772">
              <w:rPr>
                <w:rFonts w:ascii="Arial" w:eastAsia="Times New Roman" w:hAnsi="Arial" w:cs="Arial"/>
                <w:b/>
                <w:bCs/>
                <w:sz w:val="22"/>
                <w:szCs w:val="22"/>
              </w:rPr>
              <w:t>Study</w:t>
            </w:r>
          </w:p>
        </w:tc>
        <w:tc>
          <w:tcPr>
            <w:tcW w:w="2618" w:type="pct"/>
            <w:gridSpan w:val="10"/>
            <w:tcBorders>
              <w:top w:val="single" w:sz="4" w:space="0" w:color="auto"/>
            </w:tcBorders>
            <w:vAlign w:val="center"/>
          </w:tcPr>
          <w:p w14:paraId="1B9B280C" w14:textId="77777777" w:rsidR="0073069E" w:rsidRPr="00166772" w:rsidRDefault="0073069E" w:rsidP="005E3605">
            <w:pPr>
              <w:jc w:val="center"/>
              <w:rPr>
                <w:rFonts w:ascii="Arial" w:eastAsia="Times New Roman" w:hAnsi="Arial" w:cs="Arial"/>
                <w:b/>
                <w:bCs/>
                <w:sz w:val="22"/>
                <w:szCs w:val="22"/>
              </w:rPr>
            </w:pPr>
            <w:r w:rsidRPr="00166772">
              <w:rPr>
                <w:rFonts w:ascii="Arial" w:eastAsia="Times New Roman" w:hAnsi="Arial" w:cs="Arial"/>
                <w:b/>
                <w:bCs/>
                <w:sz w:val="22"/>
                <w:szCs w:val="22"/>
              </w:rPr>
              <w:t>Risk of bias per item</w:t>
            </w:r>
          </w:p>
        </w:tc>
        <w:tc>
          <w:tcPr>
            <w:tcW w:w="908" w:type="pct"/>
            <w:vMerge w:val="restart"/>
            <w:tcBorders>
              <w:top w:val="single" w:sz="4" w:space="0" w:color="auto"/>
            </w:tcBorders>
            <w:vAlign w:val="center"/>
          </w:tcPr>
          <w:p w14:paraId="2A5C1BEB" w14:textId="77777777" w:rsidR="0073069E" w:rsidRPr="00166772" w:rsidRDefault="0073069E" w:rsidP="005E3605">
            <w:pPr>
              <w:jc w:val="center"/>
              <w:rPr>
                <w:rFonts w:ascii="Arial" w:eastAsia="Times New Roman" w:hAnsi="Arial" w:cs="Arial"/>
                <w:b/>
                <w:bCs/>
                <w:sz w:val="22"/>
                <w:szCs w:val="22"/>
              </w:rPr>
            </w:pPr>
            <w:r w:rsidRPr="00166772">
              <w:rPr>
                <w:rFonts w:ascii="Arial" w:eastAsia="Times New Roman" w:hAnsi="Arial" w:cs="Arial"/>
                <w:b/>
                <w:bCs/>
                <w:sz w:val="22"/>
                <w:szCs w:val="22"/>
              </w:rPr>
              <w:t>Overall risk of bias</w:t>
            </w:r>
          </w:p>
        </w:tc>
      </w:tr>
      <w:tr w:rsidR="0073069E" w:rsidRPr="00166772" w14:paraId="0C871455" w14:textId="77777777" w:rsidTr="005E3605">
        <w:trPr>
          <w:trHeight w:val="527"/>
          <w:jc w:val="center"/>
        </w:trPr>
        <w:tc>
          <w:tcPr>
            <w:tcW w:w="1473" w:type="pct"/>
            <w:vMerge/>
            <w:shd w:val="clear" w:color="auto" w:fill="auto"/>
            <w:noWrap/>
            <w:vAlign w:val="center"/>
          </w:tcPr>
          <w:p w14:paraId="02408C99" w14:textId="77777777" w:rsidR="0073069E" w:rsidRPr="00166772" w:rsidRDefault="0073069E" w:rsidP="005E3605">
            <w:pPr>
              <w:jc w:val="center"/>
              <w:rPr>
                <w:rFonts w:ascii="Arial" w:eastAsia="Times New Roman" w:hAnsi="Arial" w:cs="Arial"/>
                <w:b/>
                <w:bCs/>
                <w:sz w:val="22"/>
                <w:szCs w:val="22"/>
              </w:rPr>
            </w:pPr>
          </w:p>
        </w:tc>
        <w:tc>
          <w:tcPr>
            <w:tcW w:w="1252" w:type="pct"/>
            <w:gridSpan w:val="5"/>
            <w:vAlign w:val="center"/>
          </w:tcPr>
          <w:p w14:paraId="015E8920" w14:textId="77777777" w:rsidR="0073069E" w:rsidRPr="00166772" w:rsidRDefault="0073069E" w:rsidP="005E3605">
            <w:pPr>
              <w:jc w:val="center"/>
              <w:rPr>
                <w:rFonts w:ascii="Arial" w:eastAsia="Times New Roman" w:hAnsi="Arial" w:cs="Arial"/>
                <w:b/>
                <w:bCs/>
                <w:sz w:val="22"/>
                <w:szCs w:val="22"/>
              </w:rPr>
            </w:pPr>
            <w:r w:rsidRPr="00166772">
              <w:rPr>
                <w:rFonts w:ascii="Arial" w:eastAsia="Times New Roman" w:hAnsi="Arial" w:cs="Arial"/>
                <w:b/>
                <w:bCs/>
                <w:sz w:val="22"/>
                <w:szCs w:val="22"/>
              </w:rPr>
              <w:t>Major Domain</w:t>
            </w:r>
          </w:p>
        </w:tc>
        <w:tc>
          <w:tcPr>
            <w:tcW w:w="1366" w:type="pct"/>
            <w:gridSpan w:val="5"/>
            <w:vAlign w:val="center"/>
          </w:tcPr>
          <w:p w14:paraId="22BF454E" w14:textId="77777777" w:rsidR="0073069E" w:rsidRPr="00166772" w:rsidRDefault="0073069E" w:rsidP="005E3605">
            <w:pPr>
              <w:jc w:val="center"/>
              <w:rPr>
                <w:rFonts w:ascii="Arial" w:eastAsia="Times New Roman" w:hAnsi="Arial" w:cs="Arial"/>
                <w:b/>
                <w:bCs/>
                <w:sz w:val="22"/>
                <w:szCs w:val="22"/>
              </w:rPr>
            </w:pPr>
            <w:r w:rsidRPr="00166772">
              <w:rPr>
                <w:rFonts w:ascii="Arial" w:eastAsia="Times New Roman" w:hAnsi="Arial" w:cs="Arial"/>
                <w:b/>
                <w:bCs/>
                <w:sz w:val="22"/>
                <w:szCs w:val="22"/>
              </w:rPr>
              <w:t>Minor Domain</w:t>
            </w:r>
          </w:p>
        </w:tc>
        <w:tc>
          <w:tcPr>
            <w:tcW w:w="908" w:type="pct"/>
            <w:vMerge/>
          </w:tcPr>
          <w:p w14:paraId="1ED2800C" w14:textId="77777777" w:rsidR="0073069E" w:rsidRPr="00166772" w:rsidRDefault="0073069E" w:rsidP="005E3605">
            <w:pPr>
              <w:jc w:val="center"/>
              <w:rPr>
                <w:rFonts w:ascii="Arial" w:eastAsia="Times New Roman" w:hAnsi="Arial" w:cs="Arial"/>
                <w:b/>
                <w:bCs/>
                <w:sz w:val="22"/>
                <w:szCs w:val="22"/>
              </w:rPr>
            </w:pPr>
          </w:p>
        </w:tc>
      </w:tr>
      <w:tr w:rsidR="0073069E" w:rsidRPr="00166772" w14:paraId="1D01ED27" w14:textId="77777777" w:rsidTr="005E3605">
        <w:trPr>
          <w:trHeight w:val="268"/>
          <w:jc w:val="center"/>
        </w:trPr>
        <w:tc>
          <w:tcPr>
            <w:tcW w:w="1473" w:type="pct"/>
            <w:vMerge/>
            <w:tcBorders>
              <w:bottom w:val="single" w:sz="4" w:space="0" w:color="auto"/>
            </w:tcBorders>
            <w:shd w:val="clear" w:color="auto" w:fill="auto"/>
            <w:noWrap/>
            <w:vAlign w:val="center"/>
          </w:tcPr>
          <w:p w14:paraId="3523B30B" w14:textId="77777777" w:rsidR="0073069E" w:rsidRPr="00166772" w:rsidRDefault="0073069E" w:rsidP="005E3605">
            <w:pPr>
              <w:spacing w:line="360" w:lineRule="auto"/>
              <w:jc w:val="center"/>
              <w:rPr>
                <w:rFonts w:ascii="Arial" w:eastAsia="Times New Roman" w:hAnsi="Arial" w:cs="Arial"/>
                <w:b/>
                <w:bCs/>
                <w:i/>
                <w:sz w:val="22"/>
                <w:szCs w:val="22"/>
              </w:rPr>
            </w:pPr>
          </w:p>
        </w:tc>
        <w:tc>
          <w:tcPr>
            <w:tcW w:w="250" w:type="pct"/>
            <w:tcBorders>
              <w:bottom w:val="single" w:sz="4" w:space="0" w:color="auto"/>
            </w:tcBorders>
            <w:vAlign w:val="center"/>
          </w:tcPr>
          <w:p w14:paraId="35988AFF" w14:textId="77777777" w:rsidR="0073069E" w:rsidRPr="00166772" w:rsidRDefault="0073069E" w:rsidP="005E3605">
            <w:pPr>
              <w:spacing w:line="276" w:lineRule="auto"/>
              <w:jc w:val="center"/>
              <w:rPr>
                <w:rFonts w:ascii="Arial" w:eastAsia="Times New Roman" w:hAnsi="Arial" w:cs="Arial"/>
                <w:b/>
                <w:bCs/>
                <w:i/>
                <w:sz w:val="22"/>
                <w:szCs w:val="22"/>
              </w:rPr>
            </w:pPr>
            <w:r w:rsidRPr="00166772">
              <w:rPr>
                <w:rFonts w:ascii="Arial" w:eastAsia="Times New Roman" w:hAnsi="Arial" w:cs="Arial"/>
                <w:b/>
                <w:bCs/>
                <w:i/>
                <w:iCs/>
                <w:color w:val="000000"/>
                <w:sz w:val="22"/>
                <w:szCs w:val="22"/>
              </w:rPr>
              <w:t>1</w:t>
            </w:r>
          </w:p>
        </w:tc>
        <w:tc>
          <w:tcPr>
            <w:tcW w:w="250" w:type="pct"/>
            <w:tcBorders>
              <w:bottom w:val="single" w:sz="4" w:space="0" w:color="auto"/>
            </w:tcBorders>
            <w:vAlign w:val="center"/>
          </w:tcPr>
          <w:p w14:paraId="38191A3D" w14:textId="77777777" w:rsidR="0073069E" w:rsidRPr="00166772" w:rsidRDefault="0073069E" w:rsidP="005E3605">
            <w:pPr>
              <w:spacing w:line="276" w:lineRule="auto"/>
              <w:jc w:val="center"/>
              <w:rPr>
                <w:rFonts w:ascii="Arial" w:eastAsia="Times New Roman" w:hAnsi="Arial" w:cs="Arial"/>
                <w:b/>
                <w:bCs/>
                <w:i/>
                <w:sz w:val="22"/>
                <w:szCs w:val="22"/>
              </w:rPr>
            </w:pPr>
            <w:r w:rsidRPr="00166772">
              <w:rPr>
                <w:rFonts w:ascii="Arial" w:eastAsia="Times New Roman" w:hAnsi="Arial" w:cs="Arial"/>
                <w:b/>
                <w:bCs/>
                <w:i/>
                <w:iCs/>
                <w:color w:val="000000"/>
                <w:sz w:val="22"/>
                <w:szCs w:val="22"/>
              </w:rPr>
              <w:t>2</w:t>
            </w:r>
          </w:p>
        </w:tc>
        <w:tc>
          <w:tcPr>
            <w:tcW w:w="250" w:type="pct"/>
            <w:tcBorders>
              <w:bottom w:val="single" w:sz="4" w:space="0" w:color="auto"/>
            </w:tcBorders>
            <w:vAlign w:val="center"/>
          </w:tcPr>
          <w:p w14:paraId="36105DCB" w14:textId="77777777" w:rsidR="0073069E" w:rsidRPr="00166772" w:rsidRDefault="0073069E" w:rsidP="005E3605">
            <w:pPr>
              <w:spacing w:line="276" w:lineRule="auto"/>
              <w:jc w:val="center"/>
              <w:rPr>
                <w:rFonts w:ascii="Arial" w:eastAsia="Times New Roman" w:hAnsi="Arial" w:cs="Arial"/>
                <w:b/>
                <w:bCs/>
                <w:i/>
                <w:sz w:val="22"/>
                <w:szCs w:val="22"/>
              </w:rPr>
            </w:pPr>
            <w:r w:rsidRPr="00166772">
              <w:rPr>
                <w:rFonts w:ascii="Arial" w:eastAsia="Times New Roman" w:hAnsi="Arial" w:cs="Arial"/>
                <w:b/>
                <w:bCs/>
                <w:i/>
                <w:iCs/>
                <w:color w:val="000000"/>
                <w:sz w:val="22"/>
                <w:szCs w:val="22"/>
              </w:rPr>
              <w:t>3</w:t>
            </w:r>
          </w:p>
        </w:tc>
        <w:tc>
          <w:tcPr>
            <w:tcW w:w="250" w:type="pct"/>
            <w:tcBorders>
              <w:bottom w:val="single" w:sz="4" w:space="0" w:color="auto"/>
            </w:tcBorders>
            <w:vAlign w:val="center"/>
          </w:tcPr>
          <w:p w14:paraId="2CEB0119" w14:textId="77777777" w:rsidR="0073069E" w:rsidRPr="00166772" w:rsidRDefault="0073069E" w:rsidP="005E3605">
            <w:pPr>
              <w:spacing w:line="276" w:lineRule="auto"/>
              <w:jc w:val="center"/>
              <w:rPr>
                <w:rFonts w:ascii="Arial" w:eastAsia="Times New Roman" w:hAnsi="Arial" w:cs="Arial"/>
                <w:b/>
                <w:bCs/>
                <w:i/>
                <w:sz w:val="22"/>
                <w:szCs w:val="22"/>
              </w:rPr>
            </w:pPr>
            <w:r w:rsidRPr="00166772">
              <w:rPr>
                <w:rFonts w:ascii="Arial" w:eastAsia="Times New Roman" w:hAnsi="Arial" w:cs="Arial"/>
                <w:b/>
                <w:bCs/>
                <w:color w:val="000000"/>
                <w:sz w:val="22"/>
                <w:szCs w:val="22"/>
              </w:rPr>
              <w:t>4</w:t>
            </w:r>
          </w:p>
        </w:tc>
        <w:tc>
          <w:tcPr>
            <w:tcW w:w="252" w:type="pct"/>
            <w:tcBorders>
              <w:bottom w:val="single" w:sz="4" w:space="0" w:color="auto"/>
            </w:tcBorders>
            <w:vAlign w:val="center"/>
          </w:tcPr>
          <w:p w14:paraId="4E95F971" w14:textId="77777777" w:rsidR="0073069E" w:rsidRPr="00166772" w:rsidRDefault="0073069E" w:rsidP="005E3605">
            <w:pPr>
              <w:spacing w:line="276" w:lineRule="auto"/>
              <w:jc w:val="center"/>
              <w:rPr>
                <w:rFonts w:ascii="Arial" w:eastAsia="Times New Roman" w:hAnsi="Arial" w:cs="Arial"/>
                <w:b/>
                <w:bCs/>
                <w:i/>
                <w:sz w:val="22"/>
                <w:szCs w:val="22"/>
              </w:rPr>
            </w:pPr>
            <w:r w:rsidRPr="00166772">
              <w:rPr>
                <w:rFonts w:ascii="Arial" w:eastAsia="Times New Roman" w:hAnsi="Arial" w:cs="Arial"/>
                <w:b/>
                <w:bCs/>
                <w:i/>
                <w:iCs/>
                <w:color w:val="000000"/>
                <w:sz w:val="22"/>
                <w:szCs w:val="22"/>
              </w:rPr>
              <w:t>5</w:t>
            </w:r>
          </w:p>
        </w:tc>
        <w:tc>
          <w:tcPr>
            <w:tcW w:w="272" w:type="pct"/>
            <w:tcBorders>
              <w:bottom w:val="single" w:sz="4" w:space="0" w:color="auto"/>
            </w:tcBorders>
            <w:vAlign w:val="center"/>
          </w:tcPr>
          <w:p w14:paraId="6A8F4A53" w14:textId="77777777" w:rsidR="0073069E" w:rsidRPr="00166772" w:rsidRDefault="0073069E" w:rsidP="005E3605">
            <w:pPr>
              <w:spacing w:line="276" w:lineRule="auto"/>
              <w:jc w:val="center"/>
              <w:rPr>
                <w:rFonts w:ascii="Arial" w:eastAsia="Times New Roman" w:hAnsi="Arial" w:cs="Arial"/>
                <w:b/>
                <w:bCs/>
                <w:i/>
                <w:sz w:val="22"/>
                <w:szCs w:val="22"/>
              </w:rPr>
            </w:pPr>
            <w:r w:rsidRPr="00166772">
              <w:rPr>
                <w:rFonts w:ascii="Arial" w:eastAsia="Times New Roman" w:hAnsi="Arial" w:cs="Arial"/>
                <w:b/>
                <w:bCs/>
                <w:i/>
                <w:iCs/>
                <w:color w:val="000000"/>
                <w:sz w:val="22"/>
                <w:szCs w:val="22"/>
              </w:rPr>
              <w:t>1a</w:t>
            </w:r>
          </w:p>
        </w:tc>
        <w:tc>
          <w:tcPr>
            <w:tcW w:w="272" w:type="pct"/>
            <w:tcBorders>
              <w:bottom w:val="single" w:sz="4" w:space="0" w:color="auto"/>
            </w:tcBorders>
            <w:vAlign w:val="center"/>
          </w:tcPr>
          <w:p w14:paraId="16235009" w14:textId="77777777" w:rsidR="0073069E" w:rsidRPr="00166772" w:rsidRDefault="0073069E" w:rsidP="005E3605">
            <w:pPr>
              <w:spacing w:line="276" w:lineRule="auto"/>
              <w:jc w:val="center"/>
              <w:rPr>
                <w:rFonts w:ascii="Arial" w:eastAsia="Times New Roman" w:hAnsi="Arial" w:cs="Arial"/>
                <w:b/>
                <w:bCs/>
                <w:sz w:val="22"/>
                <w:szCs w:val="22"/>
              </w:rPr>
            </w:pPr>
            <w:r w:rsidRPr="00166772">
              <w:rPr>
                <w:rFonts w:ascii="Arial" w:eastAsia="Times New Roman" w:hAnsi="Arial" w:cs="Arial"/>
                <w:b/>
                <w:bCs/>
                <w:i/>
                <w:iCs/>
                <w:color w:val="000000"/>
                <w:sz w:val="22"/>
                <w:szCs w:val="22"/>
              </w:rPr>
              <w:t>2a</w:t>
            </w:r>
          </w:p>
        </w:tc>
        <w:tc>
          <w:tcPr>
            <w:tcW w:w="273" w:type="pct"/>
            <w:tcBorders>
              <w:bottom w:val="single" w:sz="4" w:space="0" w:color="auto"/>
            </w:tcBorders>
            <w:vAlign w:val="center"/>
          </w:tcPr>
          <w:p w14:paraId="63C222BD" w14:textId="77777777" w:rsidR="0073069E" w:rsidRPr="00166772" w:rsidRDefault="0073069E" w:rsidP="005E3605">
            <w:pPr>
              <w:spacing w:line="276" w:lineRule="auto"/>
              <w:jc w:val="center"/>
              <w:rPr>
                <w:rFonts w:ascii="Arial" w:eastAsia="Times New Roman" w:hAnsi="Arial" w:cs="Arial"/>
                <w:b/>
                <w:bCs/>
                <w:i/>
                <w:sz w:val="22"/>
                <w:szCs w:val="22"/>
              </w:rPr>
            </w:pPr>
            <w:r w:rsidRPr="00166772">
              <w:rPr>
                <w:rFonts w:ascii="Arial" w:eastAsia="Times New Roman" w:hAnsi="Arial" w:cs="Arial"/>
                <w:b/>
                <w:bCs/>
                <w:i/>
                <w:iCs/>
                <w:color w:val="000000"/>
                <w:sz w:val="22"/>
                <w:szCs w:val="22"/>
              </w:rPr>
              <w:t>3a</w:t>
            </w:r>
          </w:p>
        </w:tc>
        <w:tc>
          <w:tcPr>
            <w:tcW w:w="272" w:type="pct"/>
            <w:tcBorders>
              <w:bottom w:val="single" w:sz="4" w:space="0" w:color="auto"/>
            </w:tcBorders>
            <w:vAlign w:val="center"/>
          </w:tcPr>
          <w:p w14:paraId="29BB92B7" w14:textId="77777777" w:rsidR="0073069E" w:rsidRPr="00166772" w:rsidRDefault="0073069E" w:rsidP="005E3605">
            <w:pPr>
              <w:spacing w:line="276" w:lineRule="auto"/>
              <w:jc w:val="center"/>
              <w:rPr>
                <w:rFonts w:ascii="Arial" w:eastAsia="Times New Roman" w:hAnsi="Arial" w:cs="Arial"/>
                <w:b/>
                <w:bCs/>
                <w:i/>
                <w:sz w:val="22"/>
                <w:szCs w:val="22"/>
              </w:rPr>
            </w:pPr>
            <w:r w:rsidRPr="00166772">
              <w:rPr>
                <w:rFonts w:ascii="Arial" w:eastAsia="Times New Roman" w:hAnsi="Arial" w:cs="Arial"/>
                <w:b/>
                <w:bCs/>
                <w:i/>
                <w:iCs/>
                <w:color w:val="000000"/>
                <w:sz w:val="22"/>
                <w:szCs w:val="22"/>
              </w:rPr>
              <w:t>4a</w:t>
            </w:r>
          </w:p>
        </w:tc>
        <w:tc>
          <w:tcPr>
            <w:tcW w:w="277" w:type="pct"/>
            <w:tcBorders>
              <w:bottom w:val="single" w:sz="4" w:space="0" w:color="auto"/>
            </w:tcBorders>
            <w:vAlign w:val="center"/>
          </w:tcPr>
          <w:p w14:paraId="1BF83918" w14:textId="77777777" w:rsidR="0073069E" w:rsidRPr="00166772" w:rsidRDefault="0073069E" w:rsidP="005E3605">
            <w:pPr>
              <w:spacing w:line="276" w:lineRule="auto"/>
              <w:jc w:val="center"/>
              <w:rPr>
                <w:rFonts w:ascii="Arial" w:eastAsia="Times New Roman" w:hAnsi="Arial" w:cs="Arial"/>
                <w:b/>
                <w:bCs/>
                <w:i/>
                <w:sz w:val="22"/>
                <w:szCs w:val="22"/>
              </w:rPr>
            </w:pPr>
            <w:r w:rsidRPr="00166772">
              <w:rPr>
                <w:rFonts w:ascii="Arial" w:eastAsia="Times New Roman" w:hAnsi="Arial" w:cs="Arial"/>
                <w:b/>
                <w:bCs/>
                <w:i/>
                <w:iCs/>
                <w:color w:val="000000"/>
                <w:sz w:val="22"/>
                <w:szCs w:val="22"/>
              </w:rPr>
              <w:t>5a</w:t>
            </w:r>
          </w:p>
        </w:tc>
        <w:tc>
          <w:tcPr>
            <w:tcW w:w="908" w:type="pct"/>
            <w:vMerge/>
            <w:tcBorders>
              <w:bottom w:val="single" w:sz="4" w:space="0" w:color="auto"/>
            </w:tcBorders>
          </w:tcPr>
          <w:p w14:paraId="1CB3138E" w14:textId="77777777" w:rsidR="0073069E" w:rsidRPr="00166772" w:rsidRDefault="0073069E" w:rsidP="005E3605">
            <w:pPr>
              <w:spacing w:line="276" w:lineRule="auto"/>
              <w:jc w:val="center"/>
              <w:rPr>
                <w:rFonts w:ascii="Arial" w:eastAsia="Times New Roman" w:hAnsi="Arial" w:cs="Arial"/>
                <w:b/>
                <w:bCs/>
                <w:i/>
                <w:iCs/>
                <w:color w:val="000000"/>
                <w:sz w:val="22"/>
                <w:szCs w:val="22"/>
              </w:rPr>
            </w:pPr>
          </w:p>
        </w:tc>
      </w:tr>
      <w:tr w:rsidR="0073069E" w:rsidRPr="00166772" w14:paraId="3AACD2A7" w14:textId="77777777" w:rsidTr="005E3605">
        <w:trPr>
          <w:trHeight w:val="280"/>
          <w:jc w:val="center"/>
        </w:trPr>
        <w:tc>
          <w:tcPr>
            <w:tcW w:w="1474" w:type="pct"/>
            <w:tcBorders>
              <w:top w:val="single" w:sz="4" w:space="0" w:color="auto"/>
            </w:tcBorders>
            <w:shd w:val="clear" w:color="auto" w:fill="auto"/>
            <w:noWrap/>
            <w:vAlign w:val="bottom"/>
            <w:hideMark/>
          </w:tcPr>
          <w:p w14:paraId="6DF3BE57" w14:textId="77777777" w:rsidR="0073069E" w:rsidRPr="00166772" w:rsidRDefault="0073069E" w:rsidP="005E3605">
            <w:pPr>
              <w:spacing w:line="360" w:lineRule="auto"/>
              <w:rPr>
                <w:rFonts w:ascii="Arial" w:eastAsia="Times New Roman" w:hAnsi="Arial" w:cs="Arial"/>
                <w:sz w:val="22"/>
                <w:szCs w:val="22"/>
              </w:rPr>
            </w:pPr>
            <w:r w:rsidRPr="00166772">
              <w:rPr>
                <w:rFonts w:ascii="Arial" w:eastAsia="Times New Roman" w:hAnsi="Arial" w:cs="Arial"/>
                <w:sz w:val="22"/>
                <w:szCs w:val="22"/>
              </w:rPr>
              <w:t>Poole et al., 1992</w:t>
            </w:r>
          </w:p>
        </w:tc>
        <w:tc>
          <w:tcPr>
            <w:tcW w:w="250" w:type="pct"/>
            <w:tcBorders>
              <w:top w:val="single" w:sz="4" w:space="0" w:color="auto"/>
            </w:tcBorders>
          </w:tcPr>
          <w:p w14:paraId="3ADA1341" w14:textId="77777777" w:rsidR="0073069E" w:rsidRPr="00166772" w:rsidRDefault="0073069E" w:rsidP="005E3605">
            <w:pPr>
              <w:spacing w:line="360" w:lineRule="auto"/>
              <w:jc w:val="center"/>
              <w:rPr>
                <w:rFonts w:ascii="Arial" w:eastAsia="Times New Roman" w:hAnsi="Arial" w:cs="Arial"/>
                <w:sz w:val="22"/>
                <w:szCs w:val="22"/>
                <w:lang w:val="en-US"/>
              </w:rPr>
            </w:pPr>
            <w:r w:rsidRPr="00166772">
              <w:rPr>
                <w:rFonts w:ascii="Arial" w:eastAsia="Times New Roman" w:hAnsi="Arial" w:cs="Arial"/>
                <w:sz w:val="22"/>
                <w:szCs w:val="22"/>
                <w:lang w:val="en-US"/>
              </w:rPr>
              <w:t>0</w:t>
            </w:r>
          </w:p>
        </w:tc>
        <w:tc>
          <w:tcPr>
            <w:tcW w:w="250" w:type="pct"/>
            <w:tcBorders>
              <w:top w:val="single" w:sz="4" w:space="0" w:color="auto"/>
            </w:tcBorders>
          </w:tcPr>
          <w:p w14:paraId="5B2183FF" w14:textId="77777777" w:rsidR="0073069E" w:rsidRPr="00166772" w:rsidRDefault="0073069E" w:rsidP="005E3605">
            <w:pPr>
              <w:spacing w:line="360" w:lineRule="auto"/>
              <w:jc w:val="center"/>
              <w:rPr>
                <w:rFonts w:ascii="Arial" w:eastAsia="Times New Roman" w:hAnsi="Arial" w:cs="Arial"/>
                <w:sz w:val="22"/>
                <w:szCs w:val="22"/>
                <w:lang w:val="en-US"/>
              </w:rPr>
            </w:pPr>
            <w:r w:rsidRPr="00166772">
              <w:rPr>
                <w:rFonts w:ascii="Arial" w:eastAsia="Times New Roman" w:hAnsi="Arial" w:cs="Arial"/>
                <w:sz w:val="22"/>
                <w:szCs w:val="22"/>
                <w:lang w:val="en-US"/>
              </w:rPr>
              <w:t>0</w:t>
            </w:r>
          </w:p>
        </w:tc>
        <w:tc>
          <w:tcPr>
            <w:tcW w:w="250" w:type="pct"/>
            <w:tcBorders>
              <w:top w:val="single" w:sz="4" w:space="0" w:color="auto"/>
            </w:tcBorders>
          </w:tcPr>
          <w:p w14:paraId="2FD1B03E" w14:textId="77777777" w:rsidR="0073069E" w:rsidRPr="00166772" w:rsidRDefault="0073069E" w:rsidP="005E3605">
            <w:pPr>
              <w:spacing w:line="360" w:lineRule="auto"/>
              <w:jc w:val="center"/>
              <w:rPr>
                <w:rFonts w:ascii="Arial" w:eastAsia="Times New Roman" w:hAnsi="Arial" w:cs="Arial"/>
                <w:sz w:val="22"/>
                <w:szCs w:val="22"/>
                <w:lang w:val="en-US"/>
              </w:rPr>
            </w:pPr>
            <w:r w:rsidRPr="00166772">
              <w:rPr>
                <w:rFonts w:ascii="Arial" w:eastAsia="Times New Roman" w:hAnsi="Arial" w:cs="Arial"/>
                <w:sz w:val="22"/>
                <w:szCs w:val="22"/>
                <w:lang w:val="en-US"/>
              </w:rPr>
              <w:t>0</w:t>
            </w:r>
          </w:p>
        </w:tc>
        <w:tc>
          <w:tcPr>
            <w:tcW w:w="250" w:type="pct"/>
            <w:tcBorders>
              <w:top w:val="single" w:sz="4" w:space="0" w:color="auto"/>
            </w:tcBorders>
          </w:tcPr>
          <w:p w14:paraId="1A6315DD" w14:textId="77777777" w:rsidR="0073069E" w:rsidRPr="00166772" w:rsidRDefault="0073069E" w:rsidP="005E3605">
            <w:pPr>
              <w:spacing w:line="360" w:lineRule="auto"/>
              <w:jc w:val="center"/>
              <w:rPr>
                <w:rFonts w:ascii="Arial" w:eastAsia="Times New Roman" w:hAnsi="Arial" w:cs="Arial"/>
                <w:sz w:val="22"/>
                <w:szCs w:val="22"/>
                <w:lang w:val="en-US"/>
              </w:rPr>
            </w:pPr>
            <w:r w:rsidRPr="00166772">
              <w:rPr>
                <w:rFonts w:ascii="Arial" w:eastAsia="Times New Roman" w:hAnsi="Arial" w:cs="Arial"/>
                <w:sz w:val="22"/>
                <w:szCs w:val="22"/>
                <w:lang w:val="en-US"/>
              </w:rPr>
              <w:t>1</w:t>
            </w:r>
          </w:p>
        </w:tc>
        <w:tc>
          <w:tcPr>
            <w:tcW w:w="252" w:type="pct"/>
            <w:tcBorders>
              <w:top w:val="single" w:sz="4" w:space="0" w:color="auto"/>
            </w:tcBorders>
          </w:tcPr>
          <w:p w14:paraId="664A82DE" w14:textId="77777777" w:rsidR="0073069E" w:rsidRPr="00166772" w:rsidRDefault="0073069E" w:rsidP="005E3605">
            <w:pPr>
              <w:spacing w:line="360" w:lineRule="auto"/>
              <w:jc w:val="center"/>
              <w:rPr>
                <w:rFonts w:ascii="Arial" w:eastAsia="Times New Roman" w:hAnsi="Arial" w:cs="Arial"/>
                <w:sz w:val="22"/>
                <w:szCs w:val="22"/>
                <w:lang w:val="en-US"/>
              </w:rPr>
            </w:pPr>
            <w:r w:rsidRPr="00166772">
              <w:rPr>
                <w:rFonts w:ascii="Arial" w:eastAsia="Times New Roman" w:hAnsi="Arial" w:cs="Arial"/>
                <w:sz w:val="22"/>
                <w:szCs w:val="22"/>
                <w:lang w:val="en-US"/>
              </w:rPr>
              <w:t>1</w:t>
            </w:r>
          </w:p>
        </w:tc>
        <w:tc>
          <w:tcPr>
            <w:tcW w:w="272" w:type="pct"/>
            <w:tcBorders>
              <w:top w:val="single" w:sz="4" w:space="0" w:color="auto"/>
            </w:tcBorders>
          </w:tcPr>
          <w:p w14:paraId="538B78B5" w14:textId="77777777" w:rsidR="0073069E" w:rsidRPr="00166772" w:rsidRDefault="0073069E" w:rsidP="005E3605">
            <w:pPr>
              <w:spacing w:line="360" w:lineRule="auto"/>
              <w:jc w:val="center"/>
              <w:rPr>
                <w:rFonts w:ascii="Arial" w:eastAsia="Times New Roman" w:hAnsi="Arial" w:cs="Arial"/>
                <w:sz w:val="22"/>
                <w:szCs w:val="22"/>
                <w:lang w:val="en-US"/>
              </w:rPr>
            </w:pPr>
            <w:r w:rsidRPr="00166772">
              <w:rPr>
                <w:rFonts w:ascii="Arial" w:eastAsia="Times New Roman" w:hAnsi="Arial" w:cs="Arial"/>
                <w:sz w:val="22"/>
                <w:szCs w:val="22"/>
                <w:lang w:val="en-US"/>
              </w:rPr>
              <w:t>?</w:t>
            </w:r>
          </w:p>
        </w:tc>
        <w:tc>
          <w:tcPr>
            <w:tcW w:w="272" w:type="pct"/>
            <w:tcBorders>
              <w:top w:val="single" w:sz="4" w:space="0" w:color="auto"/>
            </w:tcBorders>
          </w:tcPr>
          <w:p w14:paraId="28A28D79" w14:textId="77777777" w:rsidR="0073069E" w:rsidRPr="00166772" w:rsidRDefault="0073069E" w:rsidP="005E3605">
            <w:pPr>
              <w:spacing w:line="360" w:lineRule="auto"/>
              <w:jc w:val="center"/>
              <w:rPr>
                <w:rFonts w:ascii="Arial" w:eastAsia="Times New Roman" w:hAnsi="Arial" w:cs="Arial"/>
                <w:sz w:val="22"/>
                <w:szCs w:val="22"/>
                <w:lang w:val="en-US"/>
              </w:rPr>
            </w:pPr>
            <w:r w:rsidRPr="00166772">
              <w:rPr>
                <w:rFonts w:ascii="Arial" w:eastAsia="Times New Roman" w:hAnsi="Arial" w:cs="Arial"/>
                <w:sz w:val="22"/>
                <w:szCs w:val="22"/>
                <w:lang w:val="en-US"/>
              </w:rPr>
              <w:t>1</w:t>
            </w:r>
          </w:p>
        </w:tc>
        <w:tc>
          <w:tcPr>
            <w:tcW w:w="273" w:type="pct"/>
            <w:tcBorders>
              <w:top w:val="single" w:sz="4" w:space="0" w:color="auto"/>
            </w:tcBorders>
          </w:tcPr>
          <w:p w14:paraId="7F1A2D00" w14:textId="77777777" w:rsidR="0073069E" w:rsidRPr="00166772" w:rsidRDefault="0073069E" w:rsidP="005E3605">
            <w:pPr>
              <w:spacing w:line="360" w:lineRule="auto"/>
              <w:jc w:val="center"/>
              <w:rPr>
                <w:rFonts w:ascii="Arial" w:eastAsia="Times New Roman" w:hAnsi="Arial" w:cs="Arial"/>
                <w:sz w:val="22"/>
                <w:szCs w:val="22"/>
                <w:lang w:val="en-US"/>
              </w:rPr>
            </w:pPr>
            <w:r w:rsidRPr="00166772">
              <w:rPr>
                <w:rFonts w:ascii="Arial" w:eastAsia="Times New Roman" w:hAnsi="Arial" w:cs="Arial"/>
                <w:sz w:val="22"/>
                <w:szCs w:val="22"/>
                <w:lang w:val="en-US"/>
              </w:rPr>
              <w:t>1</w:t>
            </w:r>
          </w:p>
        </w:tc>
        <w:tc>
          <w:tcPr>
            <w:tcW w:w="272" w:type="pct"/>
            <w:tcBorders>
              <w:top w:val="single" w:sz="4" w:space="0" w:color="auto"/>
            </w:tcBorders>
          </w:tcPr>
          <w:p w14:paraId="2A3D553C" w14:textId="77777777" w:rsidR="0073069E" w:rsidRPr="00166772" w:rsidRDefault="0073069E" w:rsidP="005E3605">
            <w:pPr>
              <w:spacing w:line="360" w:lineRule="auto"/>
              <w:jc w:val="center"/>
              <w:rPr>
                <w:rFonts w:ascii="Arial" w:eastAsia="Times New Roman" w:hAnsi="Arial" w:cs="Arial"/>
                <w:sz w:val="22"/>
                <w:szCs w:val="22"/>
                <w:lang w:val="en-US"/>
              </w:rPr>
            </w:pPr>
            <w:r w:rsidRPr="00166772">
              <w:rPr>
                <w:rFonts w:ascii="Arial" w:eastAsia="Times New Roman" w:hAnsi="Arial" w:cs="Arial"/>
                <w:sz w:val="22"/>
                <w:szCs w:val="22"/>
                <w:lang w:val="en-US"/>
              </w:rPr>
              <w:t>?</w:t>
            </w:r>
          </w:p>
        </w:tc>
        <w:tc>
          <w:tcPr>
            <w:tcW w:w="276" w:type="pct"/>
            <w:tcBorders>
              <w:top w:val="single" w:sz="4" w:space="0" w:color="auto"/>
            </w:tcBorders>
          </w:tcPr>
          <w:p w14:paraId="0DFB9892" w14:textId="77777777" w:rsidR="0073069E" w:rsidRPr="00166772" w:rsidRDefault="0073069E" w:rsidP="005E3605">
            <w:pPr>
              <w:spacing w:line="360" w:lineRule="auto"/>
              <w:jc w:val="center"/>
              <w:rPr>
                <w:rFonts w:ascii="Arial" w:eastAsia="Times New Roman" w:hAnsi="Arial" w:cs="Arial"/>
                <w:sz w:val="22"/>
                <w:szCs w:val="22"/>
                <w:lang w:val="en-US"/>
              </w:rPr>
            </w:pPr>
            <w:r w:rsidRPr="00166772">
              <w:rPr>
                <w:rFonts w:ascii="Arial" w:eastAsia="Times New Roman" w:hAnsi="Arial" w:cs="Arial"/>
                <w:sz w:val="22"/>
                <w:szCs w:val="22"/>
                <w:lang w:val="en-US"/>
              </w:rPr>
              <w:t>?</w:t>
            </w:r>
          </w:p>
        </w:tc>
        <w:tc>
          <w:tcPr>
            <w:tcW w:w="908" w:type="pct"/>
            <w:tcBorders>
              <w:top w:val="single" w:sz="4" w:space="0" w:color="auto"/>
            </w:tcBorders>
            <w:vAlign w:val="center"/>
          </w:tcPr>
          <w:p w14:paraId="0818CE3E" w14:textId="77777777" w:rsidR="0073069E" w:rsidRPr="00166772" w:rsidRDefault="0073069E" w:rsidP="005E3605">
            <w:pPr>
              <w:spacing w:line="360" w:lineRule="auto"/>
              <w:jc w:val="center"/>
              <w:rPr>
                <w:rFonts w:ascii="Arial" w:eastAsia="Times New Roman" w:hAnsi="Arial" w:cs="Arial"/>
                <w:bCs/>
                <w:color w:val="000000"/>
                <w:sz w:val="22"/>
                <w:szCs w:val="22"/>
              </w:rPr>
            </w:pPr>
            <w:r w:rsidRPr="00166772">
              <w:rPr>
                <w:rFonts w:ascii="Arial" w:eastAsia="Times New Roman" w:hAnsi="Arial" w:cs="Arial"/>
                <w:bCs/>
                <w:color w:val="000000"/>
                <w:sz w:val="22"/>
                <w:szCs w:val="22"/>
              </w:rPr>
              <w:t>High</w:t>
            </w:r>
          </w:p>
        </w:tc>
      </w:tr>
      <w:tr w:rsidR="0073069E" w:rsidRPr="00166772" w14:paraId="1E481749" w14:textId="77777777" w:rsidTr="005E3605">
        <w:trPr>
          <w:trHeight w:val="280"/>
          <w:jc w:val="center"/>
        </w:trPr>
        <w:tc>
          <w:tcPr>
            <w:tcW w:w="1473" w:type="pct"/>
            <w:shd w:val="clear" w:color="auto" w:fill="auto"/>
            <w:noWrap/>
            <w:vAlign w:val="bottom"/>
          </w:tcPr>
          <w:p w14:paraId="131A1801" w14:textId="77777777" w:rsidR="0073069E" w:rsidRPr="00166772" w:rsidRDefault="0073069E" w:rsidP="005E3605">
            <w:pPr>
              <w:spacing w:line="360" w:lineRule="auto"/>
              <w:rPr>
                <w:rFonts w:ascii="Arial" w:eastAsia="Times New Roman" w:hAnsi="Arial" w:cs="Arial"/>
                <w:sz w:val="22"/>
                <w:szCs w:val="22"/>
              </w:rPr>
            </w:pPr>
            <w:r w:rsidRPr="00166772">
              <w:rPr>
                <w:rFonts w:ascii="Arial" w:eastAsia="Times New Roman" w:hAnsi="Arial" w:cs="Arial"/>
                <w:sz w:val="22"/>
                <w:szCs w:val="22"/>
              </w:rPr>
              <w:t xml:space="preserve">Bildt &amp; </w:t>
            </w:r>
            <w:r w:rsidRPr="00166772">
              <w:rPr>
                <w:rFonts w:ascii="Arial" w:eastAsia="Times New Roman" w:hAnsi="Arial" w:cs="Arial"/>
                <w:sz w:val="22"/>
                <w:szCs w:val="22"/>
                <w:lang w:val="en-US"/>
              </w:rPr>
              <w:t>Michelsen, 2002</w:t>
            </w:r>
          </w:p>
        </w:tc>
        <w:tc>
          <w:tcPr>
            <w:tcW w:w="250" w:type="pct"/>
          </w:tcPr>
          <w:p w14:paraId="6B178ED7" w14:textId="77777777" w:rsidR="0073069E" w:rsidRPr="00166772" w:rsidRDefault="0073069E" w:rsidP="005E3605">
            <w:pPr>
              <w:spacing w:line="360" w:lineRule="auto"/>
              <w:jc w:val="center"/>
              <w:rPr>
                <w:rFonts w:ascii="Arial" w:eastAsia="Times New Roman" w:hAnsi="Arial" w:cs="Arial"/>
                <w:sz w:val="22"/>
                <w:szCs w:val="22"/>
                <w:lang w:val="en-US"/>
              </w:rPr>
            </w:pPr>
            <w:r w:rsidRPr="00166772">
              <w:rPr>
                <w:rFonts w:ascii="Arial" w:eastAsia="Times New Roman" w:hAnsi="Arial" w:cs="Arial"/>
                <w:sz w:val="22"/>
                <w:szCs w:val="22"/>
                <w:lang w:val="en-US"/>
              </w:rPr>
              <w:t>1</w:t>
            </w:r>
          </w:p>
        </w:tc>
        <w:tc>
          <w:tcPr>
            <w:tcW w:w="250" w:type="pct"/>
          </w:tcPr>
          <w:p w14:paraId="01CFBBF4" w14:textId="77777777" w:rsidR="0073069E" w:rsidRPr="00166772" w:rsidRDefault="0073069E" w:rsidP="005E3605">
            <w:pPr>
              <w:spacing w:line="360" w:lineRule="auto"/>
              <w:jc w:val="center"/>
              <w:rPr>
                <w:rFonts w:ascii="Arial" w:eastAsia="Times New Roman" w:hAnsi="Arial" w:cs="Arial"/>
                <w:sz w:val="22"/>
                <w:szCs w:val="22"/>
                <w:lang w:val="en-US"/>
              </w:rPr>
            </w:pPr>
            <w:r w:rsidRPr="00166772">
              <w:rPr>
                <w:rFonts w:ascii="Arial" w:eastAsia="Times New Roman" w:hAnsi="Arial" w:cs="Arial"/>
                <w:sz w:val="22"/>
                <w:szCs w:val="22"/>
                <w:lang w:val="en-US"/>
              </w:rPr>
              <w:t>1</w:t>
            </w:r>
          </w:p>
        </w:tc>
        <w:tc>
          <w:tcPr>
            <w:tcW w:w="250" w:type="pct"/>
          </w:tcPr>
          <w:p w14:paraId="196A3E35" w14:textId="77777777" w:rsidR="0073069E" w:rsidRPr="00166772" w:rsidRDefault="0073069E" w:rsidP="005E3605">
            <w:pPr>
              <w:spacing w:line="360" w:lineRule="auto"/>
              <w:jc w:val="center"/>
              <w:rPr>
                <w:rFonts w:ascii="Arial" w:eastAsia="Times New Roman" w:hAnsi="Arial" w:cs="Arial"/>
                <w:sz w:val="22"/>
                <w:szCs w:val="22"/>
                <w:lang w:val="en-US"/>
              </w:rPr>
            </w:pPr>
            <w:r w:rsidRPr="00166772">
              <w:rPr>
                <w:rFonts w:ascii="Arial" w:eastAsia="Times New Roman" w:hAnsi="Arial" w:cs="Arial"/>
                <w:sz w:val="22"/>
                <w:szCs w:val="22"/>
                <w:lang w:val="en-US"/>
              </w:rPr>
              <w:t>0</w:t>
            </w:r>
          </w:p>
        </w:tc>
        <w:tc>
          <w:tcPr>
            <w:tcW w:w="250" w:type="pct"/>
          </w:tcPr>
          <w:p w14:paraId="1BE1446F" w14:textId="77777777" w:rsidR="0073069E" w:rsidRPr="00166772" w:rsidRDefault="0073069E" w:rsidP="005E3605">
            <w:pPr>
              <w:spacing w:line="360" w:lineRule="auto"/>
              <w:jc w:val="center"/>
              <w:rPr>
                <w:rFonts w:ascii="Arial" w:eastAsia="Times New Roman" w:hAnsi="Arial" w:cs="Arial"/>
                <w:sz w:val="22"/>
                <w:szCs w:val="22"/>
                <w:lang w:val="en-US"/>
              </w:rPr>
            </w:pPr>
            <w:r w:rsidRPr="00166772">
              <w:rPr>
                <w:rFonts w:ascii="Arial" w:eastAsia="Times New Roman" w:hAnsi="Arial" w:cs="Arial"/>
                <w:sz w:val="22"/>
                <w:szCs w:val="22"/>
                <w:lang w:val="en-US"/>
              </w:rPr>
              <w:t>0</w:t>
            </w:r>
          </w:p>
        </w:tc>
        <w:tc>
          <w:tcPr>
            <w:tcW w:w="252" w:type="pct"/>
          </w:tcPr>
          <w:p w14:paraId="2C0B2440" w14:textId="77777777" w:rsidR="0073069E" w:rsidRPr="00166772" w:rsidRDefault="0073069E" w:rsidP="005E3605">
            <w:pPr>
              <w:spacing w:line="360" w:lineRule="auto"/>
              <w:jc w:val="center"/>
              <w:rPr>
                <w:rFonts w:ascii="Arial" w:eastAsia="Times New Roman" w:hAnsi="Arial" w:cs="Arial"/>
                <w:sz w:val="22"/>
                <w:szCs w:val="22"/>
                <w:lang w:val="en-US"/>
              </w:rPr>
            </w:pPr>
            <w:r w:rsidRPr="00166772">
              <w:rPr>
                <w:rFonts w:ascii="Arial" w:eastAsia="Times New Roman" w:hAnsi="Arial" w:cs="Arial"/>
                <w:sz w:val="22"/>
                <w:szCs w:val="22"/>
                <w:lang w:val="en-US"/>
              </w:rPr>
              <w:t>0</w:t>
            </w:r>
          </w:p>
        </w:tc>
        <w:tc>
          <w:tcPr>
            <w:tcW w:w="272" w:type="pct"/>
          </w:tcPr>
          <w:p w14:paraId="427A817E" w14:textId="77777777" w:rsidR="0073069E" w:rsidRPr="00166772" w:rsidRDefault="0073069E" w:rsidP="005E3605">
            <w:pPr>
              <w:spacing w:line="360" w:lineRule="auto"/>
              <w:jc w:val="center"/>
              <w:rPr>
                <w:rFonts w:ascii="Arial" w:eastAsia="Times New Roman" w:hAnsi="Arial" w:cs="Arial"/>
                <w:sz w:val="22"/>
                <w:szCs w:val="22"/>
                <w:lang w:val="en-US"/>
              </w:rPr>
            </w:pPr>
            <w:r w:rsidRPr="00166772">
              <w:rPr>
                <w:rFonts w:ascii="Arial" w:eastAsia="Times New Roman" w:hAnsi="Arial" w:cs="Arial"/>
                <w:sz w:val="22"/>
                <w:szCs w:val="22"/>
                <w:lang w:val="en-US"/>
              </w:rPr>
              <w:t>?</w:t>
            </w:r>
          </w:p>
        </w:tc>
        <w:tc>
          <w:tcPr>
            <w:tcW w:w="272" w:type="pct"/>
          </w:tcPr>
          <w:p w14:paraId="70C69B3B" w14:textId="77777777" w:rsidR="0073069E" w:rsidRPr="00166772" w:rsidRDefault="0073069E" w:rsidP="005E3605">
            <w:pPr>
              <w:spacing w:line="360" w:lineRule="auto"/>
              <w:jc w:val="center"/>
              <w:rPr>
                <w:rFonts w:ascii="Arial" w:eastAsia="Times New Roman" w:hAnsi="Arial" w:cs="Arial"/>
                <w:sz w:val="22"/>
                <w:szCs w:val="22"/>
                <w:lang w:val="en-US"/>
              </w:rPr>
            </w:pPr>
            <w:r w:rsidRPr="00166772">
              <w:rPr>
                <w:rFonts w:ascii="Arial" w:eastAsia="Times New Roman" w:hAnsi="Arial" w:cs="Arial"/>
                <w:sz w:val="22"/>
                <w:szCs w:val="22"/>
                <w:lang w:val="en-US"/>
              </w:rPr>
              <w:t>0</w:t>
            </w:r>
          </w:p>
        </w:tc>
        <w:tc>
          <w:tcPr>
            <w:tcW w:w="273" w:type="pct"/>
          </w:tcPr>
          <w:p w14:paraId="0E3E2C2F" w14:textId="77777777" w:rsidR="0073069E" w:rsidRPr="00166772" w:rsidRDefault="0073069E" w:rsidP="005E3605">
            <w:pPr>
              <w:spacing w:line="360" w:lineRule="auto"/>
              <w:jc w:val="center"/>
              <w:rPr>
                <w:rFonts w:ascii="Arial" w:eastAsia="Times New Roman" w:hAnsi="Arial" w:cs="Arial"/>
                <w:sz w:val="22"/>
                <w:szCs w:val="22"/>
                <w:lang w:val="en-US"/>
              </w:rPr>
            </w:pPr>
            <w:r w:rsidRPr="00166772">
              <w:rPr>
                <w:rFonts w:ascii="Arial" w:eastAsia="Times New Roman" w:hAnsi="Arial" w:cs="Arial"/>
                <w:sz w:val="22"/>
                <w:szCs w:val="22"/>
                <w:lang w:val="en-US"/>
              </w:rPr>
              <w:t>0</w:t>
            </w:r>
          </w:p>
        </w:tc>
        <w:tc>
          <w:tcPr>
            <w:tcW w:w="272" w:type="pct"/>
          </w:tcPr>
          <w:p w14:paraId="0231C365" w14:textId="77777777" w:rsidR="0073069E" w:rsidRPr="00166772" w:rsidRDefault="0073069E" w:rsidP="005E3605">
            <w:pPr>
              <w:spacing w:line="360" w:lineRule="auto"/>
              <w:jc w:val="center"/>
              <w:rPr>
                <w:rFonts w:ascii="Arial" w:eastAsia="Times New Roman" w:hAnsi="Arial" w:cs="Arial"/>
                <w:sz w:val="22"/>
                <w:szCs w:val="22"/>
                <w:lang w:val="en-US"/>
              </w:rPr>
            </w:pPr>
            <w:r w:rsidRPr="00166772">
              <w:rPr>
                <w:rFonts w:ascii="Arial" w:eastAsia="Times New Roman" w:hAnsi="Arial" w:cs="Arial"/>
                <w:sz w:val="22"/>
                <w:szCs w:val="22"/>
                <w:lang w:val="en-US"/>
              </w:rPr>
              <w:t>?</w:t>
            </w:r>
          </w:p>
        </w:tc>
        <w:tc>
          <w:tcPr>
            <w:tcW w:w="277" w:type="pct"/>
          </w:tcPr>
          <w:p w14:paraId="4A21B5A2" w14:textId="77777777" w:rsidR="0073069E" w:rsidRPr="00166772" w:rsidRDefault="0073069E" w:rsidP="005E3605">
            <w:pPr>
              <w:spacing w:line="360" w:lineRule="auto"/>
              <w:jc w:val="center"/>
              <w:rPr>
                <w:rFonts w:ascii="Arial" w:eastAsia="Times New Roman" w:hAnsi="Arial" w:cs="Arial"/>
                <w:sz w:val="22"/>
                <w:szCs w:val="22"/>
                <w:lang w:val="en-US"/>
              </w:rPr>
            </w:pPr>
            <w:r w:rsidRPr="00166772">
              <w:rPr>
                <w:rFonts w:ascii="Arial" w:eastAsia="Times New Roman" w:hAnsi="Arial" w:cs="Arial"/>
                <w:sz w:val="22"/>
                <w:szCs w:val="22"/>
                <w:lang w:val="en-US"/>
              </w:rPr>
              <w:t>?</w:t>
            </w:r>
          </w:p>
        </w:tc>
        <w:tc>
          <w:tcPr>
            <w:tcW w:w="908" w:type="pct"/>
            <w:vAlign w:val="center"/>
          </w:tcPr>
          <w:p w14:paraId="0A41EDAF" w14:textId="77777777" w:rsidR="0073069E" w:rsidRPr="00166772" w:rsidRDefault="0073069E" w:rsidP="005E3605">
            <w:pPr>
              <w:spacing w:line="360" w:lineRule="auto"/>
              <w:jc w:val="center"/>
              <w:rPr>
                <w:rFonts w:ascii="Arial" w:eastAsia="Times New Roman" w:hAnsi="Arial" w:cs="Arial"/>
                <w:bCs/>
                <w:color w:val="000000"/>
                <w:sz w:val="22"/>
                <w:szCs w:val="22"/>
              </w:rPr>
            </w:pPr>
            <w:r w:rsidRPr="00166772">
              <w:rPr>
                <w:rFonts w:ascii="Arial" w:eastAsia="Times New Roman" w:hAnsi="Arial" w:cs="Arial"/>
                <w:bCs/>
                <w:color w:val="000000"/>
                <w:sz w:val="22"/>
                <w:szCs w:val="22"/>
              </w:rPr>
              <w:t>High</w:t>
            </w:r>
          </w:p>
        </w:tc>
      </w:tr>
      <w:tr w:rsidR="0073069E" w:rsidRPr="00166772" w14:paraId="5ABBBB62" w14:textId="77777777" w:rsidTr="005E3605">
        <w:trPr>
          <w:trHeight w:val="280"/>
          <w:jc w:val="center"/>
        </w:trPr>
        <w:tc>
          <w:tcPr>
            <w:tcW w:w="1473" w:type="pct"/>
            <w:shd w:val="clear" w:color="auto" w:fill="auto"/>
            <w:noWrap/>
            <w:vAlign w:val="bottom"/>
          </w:tcPr>
          <w:p w14:paraId="4EB214A6" w14:textId="77777777" w:rsidR="0073069E" w:rsidRPr="00166772" w:rsidRDefault="0073069E" w:rsidP="005E3605">
            <w:pPr>
              <w:spacing w:line="360" w:lineRule="auto"/>
              <w:rPr>
                <w:rFonts w:ascii="Arial" w:eastAsia="Times New Roman" w:hAnsi="Arial" w:cs="Arial"/>
                <w:sz w:val="22"/>
                <w:szCs w:val="22"/>
              </w:rPr>
            </w:pPr>
            <w:r w:rsidRPr="00166772">
              <w:rPr>
                <w:rFonts w:ascii="Arial" w:eastAsia="Times New Roman" w:hAnsi="Arial" w:cs="Arial"/>
                <w:sz w:val="22"/>
                <w:szCs w:val="22"/>
                <w:lang w:val="en-US"/>
              </w:rPr>
              <w:t>Bara &amp; Arber, 2009</w:t>
            </w:r>
          </w:p>
        </w:tc>
        <w:tc>
          <w:tcPr>
            <w:tcW w:w="250" w:type="pct"/>
          </w:tcPr>
          <w:p w14:paraId="20CF08F0" w14:textId="77777777" w:rsidR="0073069E" w:rsidRPr="00166772" w:rsidRDefault="0073069E" w:rsidP="005E3605">
            <w:pPr>
              <w:spacing w:line="360" w:lineRule="auto"/>
              <w:jc w:val="center"/>
              <w:rPr>
                <w:rFonts w:ascii="Arial" w:eastAsia="Times New Roman" w:hAnsi="Arial" w:cs="Arial"/>
                <w:sz w:val="22"/>
                <w:szCs w:val="22"/>
                <w:lang w:val="en-US"/>
              </w:rPr>
            </w:pPr>
            <w:r w:rsidRPr="00166772">
              <w:rPr>
                <w:rFonts w:ascii="Arial" w:eastAsia="Times New Roman" w:hAnsi="Arial" w:cs="Arial"/>
                <w:sz w:val="22"/>
                <w:szCs w:val="22"/>
                <w:lang w:val="en-US"/>
              </w:rPr>
              <w:t>1</w:t>
            </w:r>
          </w:p>
        </w:tc>
        <w:tc>
          <w:tcPr>
            <w:tcW w:w="250" w:type="pct"/>
          </w:tcPr>
          <w:p w14:paraId="4196907E" w14:textId="77777777" w:rsidR="0073069E" w:rsidRPr="00166772" w:rsidRDefault="0073069E" w:rsidP="005E3605">
            <w:pPr>
              <w:spacing w:line="360" w:lineRule="auto"/>
              <w:jc w:val="center"/>
              <w:rPr>
                <w:rFonts w:ascii="Arial" w:eastAsia="Times New Roman" w:hAnsi="Arial" w:cs="Arial"/>
                <w:sz w:val="22"/>
                <w:szCs w:val="22"/>
                <w:lang w:val="en-US"/>
              </w:rPr>
            </w:pPr>
            <w:r w:rsidRPr="00166772">
              <w:rPr>
                <w:rFonts w:ascii="Arial" w:eastAsia="Times New Roman" w:hAnsi="Arial" w:cs="Arial"/>
                <w:sz w:val="22"/>
                <w:szCs w:val="22"/>
                <w:lang w:val="en-US"/>
              </w:rPr>
              <w:t>1</w:t>
            </w:r>
          </w:p>
        </w:tc>
        <w:tc>
          <w:tcPr>
            <w:tcW w:w="250" w:type="pct"/>
          </w:tcPr>
          <w:p w14:paraId="4831F92E" w14:textId="77777777" w:rsidR="0073069E" w:rsidRPr="00166772" w:rsidRDefault="0073069E" w:rsidP="005E3605">
            <w:pPr>
              <w:spacing w:line="360" w:lineRule="auto"/>
              <w:jc w:val="center"/>
              <w:rPr>
                <w:rFonts w:ascii="Arial" w:eastAsia="Times New Roman" w:hAnsi="Arial" w:cs="Arial"/>
                <w:sz w:val="22"/>
                <w:szCs w:val="22"/>
                <w:lang w:val="en-US"/>
              </w:rPr>
            </w:pPr>
            <w:r w:rsidRPr="00166772">
              <w:rPr>
                <w:rFonts w:ascii="Arial" w:eastAsia="Times New Roman" w:hAnsi="Arial" w:cs="Arial"/>
                <w:sz w:val="22"/>
                <w:szCs w:val="22"/>
                <w:lang w:val="en-US"/>
              </w:rPr>
              <w:t>0</w:t>
            </w:r>
          </w:p>
        </w:tc>
        <w:tc>
          <w:tcPr>
            <w:tcW w:w="250" w:type="pct"/>
          </w:tcPr>
          <w:p w14:paraId="40313785" w14:textId="77777777" w:rsidR="0073069E" w:rsidRPr="00166772" w:rsidRDefault="0073069E" w:rsidP="005E3605">
            <w:pPr>
              <w:spacing w:line="360" w:lineRule="auto"/>
              <w:jc w:val="center"/>
              <w:rPr>
                <w:rFonts w:ascii="Arial" w:eastAsia="Times New Roman" w:hAnsi="Arial" w:cs="Arial"/>
                <w:sz w:val="22"/>
                <w:szCs w:val="22"/>
                <w:lang w:val="en-US"/>
              </w:rPr>
            </w:pPr>
            <w:r w:rsidRPr="00166772">
              <w:rPr>
                <w:rFonts w:ascii="Arial" w:eastAsia="Times New Roman" w:hAnsi="Arial" w:cs="Arial"/>
                <w:sz w:val="22"/>
                <w:szCs w:val="22"/>
                <w:lang w:val="en-US"/>
              </w:rPr>
              <w:t>0</w:t>
            </w:r>
          </w:p>
        </w:tc>
        <w:tc>
          <w:tcPr>
            <w:tcW w:w="252" w:type="pct"/>
          </w:tcPr>
          <w:p w14:paraId="3B2BD30A" w14:textId="77777777" w:rsidR="0073069E" w:rsidRPr="00166772" w:rsidRDefault="0073069E" w:rsidP="005E3605">
            <w:pPr>
              <w:spacing w:line="360" w:lineRule="auto"/>
              <w:jc w:val="center"/>
              <w:rPr>
                <w:rFonts w:ascii="Arial" w:eastAsia="Times New Roman" w:hAnsi="Arial" w:cs="Arial"/>
                <w:sz w:val="22"/>
                <w:szCs w:val="22"/>
                <w:lang w:val="en-US"/>
              </w:rPr>
            </w:pPr>
            <w:r w:rsidRPr="00166772">
              <w:rPr>
                <w:rFonts w:ascii="Arial" w:eastAsia="Times New Roman" w:hAnsi="Arial" w:cs="Arial"/>
                <w:sz w:val="22"/>
                <w:szCs w:val="22"/>
                <w:lang w:val="en-US"/>
              </w:rPr>
              <w:t>0</w:t>
            </w:r>
          </w:p>
        </w:tc>
        <w:tc>
          <w:tcPr>
            <w:tcW w:w="272" w:type="pct"/>
          </w:tcPr>
          <w:p w14:paraId="1B4C0BCA" w14:textId="77777777" w:rsidR="0073069E" w:rsidRPr="00166772" w:rsidRDefault="0073069E" w:rsidP="005E3605">
            <w:pPr>
              <w:spacing w:line="360" w:lineRule="auto"/>
              <w:jc w:val="center"/>
              <w:rPr>
                <w:rFonts w:ascii="Arial" w:eastAsia="Times New Roman" w:hAnsi="Arial" w:cs="Arial"/>
                <w:sz w:val="22"/>
                <w:szCs w:val="22"/>
                <w:lang w:val="en-US"/>
              </w:rPr>
            </w:pPr>
            <w:r w:rsidRPr="00166772">
              <w:rPr>
                <w:rFonts w:ascii="Arial" w:eastAsia="Times New Roman" w:hAnsi="Arial" w:cs="Arial"/>
                <w:sz w:val="22"/>
                <w:szCs w:val="22"/>
                <w:lang w:val="en-US"/>
              </w:rPr>
              <w:t>?</w:t>
            </w:r>
          </w:p>
        </w:tc>
        <w:tc>
          <w:tcPr>
            <w:tcW w:w="272" w:type="pct"/>
          </w:tcPr>
          <w:p w14:paraId="4F6D001A" w14:textId="77777777" w:rsidR="0073069E" w:rsidRPr="00166772" w:rsidRDefault="0073069E" w:rsidP="005E3605">
            <w:pPr>
              <w:spacing w:line="360" w:lineRule="auto"/>
              <w:jc w:val="center"/>
              <w:rPr>
                <w:rFonts w:ascii="Arial" w:eastAsia="Times New Roman" w:hAnsi="Arial" w:cs="Arial"/>
                <w:sz w:val="22"/>
                <w:szCs w:val="22"/>
                <w:lang w:val="en-US"/>
              </w:rPr>
            </w:pPr>
            <w:r w:rsidRPr="00166772">
              <w:rPr>
                <w:rFonts w:ascii="Arial" w:eastAsia="Times New Roman" w:hAnsi="Arial" w:cs="Arial"/>
                <w:sz w:val="22"/>
                <w:szCs w:val="22"/>
                <w:lang w:val="en-US"/>
              </w:rPr>
              <w:t>0</w:t>
            </w:r>
          </w:p>
        </w:tc>
        <w:tc>
          <w:tcPr>
            <w:tcW w:w="273" w:type="pct"/>
          </w:tcPr>
          <w:p w14:paraId="23A9B65F" w14:textId="77777777" w:rsidR="0073069E" w:rsidRPr="00166772" w:rsidRDefault="0073069E" w:rsidP="005E3605">
            <w:pPr>
              <w:spacing w:line="360" w:lineRule="auto"/>
              <w:jc w:val="center"/>
              <w:rPr>
                <w:rFonts w:ascii="Arial" w:eastAsia="Times New Roman" w:hAnsi="Arial" w:cs="Arial"/>
                <w:sz w:val="22"/>
                <w:szCs w:val="22"/>
                <w:lang w:val="en-US"/>
              </w:rPr>
            </w:pPr>
            <w:r w:rsidRPr="00166772">
              <w:rPr>
                <w:rFonts w:ascii="Arial" w:eastAsia="Times New Roman" w:hAnsi="Arial" w:cs="Arial"/>
                <w:sz w:val="22"/>
                <w:szCs w:val="22"/>
                <w:lang w:val="en-US"/>
              </w:rPr>
              <w:t>0</w:t>
            </w:r>
          </w:p>
        </w:tc>
        <w:tc>
          <w:tcPr>
            <w:tcW w:w="272" w:type="pct"/>
          </w:tcPr>
          <w:p w14:paraId="40C61495" w14:textId="77777777" w:rsidR="0073069E" w:rsidRPr="00166772" w:rsidRDefault="0073069E" w:rsidP="005E3605">
            <w:pPr>
              <w:spacing w:line="360" w:lineRule="auto"/>
              <w:jc w:val="center"/>
              <w:rPr>
                <w:rFonts w:ascii="Arial" w:eastAsia="Times New Roman" w:hAnsi="Arial" w:cs="Arial"/>
                <w:sz w:val="22"/>
                <w:szCs w:val="22"/>
                <w:lang w:val="en-US"/>
              </w:rPr>
            </w:pPr>
            <w:r w:rsidRPr="00166772">
              <w:rPr>
                <w:rFonts w:ascii="Arial" w:eastAsia="Times New Roman" w:hAnsi="Arial" w:cs="Arial"/>
                <w:sz w:val="22"/>
                <w:szCs w:val="22"/>
                <w:lang w:val="en-US"/>
              </w:rPr>
              <w:t>0</w:t>
            </w:r>
          </w:p>
        </w:tc>
        <w:tc>
          <w:tcPr>
            <w:tcW w:w="277" w:type="pct"/>
          </w:tcPr>
          <w:p w14:paraId="0A106934" w14:textId="77777777" w:rsidR="0073069E" w:rsidRPr="00166772" w:rsidRDefault="0073069E" w:rsidP="005E3605">
            <w:pPr>
              <w:spacing w:line="360" w:lineRule="auto"/>
              <w:jc w:val="center"/>
              <w:rPr>
                <w:rFonts w:ascii="Arial" w:eastAsia="Times New Roman" w:hAnsi="Arial" w:cs="Arial"/>
                <w:sz w:val="22"/>
                <w:szCs w:val="22"/>
                <w:lang w:val="en-US"/>
              </w:rPr>
            </w:pPr>
            <w:r w:rsidRPr="00166772">
              <w:rPr>
                <w:rFonts w:ascii="Arial" w:eastAsia="Times New Roman" w:hAnsi="Arial" w:cs="Arial"/>
                <w:sz w:val="22"/>
                <w:szCs w:val="22"/>
                <w:lang w:val="en-US"/>
              </w:rPr>
              <w:t>0</w:t>
            </w:r>
          </w:p>
        </w:tc>
        <w:tc>
          <w:tcPr>
            <w:tcW w:w="908" w:type="pct"/>
            <w:vAlign w:val="center"/>
          </w:tcPr>
          <w:p w14:paraId="32A0B7E6" w14:textId="77777777" w:rsidR="0073069E" w:rsidRPr="00166772" w:rsidRDefault="0073069E" w:rsidP="005E3605">
            <w:pPr>
              <w:spacing w:line="360" w:lineRule="auto"/>
              <w:jc w:val="center"/>
              <w:rPr>
                <w:rFonts w:ascii="Arial" w:eastAsia="Times New Roman" w:hAnsi="Arial" w:cs="Arial"/>
                <w:bCs/>
                <w:color w:val="000000"/>
                <w:sz w:val="22"/>
                <w:szCs w:val="22"/>
              </w:rPr>
            </w:pPr>
            <w:r w:rsidRPr="00166772">
              <w:rPr>
                <w:rFonts w:ascii="Arial" w:eastAsia="Times New Roman" w:hAnsi="Arial" w:cs="Arial"/>
                <w:bCs/>
                <w:color w:val="000000"/>
                <w:sz w:val="22"/>
                <w:szCs w:val="22"/>
              </w:rPr>
              <w:t>High</w:t>
            </w:r>
          </w:p>
        </w:tc>
      </w:tr>
      <w:tr w:rsidR="0073069E" w:rsidRPr="00166772" w14:paraId="552CEC59" w14:textId="77777777" w:rsidTr="005E3605">
        <w:trPr>
          <w:trHeight w:val="280"/>
          <w:jc w:val="center"/>
        </w:trPr>
        <w:tc>
          <w:tcPr>
            <w:tcW w:w="1473" w:type="pct"/>
            <w:shd w:val="clear" w:color="auto" w:fill="auto"/>
            <w:noWrap/>
            <w:vAlign w:val="bottom"/>
          </w:tcPr>
          <w:p w14:paraId="6F108DB8" w14:textId="77777777" w:rsidR="0073069E" w:rsidRPr="00166772" w:rsidRDefault="0073069E" w:rsidP="005E3605">
            <w:pPr>
              <w:spacing w:line="360" w:lineRule="auto"/>
              <w:rPr>
                <w:rFonts w:ascii="Arial" w:eastAsia="Times New Roman" w:hAnsi="Arial" w:cs="Arial"/>
                <w:sz w:val="22"/>
                <w:szCs w:val="22"/>
              </w:rPr>
            </w:pPr>
            <w:r w:rsidRPr="00166772">
              <w:rPr>
                <w:rFonts w:ascii="Arial" w:eastAsia="Times New Roman" w:hAnsi="Arial" w:cs="Arial"/>
                <w:sz w:val="22"/>
                <w:szCs w:val="22"/>
              </w:rPr>
              <w:t>De Raeve et al., 2009</w:t>
            </w:r>
          </w:p>
        </w:tc>
        <w:tc>
          <w:tcPr>
            <w:tcW w:w="250" w:type="pct"/>
          </w:tcPr>
          <w:p w14:paraId="6919B3FE" w14:textId="77777777" w:rsidR="0073069E" w:rsidRPr="00166772" w:rsidRDefault="0073069E" w:rsidP="005E3605">
            <w:pPr>
              <w:spacing w:line="360" w:lineRule="auto"/>
              <w:jc w:val="center"/>
              <w:rPr>
                <w:rFonts w:ascii="Arial" w:eastAsia="Times New Roman" w:hAnsi="Arial" w:cs="Arial"/>
                <w:sz w:val="22"/>
                <w:szCs w:val="22"/>
                <w:lang w:val="en-US"/>
              </w:rPr>
            </w:pPr>
            <w:r w:rsidRPr="00166772">
              <w:rPr>
                <w:rFonts w:ascii="Arial" w:eastAsia="Times New Roman" w:hAnsi="Arial" w:cs="Arial"/>
                <w:sz w:val="22"/>
                <w:szCs w:val="22"/>
                <w:lang w:val="en-US"/>
              </w:rPr>
              <w:t>1</w:t>
            </w:r>
          </w:p>
        </w:tc>
        <w:tc>
          <w:tcPr>
            <w:tcW w:w="250" w:type="pct"/>
          </w:tcPr>
          <w:p w14:paraId="1A1B03B3" w14:textId="77777777" w:rsidR="0073069E" w:rsidRPr="00166772" w:rsidRDefault="0073069E" w:rsidP="005E3605">
            <w:pPr>
              <w:spacing w:line="360" w:lineRule="auto"/>
              <w:jc w:val="center"/>
              <w:rPr>
                <w:rFonts w:ascii="Arial" w:eastAsia="Times New Roman" w:hAnsi="Arial" w:cs="Arial"/>
                <w:sz w:val="22"/>
                <w:szCs w:val="22"/>
                <w:lang w:val="en-US"/>
              </w:rPr>
            </w:pPr>
            <w:r w:rsidRPr="00166772">
              <w:rPr>
                <w:rFonts w:ascii="Arial" w:eastAsia="Times New Roman" w:hAnsi="Arial" w:cs="Arial"/>
                <w:sz w:val="22"/>
                <w:szCs w:val="22"/>
                <w:lang w:val="en-US"/>
              </w:rPr>
              <w:t>1</w:t>
            </w:r>
          </w:p>
        </w:tc>
        <w:tc>
          <w:tcPr>
            <w:tcW w:w="250" w:type="pct"/>
          </w:tcPr>
          <w:p w14:paraId="19699723" w14:textId="77777777" w:rsidR="0073069E" w:rsidRPr="00166772" w:rsidRDefault="0073069E" w:rsidP="005E3605">
            <w:pPr>
              <w:spacing w:line="360" w:lineRule="auto"/>
              <w:jc w:val="center"/>
              <w:rPr>
                <w:rFonts w:ascii="Arial" w:eastAsia="Times New Roman" w:hAnsi="Arial" w:cs="Arial"/>
                <w:sz w:val="22"/>
                <w:szCs w:val="22"/>
                <w:lang w:val="en-US"/>
              </w:rPr>
            </w:pPr>
            <w:r w:rsidRPr="00166772">
              <w:rPr>
                <w:rFonts w:ascii="Arial" w:eastAsia="Times New Roman" w:hAnsi="Arial" w:cs="Arial"/>
                <w:sz w:val="22"/>
                <w:szCs w:val="22"/>
                <w:lang w:val="en-US"/>
              </w:rPr>
              <w:t>0</w:t>
            </w:r>
          </w:p>
        </w:tc>
        <w:tc>
          <w:tcPr>
            <w:tcW w:w="250" w:type="pct"/>
          </w:tcPr>
          <w:p w14:paraId="02D7DA88" w14:textId="77777777" w:rsidR="0073069E" w:rsidRPr="00166772" w:rsidRDefault="0073069E" w:rsidP="005E3605">
            <w:pPr>
              <w:spacing w:line="360" w:lineRule="auto"/>
              <w:jc w:val="center"/>
              <w:rPr>
                <w:rFonts w:ascii="Arial" w:eastAsia="Times New Roman" w:hAnsi="Arial" w:cs="Arial"/>
                <w:sz w:val="22"/>
                <w:szCs w:val="22"/>
                <w:lang w:val="en-US"/>
              </w:rPr>
            </w:pPr>
            <w:r w:rsidRPr="00166772">
              <w:rPr>
                <w:rFonts w:ascii="Arial" w:eastAsia="Times New Roman" w:hAnsi="Arial" w:cs="Arial"/>
                <w:sz w:val="22"/>
                <w:szCs w:val="22"/>
                <w:lang w:val="en-US"/>
              </w:rPr>
              <w:t>0</w:t>
            </w:r>
          </w:p>
        </w:tc>
        <w:tc>
          <w:tcPr>
            <w:tcW w:w="252" w:type="pct"/>
          </w:tcPr>
          <w:p w14:paraId="2DE74B74" w14:textId="77777777" w:rsidR="0073069E" w:rsidRPr="00166772" w:rsidRDefault="0073069E" w:rsidP="005E3605">
            <w:pPr>
              <w:spacing w:line="360" w:lineRule="auto"/>
              <w:jc w:val="center"/>
              <w:rPr>
                <w:rFonts w:ascii="Arial" w:eastAsia="Times New Roman" w:hAnsi="Arial" w:cs="Arial"/>
                <w:sz w:val="22"/>
                <w:szCs w:val="22"/>
                <w:lang w:val="en-US"/>
              </w:rPr>
            </w:pPr>
            <w:r w:rsidRPr="00166772">
              <w:rPr>
                <w:rFonts w:ascii="Arial" w:eastAsia="Times New Roman" w:hAnsi="Arial" w:cs="Arial"/>
                <w:sz w:val="22"/>
                <w:szCs w:val="22"/>
                <w:lang w:val="en-US"/>
              </w:rPr>
              <w:t>0</w:t>
            </w:r>
          </w:p>
        </w:tc>
        <w:tc>
          <w:tcPr>
            <w:tcW w:w="272" w:type="pct"/>
          </w:tcPr>
          <w:p w14:paraId="1D4675E4" w14:textId="77777777" w:rsidR="0073069E" w:rsidRPr="00166772" w:rsidRDefault="0073069E" w:rsidP="005E3605">
            <w:pPr>
              <w:spacing w:line="360" w:lineRule="auto"/>
              <w:jc w:val="center"/>
              <w:rPr>
                <w:rFonts w:ascii="Arial" w:eastAsia="Times New Roman" w:hAnsi="Arial" w:cs="Arial"/>
                <w:sz w:val="22"/>
                <w:szCs w:val="22"/>
                <w:lang w:val="en-US"/>
              </w:rPr>
            </w:pPr>
            <w:r w:rsidRPr="00166772">
              <w:rPr>
                <w:rFonts w:ascii="Arial" w:eastAsia="Times New Roman" w:hAnsi="Arial" w:cs="Arial"/>
                <w:sz w:val="22"/>
                <w:szCs w:val="22"/>
                <w:lang w:val="en-US"/>
              </w:rPr>
              <w:t>?</w:t>
            </w:r>
          </w:p>
        </w:tc>
        <w:tc>
          <w:tcPr>
            <w:tcW w:w="272" w:type="pct"/>
          </w:tcPr>
          <w:p w14:paraId="332560A7" w14:textId="77777777" w:rsidR="0073069E" w:rsidRPr="00166772" w:rsidRDefault="0073069E" w:rsidP="005E3605">
            <w:pPr>
              <w:spacing w:line="360" w:lineRule="auto"/>
              <w:jc w:val="center"/>
              <w:rPr>
                <w:rFonts w:ascii="Arial" w:eastAsia="Times New Roman" w:hAnsi="Arial" w:cs="Arial"/>
                <w:sz w:val="22"/>
                <w:szCs w:val="22"/>
                <w:lang w:val="en-US"/>
              </w:rPr>
            </w:pPr>
            <w:r w:rsidRPr="00166772">
              <w:rPr>
                <w:rFonts w:ascii="Arial" w:eastAsia="Times New Roman" w:hAnsi="Arial" w:cs="Arial"/>
                <w:sz w:val="22"/>
                <w:szCs w:val="22"/>
                <w:lang w:val="en-US"/>
              </w:rPr>
              <w:t>1</w:t>
            </w:r>
          </w:p>
        </w:tc>
        <w:tc>
          <w:tcPr>
            <w:tcW w:w="273" w:type="pct"/>
          </w:tcPr>
          <w:p w14:paraId="3BF9C2AE" w14:textId="77777777" w:rsidR="0073069E" w:rsidRPr="00166772" w:rsidRDefault="0073069E" w:rsidP="005E3605">
            <w:pPr>
              <w:spacing w:line="360" w:lineRule="auto"/>
              <w:jc w:val="center"/>
              <w:rPr>
                <w:rFonts w:ascii="Arial" w:eastAsia="Times New Roman" w:hAnsi="Arial" w:cs="Arial"/>
                <w:sz w:val="22"/>
                <w:szCs w:val="22"/>
                <w:lang w:val="en-US"/>
              </w:rPr>
            </w:pPr>
            <w:r w:rsidRPr="00166772">
              <w:rPr>
                <w:rFonts w:ascii="Arial" w:eastAsia="Times New Roman" w:hAnsi="Arial" w:cs="Arial"/>
                <w:sz w:val="22"/>
                <w:szCs w:val="22"/>
                <w:lang w:val="en-US"/>
              </w:rPr>
              <w:t>0</w:t>
            </w:r>
          </w:p>
        </w:tc>
        <w:tc>
          <w:tcPr>
            <w:tcW w:w="272" w:type="pct"/>
          </w:tcPr>
          <w:p w14:paraId="77AE6925" w14:textId="77777777" w:rsidR="0073069E" w:rsidRPr="00166772" w:rsidRDefault="0073069E" w:rsidP="005E3605">
            <w:pPr>
              <w:spacing w:line="360" w:lineRule="auto"/>
              <w:jc w:val="center"/>
              <w:rPr>
                <w:rFonts w:ascii="Arial" w:eastAsia="Times New Roman" w:hAnsi="Arial" w:cs="Arial"/>
                <w:sz w:val="22"/>
                <w:szCs w:val="22"/>
                <w:lang w:val="en-US"/>
              </w:rPr>
            </w:pPr>
            <w:r w:rsidRPr="00166772">
              <w:rPr>
                <w:rFonts w:ascii="Arial" w:eastAsia="Times New Roman" w:hAnsi="Arial" w:cs="Arial"/>
                <w:sz w:val="22"/>
                <w:szCs w:val="22"/>
                <w:lang w:val="en-US"/>
              </w:rPr>
              <w:t>?</w:t>
            </w:r>
          </w:p>
        </w:tc>
        <w:tc>
          <w:tcPr>
            <w:tcW w:w="277" w:type="pct"/>
          </w:tcPr>
          <w:p w14:paraId="7904ABC5" w14:textId="77777777" w:rsidR="0073069E" w:rsidRPr="00166772" w:rsidRDefault="0073069E" w:rsidP="005E3605">
            <w:pPr>
              <w:spacing w:line="360" w:lineRule="auto"/>
              <w:jc w:val="center"/>
              <w:rPr>
                <w:rFonts w:ascii="Arial" w:eastAsia="Times New Roman" w:hAnsi="Arial" w:cs="Arial"/>
                <w:sz w:val="22"/>
                <w:szCs w:val="22"/>
                <w:lang w:val="en-US"/>
              </w:rPr>
            </w:pPr>
            <w:r w:rsidRPr="00166772">
              <w:rPr>
                <w:rFonts w:ascii="Arial" w:eastAsia="Times New Roman" w:hAnsi="Arial" w:cs="Arial"/>
                <w:sz w:val="22"/>
                <w:szCs w:val="22"/>
                <w:lang w:val="en-US"/>
              </w:rPr>
              <w:t>0</w:t>
            </w:r>
          </w:p>
        </w:tc>
        <w:tc>
          <w:tcPr>
            <w:tcW w:w="908" w:type="pct"/>
            <w:vAlign w:val="center"/>
          </w:tcPr>
          <w:p w14:paraId="433EA42B" w14:textId="77777777" w:rsidR="0073069E" w:rsidRPr="00166772" w:rsidRDefault="0073069E" w:rsidP="005E3605">
            <w:pPr>
              <w:spacing w:line="360" w:lineRule="auto"/>
              <w:jc w:val="center"/>
              <w:rPr>
                <w:rFonts w:ascii="Arial" w:eastAsia="Times New Roman" w:hAnsi="Arial" w:cs="Arial"/>
                <w:bCs/>
                <w:color w:val="000000"/>
                <w:sz w:val="22"/>
                <w:szCs w:val="22"/>
              </w:rPr>
            </w:pPr>
            <w:r w:rsidRPr="00166772">
              <w:rPr>
                <w:rFonts w:ascii="Arial" w:eastAsia="Times New Roman" w:hAnsi="Arial" w:cs="Arial"/>
                <w:bCs/>
                <w:color w:val="000000"/>
                <w:sz w:val="22"/>
                <w:szCs w:val="22"/>
              </w:rPr>
              <w:t>High</w:t>
            </w:r>
          </w:p>
        </w:tc>
      </w:tr>
      <w:tr w:rsidR="0073069E" w:rsidRPr="00166772" w14:paraId="7885E399" w14:textId="77777777" w:rsidTr="005E3605">
        <w:trPr>
          <w:trHeight w:val="280"/>
          <w:jc w:val="center"/>
        </w:trPr>
        <w:tc>
          <w:tcPr>
            <w:tcW w:w="1473" w:type="pct"/>
            <w:shd w:val="clear" w:color="auto" w:fill="auto"/>
            <w:noWrap/>
            <w:vAlign w:val="bottom"/>
          </w:tcPr>
          <w:p w14:paraId="3773ED4C" w14:textId="77777777" w:rsidR="0073069E" w:rsidRPr="00166772" w:rsidRDefault="0073069E" w:rsidP="005E3605">
            <w:pPr>
              <w:spacing w:line="360" w:lineRule="auto"/>
              <w:rPr>
                <w:rFonts w:ascii="Arial" w:eastAsia="Times New Roman" w:hAnsi="Arial" w:cs="Arial"/>
                <w:sz w:val="22"/>
                <w:szCs w:val="22"/>
              </w:rPr>
            </w:pPr>
            <w:r w:rsidRPr="00166772">
              <w:rPr>
                <w:rFonts w:ascii="Arial" w:eastAsia="Times New Roman" w:hAnsi="Arial" w:cs="Arial"/>
                <w:sz w:val="22"/>
                <w:szCs w:val="22"/>
              </w:rPr>
              <w:t>Driesden et al. 2011</w:t>
            </w:r>
          </w:p>
        </w:tc>
        <w:tc>
          <w:tcPr>
            <w:tcW w:w="250" w:type="pct"/>
          </w:tcPr>
          <w:p w14:paraId="756343B7" w14:textId="77777777" w:rsidR="0073069E" w:rsidRPr="00166772" w:rsidRDefault="0073069E" w:rsidP="005E3605">
            <w:pPr>
              <w:spacing w:line="360" w:lineRule="auto"/>
              <w:jc w:val="center"/>
              <w:rPr>
                <w:rFonts w:ascii="Arial" w:eastAsia="Times New Roman" w:hAnsi="Arial" w:cs="Arial"/>
                <w:sz w:val="22"/>
                <w:szCs w:val="22"/>
                <w:lang w:val="en-US"/>
              </w:rPr>
            </w:pPr>
            <w:r w:rsidRPr="00166772">
              <w:rPr>
                <w:rFonts w:ascii="Arial" w:eastAsia="Times New Roman" w:hAnsi="Arial" w:cs="Arial"/>
                <w:sz w:val="22"/>
                <w:szCs w:val="22"/>
                <w:lang w:val="en-US"/>
              </w:rPr>
              <w:t>0</w:t>
            </w:r>
          </w:p>
        </w:tc>
        <w:tc>
          <w:tcPr>
            <w:tcW w:w="250" w:type="pct"/>
          </w:tcPr>
          <w:p w14:paraId="7C29ABC7" w14:textId="77777777" w:rsidR="0073069E" w:rsidRPr="00166772" w:rsidRDefault="0073069E" w:rsidP="005E3605">
            <w:pPr>
              <w:spacing w:line="360" w:lineRule="auto"/>
              <w:jc w:val="center"/>
              <w:rPr>
                <w:rFonts w:ascii="Arial" w:eastAsia="Times New Roman" w:hAnsi="Arial" w:cs="Arial"/>
                <w:sz w:val="22"/>
                <w:szCs w:val="22"/>
                <w:lang w:val="en-US"/>
              </w:rPr>
            </w:pPr>
            <w:r w:rsidRPr="00166772">
              <w:rPr>
                <w:rFonts w:ascii="Arial" w:eastAsia="Times New Roman" w:hAnsi="Arial" w:cs="Arial"/>
                <w:sz w:val="22"/>
                <w:szCs w:val="22"/>
                <w:lang w:val="en-US"/>
              </w:rPr>
              <w:t>1</w:t>
            </w:r>
          </w:p>
        </w:tc>
        <w:tc>
          <w:tcPr>
            <w:tcW w:w="250" w:type="pct"/>
          </w:tcPr>
          <w:p w14:paraId="65AFEB80" w14:textId="77777777" w:rsidR="0073069E" w:rsidRPr="00166772" w:rsidRDefault="0073069E" w:rsidP="005E3605">
            <w:pPr>
              <w:spacing w:line="360" w:lineRule="auto"/>
              <w:jc w:val="center"/>
              <w:rPr>
                <w:rFonts w:ascii="Arial" w:eastAsia="Times New Roman" w:hAnsi="Arial" w:cs="Arial"/>
                <w:sz w:val="22"/>
                <w:szCs w:val="22"/>
                <w:lang w:val="en-US"/>
              </w:rPr>
            </w:pPr>
            <w:r w:rsidRPr="00166772">
              <w:rPr>
                <w:rFonts w:ascii="Arial" w:eastAsia="Times New Roman" w:hAnsi="Arial" w:cs="Arial"/>
                <w:sz w:val="22"/>
                <w:szCs w:val="22"/>
                <w:lang w:val="en-US"/>
              </w:rPr>
              <w:t>0</w:t>
            </w:r>
          </w:p>
        </w:tc>
        <w:tc>
          <w:tcPr>
            <w:tcW w:w="250" w:type="pct"/>
          </w:tcPr>
          <w:p w14:paraId="28EA713B" w14:textId="77777777" w:rsidR="0073069E" w:rsidRPr="00166772" w:rsidRDefault="0073069E" w:rsidP="005E3605">
            <w:pPr>
              <w:spacing w:line="360" w:lineRule="auto"/>
              <w:jc w:val="center"/>
              <w:rPr>
                <w:rFonts w:ascii="Arial" w:eastAsia="Times New Roman" w:hAnsi="Arial" w:cs="Arial"/>
                <w:sz w:val="22"/>
                <w:szCs w:val="22"/>
                <w:lang w:val="en-US"/>
              </w:rPr>
            </w:pPr>
            <w:r w:rsidRPr="00166772">
              <w:rPr>
                <w:rFonts w:ascii="Arial" w:eastAsia="Times New Roman" w:hAnsi="Arial" w:cs="Arial"/>
                <w:sz w:val="22"/>
                <w:szCs w:val="22"/>
                <w:lang w:val="en-US"/>
              </w:rPr>
              <w:t>0</w:t>
            </w:r>
          </w:p>
        </w:tc>
        <w:tc>
          <w:tcPr>
            <w:tcW w:w="252" w:type="pct"/>
          </w:tcPr>
          <w:p w14:paraId="4506B535" w14:textId="77777777" w:rsidR="0073069E" w:rsidRPr="00166772" w:rsidRDefault="0073069E" w:rsidP="005E3605">
            <w:pPr>
              <w:spacing w:line="360" w:lineRule="auto"/>
              <w:jc w:val="center"/>
              <w:rPr>
                <w:rFonts w:ascii="Arial" w:eastAsia="Times New Roman" w:hAnsi="Arial" w:cs="Arial"/>
                <w:sz w:val="22"/>
                <w:szCs w:val="22"/>
                <w:lang w:val="en-US"/>
              </w:rPr>
            </w:pPr>
            <w:r w:rsidRPr="00166772">
              <w:rPr>
                <w:rFonts w:ascii="Arial" w:eastAsia="Times New Roman" w:hAnsi="Arial" w:cs="Arial"/>
                <w:sz w:val="22"/>
                <w:szCs w:val="22"/>
                <w:lang w:val="en-US"/>
              </w:rPr>
              <w:t>0</w:t>
            </w:r>
          </w:p>
        </w:tc>
        <w:tc>
          <w:tcPr>
            <w:tcW w:w="272" w:type="pct"/>
          </w:tcPr>
          <w:p w14:paraId="2D6284C0" w14:textId="77777777" w:rsidR="0073069E" w:rsidRPr="00166772" w:rsidRDefault="0073069E" w:rsidP="005E3605">
            <w:pPr>
              <w:spacing w:line="360" w:lineRule="auto"/>
              <w:jc w:val="center"/>
              <w:rPr>
                <w:rFonts w:ascii="Arial" w:eastAsia="Times New Roman" w:hAnsi="Arial" w:cs="Arial"/>
                <w:sz w:val="22"/>
                <w:szCs w:val="22"/>
                <w:lang w:val="en-US"/>
              </w:rPr>
            </w:pPr>
            <w:r w:rsidRPr="00166772">
              <w:rPr>
                <w:rFonts w:ascii="Arial" w:eastAsia="Times New Roman" w:hAnsi="Arial" w:cs="Arial"/>
                <w:sz w:val="22"/>
                <w:szCs w:val="22"/>
                <w:lang w:val="en-US"/>
              </w:rPr>
              <w:t>?</w:t>
            </w:r>
          </w:p>
        </w:tc>
        <w:tc>
          <w:tcPr>
            <w:tcW w:w="272" w:type="pct"/>
          </w:tcPr>
          <w:p w14:paraId="378B9311" w14:textId="77777777" w:rsidR="0073069E" w:rsidRPr="00166772" w:rsidRDefault="0073069E" w:rsidP="005E3605">
            <w:pPr>
              <w:spacing w:line="360" w:lineRule="auto"/>
              <w:jc w:val="center"/>
              <w:rPr>
                <w:rFonts w:ascii="Arial" w:eastAsia="Times New Roman" w:hAnsi="Arial" w:cs="Arial"/>
                <w:sz w:val="22"/>
                <w:szCs w:val="22"/>
                <w:lang w:val="en-US"/>
              </w:rPr>
            </w:pPr>
            <w:r w:rsidRPr="00166772">
              <w:rPr>
                <w:rFonts w:ascii="Arial" w:eastAsia="Times New Roman" w:hAnsi="Arial" w:cs="Arial"/>
                <w:sz w:val="22"/>
                <w:szCs w:val="22"/>
                <w:lang w:val="en-US"/>
              </w:rPr>
              <w:t>1</w:t>
            </w:r>
          </w:p>
        </w:tc>
        <w:tc>
          <w:tcPr>
            <w:tcW w:w="273" w:type="pct"/>
          </w:tcPr>
          <w:p w14:paraId="0095BA70" w14:textId="77777777" w:rsidR="0073069E" w:rsidRPr="00166772" w:rsidRDefault="0073069E" w:rsidP="005E3605">
            <w:pPr>
              <w:spacing w:line="360" w:lineRule="auto"/>
              <w:jc w:val="center"/>
              <w:rPr>
                <w:rFonts w:ascii="Arial" w:eastAsia="Times New Roman" w:hAnsi="Arial" w:cs="Arial"/>
                <w:sz w:val="22"/>
                <w:szCs w:val="22"/>
                <w:lang w:val="en-US"/>
              </w:rPr>
            </w:pPr>
            <w:r w:rsidRPr="00166772">
              <w:rPr>
                <w:rFonts w:ascii="Arial" w:eastAsia="Times New Roman" w:hAnsi="Arial" w:cs="Arial"/>
                <w:sz w:val="22"/>
                <w:szCs w:val="22"/>
                <w:lang w:val="en-US"/>
              </w:rPr>
              <w:t>0</w:t>
            </w:r>
          </w:p>
        </w:tc>
        <w:tc>
          <w:tcPr>
            <w:tcW w:w="272" w:type="pct"/>
          </w:tcPr>
          <w:p w14:paraId="0B1E0434" w14:textId="77777777" w:rsidR="0073069E" w:rsidRPr="00166772" w:rsidRDefault="0073069E" w:rsidP="005E3605">
            <w:pPr>
              <w:spacing w:line="360" w:lineRule="auto"/>
              <w:jc w:val="center"/>
              <w:rPr>
                <w:rFonts w:ascii="Arial" w:eastAsia="Times New Roman" w:hAnsi="Arial" w:cs="Arial"/>
                <w:sz w:val="22"/>
                <w:szCs w:val="22"/>
                <w:lang w:val="en-US"/>
              </w:rPr>
            </w:pPr>
            <w:r w:rsidRPr="00166772">
              <w:rPr>
                <w:rFonts w:ascii="Arial" w:eastAsia="Times New Roman" w:hAnsi="Arial" w:cs="Arial"/>
                <w:sz w:val="22"/>
                <w:szCs w:val="22"/>
                <w:lang w:val="en-US"/>
              </w:rPr>
              <w:t>0</w:t>
            </w:r>
          </w:p>
        </w:tc>
        <w:tc>
          <w:tcPr>
            <w:tcW w:w="277" w:type="pct"/>
          </w:tcPr>
          <w:p w14:paraId="1993E422" w14:textId="77777777" w:rsidR="0073069E" w:rsidRPr="00166772" w:rsidRDefault="0073069E" w:rsidP="005E3605">
            <w:pPr>
              <w:spacing w:line="360" w:lineRule="auto"/>
              <w:jc w:val="center"/>
              <w:rPr>
                <w:rFonts w:ascii="Arial" w:eastAsia="Times New Roman" w:hAnsi="Arial" w:cs="Arial"/>
                <w:sz w:val="22"/>
                <w:szCs w:val="22"/>
                <w:lang w:val="en-US"/>
              </w:rPr>
            </w:pPr>
            <w:r w:rsidRPr="00166772">
              <w:rPr>
                <w:rFonts w:ascii="Arial" w:eastAsia="Times New Roman" w:hAnsi="Arial" w:cs="Arial"/>
                <w:sz w:val="22"/>
                <w:szCs w:val="22"/>
                <w:lang w:val="en-US"/>
              </w:rPr>
              <w:t>?</w:t>
            </w:r>
          </w:p>
        </w:tc>
        <w:tc>
          <w:tcPr>
            <w:tcW w:w="908" w:type="pct"/>
            <w:vAlign w:val="center"/>
          </w:tcPr>
          <w:p w14:paraId="59A3B5E4" w14:textId="77777777" w:rsidR="0073069E" w:rsidRPr="00166772" w:rsidRDefault="0073069E" w:rsidP="005E3605">
            <w:pPr>
              <w:spacing w:line="360" w:lineRule="auto"/>
              <w:jc w:val="center"/>
              <w:rPr>
                <w:rFonts w:ascii="Arial" w:eastAsia="Times New Roman" w:hAnsi="Arial" w:cs="Arial"/>
                <w:bCs/>
                <w:color w:val="000000"/>
                <w:sz w:val="22"/>
                <w:szCs w:val="22"/>
              </w:rPr>
            </w:pPr>
            <w:r w:rsidRPr="00166772">
              <w:rPr>
                <w:rFonts w:ascii="Arial" w:eastAsia="Times New Roman" w:hAnsi="Arial" w:cs="Arial"/>
                <w:bCs/>
                <w:color w:val="000000"/>
                <w:sz w:val="22"/>
                <w:szCs w:val="22"/>
              </w:rPr>
              <w:t>Moderate</w:t>
            </w:r>
          </w:p>
        </w:tc>
      </w:tr>
      <w:tr w:rsidR="0073069E" w:rsidRPr="00166772" w14:paraId="7E1C92DC" w14:textId="77777777" w:rsidTr="005E3605">
        <w:trPr>
          <w:trHeight w:val="280"/>
          <w:jc w:val="center"/>
        </w:trPr>
        <w:tc>
          <w:tcPr>
            <w:tcW w:w="1473" w:type="pct"/>
            <w:shd w:val="clear" w:color="auto" w:fill="auto"/>
            <w:noWrap/>
            <w:vAlign w:val="bottom"/>
          </w:tcPr>
          <w:p w14:paraId="43795F2A" w14:textId="77777777" w:rsidR="0073069E" w:rsidRPr="00166772" w:rsidRDefault="0073069E" w:rsidP="005E3605">
            <w:pPr>
              <w:spacing w:line="360" w:lineRule="auto"/>
              <w:rPr>
                <w:rFonts w:ascii="Arial" w:eastAsia="Times New Roman" w:hAnsi="Arial" w:cs="Arial"/>
                <w:sz w:val="22"/>
                <w:szCs w:val="22"/>
              </w:rPr>
            </w:pPr>
            <w:r w:rsidRPr="00166772">
              <w:rPr>
                <w:rFonts w:ascii="Arial" w:eastAsia="Times New Roman" w:hAnsi="Arial" w:cs="Arial"/>
                <w:sz w:val="22"/>
                <w:szCs w:val="22"/>
              </w:rPr>
              <w:t>Lin et al., 2012</w:t>
            </w:r>
          </w:p>
        </w:tc>
        <w:tc>
          <w:tcPr>
            <w:tcW w:w="250" w:type="pct"/>
          </w:tcPr>
          <w:p w14:paraId="2244AE65" w14:textId="77777777" w:rsidR="0073069E" w:rsidRPr="00166772" w:rsidRDefault="0073069E" w:rsidP="005E3605">
            <w:pPr>
              <w:spacing w:line="360" w:lineRule="auto"/>
              <w:jc w:val="center"/>
              <w:rPr>
                <w:rFonts w:ascii="Arial" w:eastAsia="Times New Roman" w:hAnsi="Arial" w:cs="Arial"/>
                <w:sz w:val="22"/>
                <w:szCs w:val="22"/>
                <w:lang w:val="en-US"/>
              </w:rPr>
            </w:pPr>
            <w:r w:rsidRPr="00166772">
              <w:rPr>
                <w:rFonts w:ascii="Arial" w:eastAsia="Times New Roman" w:hAnsi="Arial" w:cs="Arial"/>
                <w:sz w:val="22"/>
                <w:szCs w:val="22"/>
                <w:lang w:val="en-US"/>
              </w:rPr>
              <w:t>0</w:t>
            </w:r>
          </w:p>
        </w:tc>
        <w:tc>
          <w:tcPr>
            <w:tcW w:w="250" w:type="pct"/>
          </w:tcPr>
          <w:p w14:paraId="3FE30DE4" w14:textId="77777777" w:rsidR="0073069E" w:rsidRPr="00166772" w:rsidRDefault="0073069E" w:rsidP="005E3605">
            <w:pPr>
              <w:spacing w:line="360" w:lineRule="auto"/>
              <w:jc w:val="center"/>
              <w:rPr>
                <w:rFonts w:ascii="Arial" w:eastAsia="Times New Roman" w:hAnsi="Arial" w:cs="Arial"/>
                <w:sz w:val="22"/>
                <w:szCs w:val="22"/>
                <w:lang w:val="en-US"/>
              </w:rPr>
            </w:pPr>
            <w:r w:rsidRPr="00166772">
              <w:rPr>
                <w:rFonts w:ascii="Arial" w:eastAsia="Times New Roman" w:hAnsi="Arial" w:cs="Arial"/>
                <w:sz w:val="22"/>
                <w:szCs w:val="22"/>
                <w:lang w:val="en-US"/>
              </w:rPr>
              <w:t>1</w:t>
            </w:r>
          </w:p>
        </w:tc>
        <w:tc>
          <w:tcPr>
            <w:tcW w:w="250" w:type="pct"/>
          </w:tcPr>
          <w:p w14:paraId="0498BC53" w14:textId="77777777" w:rsidR="0073069E" w:rsidRPr="00166772" w:rsidRDefault="0073069E" w:rsidP="005E3605">
            <w:pPr>
              <w:spacing w:line="360" w:lineRule="auto"/>
              <w:jc w:val="center"/>
              <w:rPr>
                <w:rFonts w:ascii="Arial" w:eastAsia="Times New Roman" w:hAnsi="Arial" w:cs="Arial"/>
                <w:sz w:val="22"/>
                <w:szCs w:val="22"/>
                <w:lang w:val="en-US"/>
              </w:rPr>
            </w:pPr>
            <w:r w:rsidRPr="00166772">
              <w:rPr>
                <w:rFonts w:ascii="Arial" w:eastAsia="Times New Roman" w:hAnsi="Arial" w:cs="Arial"/>
                <w:sz w:val="22"/>
                <w:szCs w:val="22"/>
                <w:lang w:val="en-US"/>
              </w:rPr>
              <w:t>0</w:t>
            </w:r>
          </w:p>
        </w:tc>
        <w:tc>
          <w:tcPr>
            <w:tcW w:w="250" w:type="pct"/>
          </w:tcPr>
          <w:p w14:paraId="727D5D1E" w14:textId="77777777" w:rsidR="0073069E" w:rsidRPr="00166772" w:rsidRDefault="0073069E" w:rsidP="005E3605">
            <w:pPr>
              <w:spacing w:line="360" w:lineRule="auto"/>
              <w:jc w:val="center"/>
              <w:rPr>
                <w:rFonts w:ascii="Arial" w:eastAsia="Times New Roman" w:hAnsi="Arial" w:cs="Arial"/>
                <w:sz w:val="22"/>
                <w:szCs w:val="22"/>
                <w:lang w:val="en-US"/>
              </w:rPr>
            </w:pPr>
            <w:r w:rsidRPr="00166772">
              <w:rPr>
                <w:rFonts w:ascii="Arial" w:eastAsia="Times New Roman" w:hAnsi="Arial" w:cs="Arial"/>
                <w:sz w:val="22"/>
                <w:szCs w:val="22"/>
                <w:lang w:val="en-US"/>
              </w:rPr>
              <w:t>0</w:t>
            </w:r>
          </w:p>
        </w:tc>
        <w:tc>
          <w:tcPr>
            <w:tcW w:w="252" w:type="pct"/>
          </w:tcPr>
          <w:p w14:paraId="4E6A451A" w14:textId="77777777" w:rsidR="0073069E" w:rsidRPr="00166772" w:rsidRDefault="0073069E" w:rsidP="005E3605">
            <w:pPr>
              <w:spacing w:line="360" w:lineRule="auto"/>
              <w:jc w:val="center"/>
              <w:rPr>
                <w:rFonts w:ascii="Arial" w:eastAsia="Times New Roman" w:hAnsi="Arial" w:cs="Arial"/>
                <w:sz w:val="22"/>
                <w:szCs w:val="22"/>
                <w:lang w:val="en-US"/>
              </w:rPr>
            </w:pPr>
            <w:r w:rsidRPr="00166772">
              <w:rPr>
                <w:rFonts w:ascii="Arial" w:eastAsia="Times New Roman" w:hAnsi="Arial" w:cs="Arial"/>
                <w:sz w:val="22"/>
                <w:szCs w:val="22"/>
                <w:lang w:val="en-US"/>
              </w:rPr>
              <w:t>0</w:t>
            </w:r>
          </w:p>
        </w:tc>
        <w:tc>
          <w:tcPr>
            <w:tcW w:w="272" w:type="pct"/>
          </w:tcPr>
          <w:p w14:paraId="5DE9E45D" w14:textId="77777777" w:rsidR="0073069E" w:rsidRPr="00166772" w:rsidRDefault="0073069E" w:rsidP="005E3605">
            <w:pPr>
              <w:spacing w:line="360" w:lineRule="auto"/>
              <w:jc w:val="center"/>
              <w:rPr>
                <w:rFonts w:ascii="Arial" w:eastAsia="Times New Roman" w:hAnsi="Arial" w:cs="Arial"/>
                <w:sz w:val="22"/>
                <w:szCs w:val="22"/>
                <w:lang w:val="en-US"/>
              </w:rPr>
            </w:pPr>
            <w:r w:rsidRPr="00166772">
              <w:rPr>
                <w:rFonts w:ascii="Arial" w:eastAsia="Times New Roman" w:hAnsi="Arial" w:cs="Arial"/>
                <w:sz w:val="22"/>
                <w:szCs w:val="22"/>
                <w:lang w:val="en-US"/>
              </w:rPr>
              <w:t>?</w:t>
            </w:r>
          </w:p>
        </w:tc>
        <w:tc>
          <w:tcPr>
            <w:tcW w:w="272" w:type="pct"/>
          </w:tcPr>
          <w:p w14:paraId="70EAAF88" w14:textId="77777777" w:rsidR="0073069E" w:rsidRPr="00166772" w:rsidRDefault="0073069E" w:rsidP="005E3605">
            <w:pPr>
              <w:spacing w:line="360" w:lineRule="auto"/>
              <w:jc w:val="center"/>
              <w:rPr>
                <w:rFonts w:ascii="Arial" w:eastAsia="Times New Roman" w:hAnsi="Arial" w:cs="Arial"/>
                <w:sz w:val="22"/>
                <w:szCs w:val="22"/>
                <w:lang w:val="en-US"/>
              </w:rPr>
            </w:pPr>
            <w:r w:rsidRPr="00166772">
              <w:rPr>
                <w:rFonts w:ascii="Arial" w:eastAsia="Times New Roman" w:hAnsi="Arial" w:cs="Arial"/>
                <w:sz w:val="22"/>
                <w:szCs w:val="22"/>
                <w:lang w:val="en-US"/>
              </w:rPr>
              <w:t>1</w:t>
            </w:r>
          </w:p>
        </w:tc>
        <w:tc>
          <w:tcPr>
            <w:tcW w:w="273" w:type="pct"/>
          </w:tcPr>
          <w:p w14:paraId="765CD5E3" w14:textId="77777777" w:rsidR="0073069E" w:rsidRPr="00166772" w:rsidRDefault="0073069E" w:rsidP="005E3605">
            <w:pPr>
              <w:spacing w:line="360" w:lineRule="auto"/>
              <w:jc w:val="center"/>
              <w:rPr>
                <w:rFonts w:ascii="Arial" w:eastAsia="Times New Roman" w:hAnsi="Arial" w:cs="Arial"/>
                <w:sz w:val="22"/>
                <w:szCs w:val="22"/>
                <w:lang w:val="en-US"/>
              </w:rPr>
            </w:pPr>
            <w:r w:rsidRPr="00166772">
              <w:rPr>
                <w:rFonts w:ascii="Arial" w:eastAsia="Times New Roman" w:hAnsi="Arial" w:cs="Arial"/>
                <w:sz w:val="22"/>
                <w:szCs w:val="22"/>
                <w:lang w:val="en-US"/>
              </w:rPr>
              <w:t>0</w:t>
            </w:r>
          </w:p>
        </w:tc>
        <w:tc>
          <w:tcPr>
            <w:tcW w:w="272" w:type="pct"/>
          </w:tcPr>
          <w:p w14:paraId="62864B71" w14:textId="77777777" w:rsidR="0073069E" w:rsidRPr="00166772" w:rsidRDefault="0073069E" w:rsidP="005E3605">
            <w:pPr>
              <w:spacing w:line="360" w:lineRule="auto"/>
              <w:jc w:val="center"/>
              <w:rPr>
                <w:rFonts w:ascii="Arial" w:eastAsia="Times New Roman" w:hAnsi="Arial" w:cs="Arial"/>
                <w:sz w:val="22"/>
                <w:szCs w:val="22"/>
                <w:lang w:val="en-US"/>
              </w:rPr>
            </w:pPr>
            <w:r w:rsidRPr="00166772">
              <w:rPr>
                <w:rFonts w:ascii="Arial" w:eastAsia="Times New Roman" w:hAnsi="Arial" w:cs="Arial"/>
                <w:sz w:val="22"/>
                <w:szCs w:val="22"/>
                <w:lang w:val="en-US"/>
              </w:rPr>
              <w:t>0</w:t>
            </w:r>
          </w:p>
        </w:tc>
        <w:tc>
          <w:tcPr>
            <w:tcW w:w="277" w:type="pct"/>
          </w:tcPr>
          <w:p w14:paraId="55091022" w14:textId="77777777" w:rsidR="0073069E" w:rsidRPr="00166772" w:rsidRDefault="0073069E" w:rsidP="005E3605">
            <w:pPr>
              <w:spacing w:line="360" w:lineRule="auto"/>
              <w:jc w:val="center"/>
              <w:rPr>
                <w:rFonts w:ascii="Arial" w:eastAsia="Times New Roman" w:hAnsi="Arial" w:cs="Arial"/>
                <w:sz w:val="22"/>
                <w:szCs w:val="22"/>
                <w:lang w:val="en-US"/>
              </w:rPr>
            </w:pPr>
            <w:r w:rsidRPr="00166772">
              <w:rPr>
                <w:rFonts w:ascii="Arial" w:eastAsia="Times New Roman" w:hAnsi="Arial" w:cs="Arial"/>
                <w:sz w:val="22"/>
                <w:szCs w:val="22"/>
                <w:lang w:val="en-US"/>
              </w:rPr>
              <w:t>0</w:t>
            </w:r>
          </w:p>
        </w:tc>
        <w:tc>
          <w:tcPr>
            <w:tcW w:w="908" w:type="pct"/>
            <w:vAlign w:val="center"/>
          </w:tcPr>
          <w:p w14:paraId="57BCB946" w14:textId="77777777" w:rsidR="0073069E" w:rsidRPr="00166772" w:rsidRDefault="0073069E" w:rsidP="005E3605">
            <w:pPr>
              <w:spacing w:line="360" w:lineRule="auto"/>
              <w:jc w:val="center"/>
              <w:rPr>
                <w:rFonts w:ascii="Arial" w:eastAsia="Times New Roman" w:hAnsi="Arial" w:cs="Arial"/>
                <w:bCs/>
                <w:color w:val="000000"/>
                <w:sz w:val="22"/>
                <w:szCs w:val="22"/>
              </w:rPr>
            </w:pPr>
            <w:r w:rsidRPr="00166772">
              <w:rPr>
                <w:rFonts w:ascii="Arial" w:eastAsia="Times New Roman" w:hAnsi="Arial" w:cs="Arial"/>
                <w:bCs/>
                <w:color w:val="000000"/>
                <w:sz w:val="22"/>
                <w:szCs w:val="22"/>
              </w:rPr>
              <w:t>Moderate</w:t>
            </w:r>
          </w:p>
        </w:tc>
      </w:tr>
      <w:tr w:rsidR="0073069E" w:rsidRPr="00166772" w14:paraId="6B31E6E6" w14:textId="77777777" w:rsidTr="005E3605">
        <w:trPr>
          <w:trHeight w:val="280"/>
          <w:jc w:val="center"/>
        </w:trPr>
        <w:tc>
          <w:tcPr>
            <w:tcW w:w="1473" w:type="pct"/>
            <w:tcBorders>
              <w:bottom w:val="single" w:sz="4" w:space="0" w:color="auto"/>
            </w:tcBorders>
            <w:shd w:val="clear" w:color="auto" w:fill="auto"/>
            <w:noWrap/>
            <w:vAlign w:val="bottom"/>
          </w:tcPr>
          <w:p w14:paraId="293AF95C" w14:textId="77777777" w:rsidR="0073069E" w:rsidRPr="00166772" w:rsidRDefault="0073069E" w:rsidP="005E3605">
            <w:pPr>
              <w:spacing w:line="360" w:lineRule="auto"/>
              <w:rPr>
                <w:rFonts w:ascii="Arial" w:eastAsia="Times New Roman" w:hAnsi="Arial" w:cs="Arial"/>
                <w:sz w:val="22"/>
                <w:szCs w:val="22"/>
              </w:rPr>
            </w:pPr>
            <w:r w:rsidRPr="00166772">
              <w:rPr>
                <w:rFonts w:ascii="Arial" w:eastAsia="Times New Roman" w:hAnsi="Arial" w:cs="Arial"/>
                <w:sz w:val="22"/>
                <w:szCs w:val="22"/>
                <w:lang w:val="en-US"/>
              </w:rPr>
              <w:t>Berthelsen et al., 2015</w:t>
            </w:r>
          </w:p>
        </w:tc>
        <w:tc>
          <w:tcPr>
            <w:tcW w:w="250" w:type="pct"/>
            <w:tcBorders>
              <w:bottom w:val="single" w:sz="4" w:space="0" w:color="auto"/>
            </w:tcBorders>
          </w:tcPr>
          <w:p w14:paraId="567D0694" w14:textId="77777777" w:rsidR="0073069E" w:rsidRPr="00166772" w:rsidRDefault="0073069E" w:rsidP="005E3605">
            <w:pPr>
              <w:spacing w:line="360" w:lineRule="auto"/>
              <w:jc w:val="center"/>
              <w:rPr>
                <w:rFonts w:ascii="Arial" w:eastAsia="Times New Roman" w:hAnsi="Arial" w:cs="Arial"/>
                <w:sz w:val="22"/>
                <w:szCs w:val="22"/>
                <w:lang w:val="en-US"/>
              </w:rPr>
            </w:pPr>
            <w:r w:rsidRPr="00166772">
              <w:rPr>
                <w:rFonts w:ascii="Arial" w:eastAsia="Times New Roman" w:hAnsi="Arial" w:cs="Arial"/>
                <w:sz w:val="22"/>
                <w:szCs w:val="22"/>
                <w:lang w:val="en-US"/>
              </w:rPr>
              <w:t>0</w:t>
            </w:r>
          </w:p>
        </w:tc>
        <w:tc>
          <w:tcPr>
            <w:tcW w:w="250" w:type="pct"/>
            <w:tcBorders>
              <w:bottom w:val="single" w:sz="4" w:space="0" w:color="auto"/>
            </w:tcBorders>
          </w:tcPr>
          <w:p w14:paraId="15723289" w14:textId="77777777" w:rsidR="0073069E" w:rsidRPr="00166772" w:rsidRDefault="0073069E" w:rsidP="005E3605">
            <w:pPr>
              <w:spacing w:line="360" w:lineRule="auto"/>
              <w:jc w:val="center"/>
              <w:rPr>
                <w:rFonts w:ascii="Arial" w:eastAsia="Times New Roman" w:hAnsi="Arial" w:cs="Arial"/>
                <w:sz w:val="22"/>
                <w:szCs w:val="22"/>
                <w:lang w:val="en-US"/>
              </w:rPr>
            </w:pPr>
            <w:r w:rsidRPr="00166772">
              <w:rPr>
                <w:rFonts w:ascii="Arial" w:eastAsia="Times New Roman" w:hAnsi="Arial" w:cs="Arial"/>
                <w:sz w:val="22"/>
                <w:szCs w:val="22"/>
                <w:lang w:val="en-US"/>
              </w:rPr>
              <w:t>1</w:t>
            </w:r>
          </w:p>
        </w:tc>
        <w:tc>
          <w:tcPr>
            <w:tcW w:w="250" w:type="pct"/>
            <w:tcBorders>
              <w:bottom w:val="single" w:sz="4" w:space="0" w:color="auto"/>
            </w:tcBorders>
          </w:tcPr>
          <w:p w14:paraId="59097248" w14:textId="77777777" w:rsidR="0073069E" w:rsidRPr="00166772" w:rsidRDefault="0073069E" w:rsidP="005E3605">
            <w:pPr>
              <w:spacing w:line="360" w:lineRule="auto"/>
              <w:jc w:val="center"/>
              <w:rPr>
                <w:rFonts w:ascii="Arial" w:eastAsia="Times New Roman" w:hAnsi="Arial" w:cs="Arial"/>
                <w:sz w:val="22"/>
                <w:szCs w:val="22"/>
                <w:lang w:val="en-US"/>
              </w:rPr>
            </w:pPr>
            <w:r w:rsidRPr="00166772">
              <w:rPr>
                <w:rFonts w:ascii="Arial" w:eastAsia="Times New Roman" w:hAnsi="Arial" w:cs="Arial"/>
                <w:sz w:val="22"/>
                <w:szCs w:val="22"/>
                <w:lang w:val="en-US"/>
              </w:rPr>
              <w:t>0</w:t>
            </w:r>
          </w:p>
        </w:tc>
        <w:tc>
          <w:tcPr>
            <w:tcW w:w="250" w:type="pct"/>
            <w:tcBorders>
              <w:bottom w:val="single" w:sz="4" w:space="0" w:color="auto"/>
            </w:tcBorders>
          </w:tcPr>
          <w:p w14:paraId="5A721D0E" w14:textId="77777777" w:rsidR="0073069E" w:rsidRPr="00166772" w:rsidRDefault="0073069E" w:rsidP="005E3605">
            <w:pPr>
              <w:spacing w:line="360" w:lineRule="auto"/>
              <w:jc w:val="center"/>
              <w:rPr>
                <w:rFonts w:ascii="Arial" w:eastAsia="Times New Roman" w:hAnsi="Arial" w:cs="Arial"/>
                <w:sz w:val="22"/>
                <w:szCs w:val="22"/>
                <w:lang w:val="en-US"/>
              </w:rPr>
            </w:pPr>
            <w:r w:rsidRPr="00166772">
              <w:rPr>
                <w:rFonts w:ascii="Arial" w:eastAsia="Times New Roman" w:hAnsi="Arial" w:cs="Arial"/>
                <w:sz w:val="22"/>
                <w:szCs w:val="22"/>
                <w:lang w:val="en-US"/>
              </w:rPr>
              <w:t>0</w:t>
            </w:r>
          </w:p>
        </w:tc>
        <w:tc>
          <w:tcPr>
            <w:tcW w:w="252" w:type="pct"/>
            <w:tcBorders>
              <w:bottom w:val="single" w:sz="4" w:space="0" w:color="auto"/>
            </w:tcBorders>
          </w:tcPr>
          <w:p w14:paraId="66D18750" w14:textId="77777777" w:rsidR="0073069E" w:rsidRPr="00166772" w:rsidRDefault="0073069E" w:rsidP="005E3605">
            <w:pPr>
              <w:spacing w:line="360" w:lineRule="auto"/>
              <w:jc w:val="center"/>
              <w:rPr>
                <w:rFonts w:ascii="Arial" w:eastAsia="Times New Roman" w:hAnsi="Arial" w:cs="Arial"/>
                <w:sz w:val="22"/>
                <w:szCs w:val="22"/>
                <w:lang w:val="en-US"/>
              </w:rPr>
            </w:pPr>
            <w:r w:rsidRPr="00166772">
              <w:rPr>
                <w:rFonts w:ascii="Arial" w:eastAsia="Times New Roman" w:hAnsi="Arial" w:cs="Arial"/>
                <w:sz w:val="22"/>
                <w:szCs w:val="22"/>
                <w:lang w:val="en-US"/>
              </w:rPr>
              <w:t>0</w:t>
            </w:r>
          </w:p>
        </w:tc>
        <w:tc>
          <w:tcPr>
            <w:tcW w:w="272" w:type="pct"/>
            <w:tcBorders>
              <w:bottom w:val="single" w:sz="4" w:space="0" w:color="auto"/>
            </w:tcBorders>
          </w:tcPr>
          <w:p w14:paraId="0F40F11E" w14:textId="77777777" w:rsidR="0073069E" w:rsidRPr="00166772" w:rsidRDefault="0073069E" w:rsidP="005E3605">
            <w:pPr>
              <w:spacing w:line="360" w:lineRule="auto"/>
              <w:jc w:val="center"/>
              <w:rPr>
                <w:rFonts w:ascii="Arial" w:eastAsia="Times New Roman" w:hAnsi="Arial" w:cs="Arial"/>
                <w:sz w:val="22"/>
                <w:szCs w:val="22"/>
                <w:lang w:val="en-US"/>
              </w:rPr>
            </w:pPr>
            <w:r w:rsidRPr="00166772">
              <w:rPr>
                <w:rFonts w:ascii="Arial" w:eastAsia="Times New Roman" w:hAnsi="Arial" w:cs="Arial"/>
                <w:sz w:val="22"/>
                <w:szCs w:val="22"/>
                <w:lang w:val="en-US"/>
              </w:rPr>
              <w:t>?</w:t>
            </w:r>
          </w:p>
        </w:tc>
        <w:tc>
          <w:tcPr>
            <w:tcW w:w="272" w:type="pct"/>
            <w:tcBorders>
              <w:bottom w:val="single" w:sz="4" w:space="0" w:color="auto"/>
            </w:tcBorders>
          </w:tcPr>
          <w:p w14:paraId="496EB256" w14:textId="77777777" w:rsidR="0073069E" w:rsidRPr="00166772" w:rsidRDefault="0073069E" w:rsidP="005E3605">
            <w:pPr>
              <w:spacing w:line="360" w:lineRule="auto"/>
              <w:jc w:val="center"/>
              <w:rPr>
                <w:rFonts w:ascii="Arial" w:eastAsia="Times New Roman" w:hAnsi="Arial" w:cs="Arial"/>
                <w:sz w:val="22"/>
                <w:szCs w:val="22"/>
                <w:lang w:val="en-US"/>
              </w:rPr>
            </w:pPr>
            <w:r w:rsidRPr="00166772">
              <w:rPr>
                <w:rFonts w:ascii="Arial" w:eastAsia="Times New Roman" w:hAnsi="Arial" w:cs="Arial"/>
                <w:sz w:val="22"/>
                <w:szCs w:val="22"/>
                <w:lang w:val="en-US"/>
              </w:rPr>
              <w:t>1</w:t>
            </w:r>
          </w:p>
        </w:tc>
        <w:tc>
          <w:tcPr>
            <w:tcW w:w="273" w:type="pct"/>
            <w:tcBorders>
              <w:bottom w:val="single" w:sz="4" w:space="0" w:color="auto"/>
            </w:tcBorders>
          </w:tcPr>
          <w:p w14:paraId="36BC6E0D" w14:textId="77777777" w:rsidR="0073069E" w:rsidRPr="00166772" w:rsidRDefault="0073069E" w:rsidP="005E3605">
            <w:pPr>
              <w:spacing w:line="360" w:lineRule="auto"/>
              <w:jc w:val="center"/>
              <w:rPr>
                <w:rFonts w:ascii="Arial" w:eastAsia="Times New Roman" w:hAnsi="Arial" w:cs="Arial"/>
                <w:sz w:val="22"/>
                <w:szCs w:val="22"/>
                <w:lang w:val="en-US"/>
              </w:rPr>
            </w:pPr>
            <w:r w:rsidRPr="00166772">
              <w:rPr>
                <w:rFonts w:ascii="Arial" w:eastAsia="Times New Roman" w:hAnsi="Arial" w:cs="Arial"/>
                <w:sz w:val="22"/>
                <w:szCs w:val="22"/>
                <w:lang w:val="en-US"/>
              </w:rPr>
              <w:t>0</w:t>
            </w:r>
          </w:p>
        </w:tc>
        <w:tc>
          <w:tcPr>
            <w:tcW w:w="272" w:type="pct"/>
            <w:tcBorders>
              <w:bottom w:val="single" w:sz="4" w:space="0" w:color="auto"/>
            </w:tcBorders>
          </w:tcPr>
          <w:p w14:paraId="75D6B645" w14:textId="77777777" w:rsidR="0073069E" w:rsidRPr="00166772" w:rsidRDefault="0073069E" w:rsidP="005E3605">
            <w:pPr>
              <w:spacing w:line="360" w:lineRule="auto"/>
              <w:jc w:val="center"/>
              <w:rPr>
                <w:rFonts w:ascii="Arial" w:eastAsia="Times New Roman" w:hAnsi="Arial" w:cs="Arial"/>
                <w:sz w:val="22"/>
                <w:szCs w:val="22"/>
                <w:lang w:val="en-US"/>
              </w:rPr>
            </w:pPr>
            <w:r w:rsidRPr="00166772">
              <w:rPr>
                <w:rFonts w:ascii="Arial" w:eastAsia="Times New Roman" w:hAnsi="Arial" w:cs="Arial"/>
                <w:sz w:val="22"/>
                <w:szCs w:val="22"/>
                <w:lang w:val="en-US"/>
              </w:rPr>
              <w:t>0</w:t>
            </w:r>
          </w:p>
        </w:tc>
        <w:tc>
          <w:tcPr>
            <w:tcW w:w="277" w:type="pct"/>
            <w:tcBorders>
              <w:bottom w:val="single" w:sz="4" w:space="0" w:color="auto"/>
            </w:tcBorders>
          </w:tcPr>
          <w:p w14:paraId="491B7532" w14:textId="77777777" w:rsidR="0073069E" w:rsidRPr="00166772" w:rsidRDefault="0073069E" w:rsidP="005E3605">
            <w:pPr>
              <w:spacing w:line="360" w:lineRule="auto"/>
              <w:jc w:val="center"/>
              <w:rPr>
                <w:rFonts w:ascii="Arial" w:eastAsia="Times New Roman" w:hAnsi="Arial" w:cs="Arial"/>
                <w:sz w:val="22"/>
                <w:szCs w:val="22"/>
                <w:lang w:val="en-US"/>
              </w:rPr>
            </w:pPr>
            <w:r w:rsidRPr="00166772">
              <w:rPr>
                <w:rFonts w:ascii="Arial" w:eastAsia="Times New Roman" w:hAnsi="Arial" w:cs="Arial"/>
                <w:sz w:val="22"/>
                <w:szCs w:val="22"/>
                <w:lang w:val="en-US"/>
              </w:rPr>
              <w:t>0</w:t>
            </w:r>
          </w:p>
        </w:tc>
        <w:tc>
          <w:tcPr>
            <w:tcW w:w="908" w:type="pct"/>
            <w:tcBorders>
              <w:bottom w:val="single" w:sz="4" w:space="0" w:color="auto"/>
            </w:tcBorders>
            <w:vAlign w:val="center"/>
          </w:tcPr>
          <w:p w14:paraId="3D6BCA05" w14:textId="77777777" w:rsidR="0073069E" w:rsidRPr="00166772" w:rsidRDefault="0073069E" w:rsidP="005E3605">
            <w:pPr>
              <w:spacing w:line="360" w:lineRule="auto"/>
              <w:jc w:val="center"/>
              <w:rPr>
                <w:rFonts w:ascii="Arial" w:eastAsia="Times New Roman" w:hAnsi="Arial" w:cs="Arial"/>
                <w:bCs/>
                <w:color w:val="000000"/>
                <w:sz w:val="22"/>
                <w:szCs w:val="22"/>
              </w:rPr>
            </w:pPr>
            <w:r w:rsidRPr="00166772">
              <w:rPr>
                <w:rFonts w:ascii="Arial" w:eastAsia="Times New Roman" w:hAnsi="Arial" w:cs="Arial"/>
                <w:bCs/>
                <w:color w:val="000000"/>
                <w:sz w:val="22"/>
                <w:szCs w:val="22"/>
              </w:rPr>
              <w:t>Moderate</w:t>
            </w:r>
          </w:p>
        </w:tc>
      </w:tr>
    </w:tbl>
    <w:p w14:paraId="7473F186" w14:textId="77777777" w:rsidR="0073069E" w:rsidRPr="00166772" w:rsidRDefault="0073069E" w:rsidP="005E3605">
      <w:pPr>
        <w:rPr>
          <w:rFonts w:ascii="Arial" w:hAnsi="Arial" w:cs="Arial"/>
          <w:color w:val="262626"/>
        </w:rPr>
      </w:pPr>
    </w:p>
    <w:p w14:paraId="1F059825" w14:textId="77777777" w:rsidR="0073069E" w:rsidRPr="00166772" w:rsidRDefault="0073069E" w:rsidP="005E3605">
      <w:pPr>
        <w:rPr>
          <w:rFonts w:ascii="Arial" w:hAnsi="Arial" w:cs="Arial"/>
          <w:i/>
          <w:sz w:val="20"/>
          <w:szCs w:val="20"/>
        </w:rPr>
      </w:pPr>
      <w:r w:rsidRPr="00166772">
        <w:rPr>
          <w:rFonts w:ascii="Arial" w:hAnsi="Arial" w:cs="Arial"/>
          <w:i/>
          <w:sz w:val="20"/>
          <w:szCs w:val="20"/>
        </w:rPr>
        <w:t xml:space="preserve">Items (1) exposure definition, (2) exposure assessment, (3) reliability of assessments, (4) confounding, and (5) analysis methods in the study (research-specific bias); (1a) blinding of assessors,(2a) attrition, (3a) selective reporting, (4a) funding, and (5a) conflict of interest. </w:t>
      </w:r>
      <w:r w:rsidRPr="00166772">
        <w:rPr>
          <w:rFonts w:ascii="Arial" w:hAnsi="Arial" w:cs="Arial"/>
          <w:b/>
          <w:i/>
          <w:sz w:val="20"/>
          <w:szCs w:val="20"/>
        </w:rPr>
        <w:t>1</w:t>
      </w:r>
      <w:r w:rsidRPr="00166772">
        <w:rPr>
          <w:rFonts w:ascii="Arial" w:hAnsi="Arial" w:cs="Arial"/>
          <w:i/>
          <w:sz w:val="20"/>
          <w:szCs w:val="20"/>
        </w:rPr>
        <w:t xml:space="preserve"> high risk, </w:t>
      </w:r>
      <w:r w:rsidRPr="00166772">
        <w:rPr>
          <w:rFonts w:ascii="Arial" w:hAnsi="Arial" w:cs="Arial"/>
          <w:b/>
          <w:i/>
          <w:sz w:val="20"/>
          <w:szCs w:val="20"/>
        </w:rPr>
        <w:t>0</w:t>
      </w:r>
      <w:r w:rsidRPr="00166772">
        <w:rPr>
          <w:rFonts w:ascii="Arial" w:hAnsi="Arial" w:cs="Arial"/>
          <w:i/>
          <w:sz w:val="20"/>
          <w:szCs w:val="20"/>
        </w:rPr>
        <w:t xml:space="preserve"> low risk; </w:t>
      </w:r>
      <w:r w:rsidRPr="00166772">
        <w:rPr>
          <w:rFonts w:ascii="Arial" w:hAnsi="Arial" w:cs="Arial"/>
          <w:b/>
          <w:i/>
          <w:sz w:val="20"/>
          <w:szCs w:val="20"/>
        </w:rPr>
        <w:t>?</w:t>
      </w:r>
      <w:r w:rsidRPr="00166772">
        <w:rPr>
          <w:rFonts w:ascii="Arial" w:hAnsi="Arial" w:cs="Arial"/>
          <w:i/>
          <w:sz w:val="20"/>
          <w:szCs w:val="20"/>
        </w:rPr>
        <w:t xml:space="preserve"> unclear. Overall risk of bias defined as </w:t>
      </w:r>
      <w:r w:rsidRPr="00166772">
        <w:rPr>
          <w:rFonts w:ascii="Arial" w:hAnsi="Arial" w:cs="Arial"/>
          <w:b/>
          <w:i/>
          <w:sz w:val="20"/>
          <w:szCs w:val="20"/>
        </w:rPr>
        <w:t xml:space="preserve">Low </w:t>
      </w:r>
      <w:r w:rsidRPr="00166772">
        <w:rPr>
          <w:rFonts w:ascii="Arial" w:hAnsi="Arial" w:cs="Arial"/>
          <w:i/>
          <w:sz w:val="20"/>
          <w:szCs w:val="20"/>
        </w:rPr>
        <w:t xml:space="preserve">0 in all major domains + &gt;2 minor domains=0; </w:t>
      </w:r>
      <w:r w:rsidRPr="00166772">
        <w:rPr>
          <w:rFonts w:ascii="Arial" w:hAnsi="Arial" w:cs="Arial"/>
          <w:b/>
          <w:i/>
          <w:sz w:val="20"/>
          <w:szCs w:val="20"/>
        </w:rPr>
        <w:t xml:space="preserve">Moderate </w:t>
      </w:r>
      <w:r w:rsidRPr="00166772">
        <w:rPr>
          <w:rFonts w:ascii="Arial" w:hAnsi="Arial" w:cs="Arial"/>
          <w:i/>
          <w:sz w:val="20"/>
          <w:szCs w:val="20"/>
        </w:rPr>
        <w:t xml:space="preserve">4 major domains =0 + 2 or more minor domains=0; or </w:t>
      </w:r>
      <w:r w:rsidRPr="00166772">
        <w:rPr>
          <w:rFonts w:ascii="Arial" w:hAnsi="Arial" w:cs="Arial"/>
          <w:b/>
          <w:i/>
          <w:sz w:val="20"/>
          <w:szCs w:val="20"/>
        </w:rPr>
        <w:t>high risk</w:t>
      </w:r>
      <w:r w:rsidRPr="00166772">
        <w:rPr>
          <w:rFonts w:ascii="Arial" w:hAnsi="Arial" w:cs="Arial"/>
          <w:i/>
          <w:sz w:val="20"/>
          <w:szCs w:val="20"/>
        </w:rPr>
        <w:t xml:space="preserve"> &lt;4 major domains=0.</w:t>
      </w:r>
    </w:p>
    <w:p w14:paraId="34AA7DA9" w14:textId="77777777" w:rsidR="0073069E" w:rsidRPr="00166772" w:rsidRDefault="0073069E" w:rsidP="005E3605">
      <w:pPr>
        <w:widowControl w:val="0"/>
        <w:tabs>
          <w:tab w:val="left" w:pos="220"/>
          <w:tab w:val="left" w:pos="720"/>
        </w:tabs>
        <w:autoSpaceDE w:val="0"/>
        <w:autoSpaceDN w:val="0"/>
        <w:adjustRightInd w:val="0"/>
        <w:spacing w:before="120" w:line="480" w:lineRule="auto"/>
        <w:jc w:val="both"/>
        <w:rPr>
          <w:rFonts w:ascii="Arial" w:hAnsi="Arial" w:cs="Arial"/>
          <w:color w:val="262626"/>
        </w:rPr>
      </w:pPr>
      <w:r w:rsidRPr="00166772">
        <w:rPr>
          <w:rFonts w:ascii="Arial" w:hAnsi="Arial" w:cs="Arial"/>
          <w:color w:val="262626"/>
        </w:rPr>
        <w:br w:type="page"/>
      </w:r>
    </w:p>
    <w:p w14:paraId="0BA39B68" w14:textId="77777777" w:rsidR="0073069E" w:rsidRPr="00166772" w:rsidRDefault="0073069E" w:rsidP="005E3605">
      <w:pPr>
        <w:widowControl w:val="0"/>
        <w:tabs>
          <w:tab w:val="left" w:pos="220"/>
          <w:tab w:val="left" w:pos="720"/>
        </w:tabs>
        <w:autoSpaceDE w:val="0"/>
        <w:autoSpaceDN w:val="0"/>
        <w:adjustRightInd w:val="0"/>
        <w:spacing w:before="120" w:line="480" w:lineRule="auto"/>
        <w:jc w:val="both"/>
        <w:rPr>
          <w:rFonts w:ascii="Arial" w:hAnsi="Arial" w:cs="Arial"/>
          <w:color w:val="262626"/>
        </w:rPr>
      </w:pPr>
    </w:p>
    <w:p w14:paraId="1E8DA48C" w14:textId="5F73966A" w:rsidR="0073069E" w:rsidRPr="00166772" w:rsidRDefault="0073069E" w:rsidP="005E3605">
      <w:pPr>
        <w:widowControl w:val="0"/>
        <w:tabs>
          <w:tab w:val="left" w:pos="220"/>
          <w:tab w:val="left" w:pos="720"/>
        </w:tabs>
        <w:autoSpaceDE w:val="0"/>
        <w:autoSpaceDN w:val="0"/>
        <w:adjustRightInd w:val="0"/>
        <w:spacing w:line="360" w:lineRule="auto"/>
        <w:contextualSpacing/>
        <w:jc w:val="both"/>
        <w:rPr>
          <w:rFonts w:ascii="Arial" w:hAnsi="Arial" w:cs="Arial"/>
          <w:color w:val="262626"/>
        </w:rPr>
      </w:pPr>
      <w:r w:rsidRPr="00166772">
        <w:rPr>
          <w:rFonts w:ascii="Arial" w:hAnsi="Arial" w:cs="Arial"/>
          <w:color w:val="262626"/>
        </w:rPr>
        <w:t xml:space="preserve">Table 3 – Analysis of potential contributing factors to the effect of shift work on </w:t>
      </w:r>
      <w:r w:rsidR="00E36BAA" w:rsidRPr="00166772">
        <w:rPr>
          <w:rFonts w:ascii="Arial" w:hAnsi="Arial" w:cs="Arial"/>
          <w:color w:val="262626"/>
        </w:rPr>
        <w:t xml:space="preserve">adverse </w:t>
      </w:r>
      <w:r w:rsidRPr="00166772">
        <w:rPr>
          <w:rFonts w:ascii="Arial" w:hAnsi="Arial" w:cs="Arial"/>
          <w:color w:val="262626"/>
        </w:rPr>
        <w:t>mental health outcomes</w:t>
      </w:r>
    </w:p>
    <w:p w14:paraId="3AEE5871" w14:textId="77777777" w:rsidR="0073069E" w:rsidRPr="00166772" w:rsidRDefault="0073069E" w:rsidP="005E3605">
      <w:pPr>
        <w:widowControl w:val="0"/>
        <w:tabs>
          <w:tab w:val="left" w:pos="220"/>
          <w:tab w:val="left" w:pos="720"/>
        </w:tabs>
        <w:autoSpaceDE w:val="0"/>
        <w:autoSpaceDN w:val="0"/>
        <w:adjustRightInd w:val="0"/>
        <w:jc w:val="both"/>
        <w:rPr>
          <w:rFonts w:ascii="Arial" w:hAnsi="Arial" w:cs="Arial"/>
          <w:color w:val="262626"/>
        </w:rPr>
      </w:pPr>
    </w:p>
    <w:tbl>
      <w:tblPr>
        <w:tblW w:w="10490" w:type="dxa"/>
        <w:tblInd w:w="-459" w:type="dxa"/>
        <w:tblBorders>
          <w:top w:val="single" w:sz="12" w:space="0" w:color="auto"/>
          <w:bottom w:val="single" w:sz="12" w:space="0" w:color="auto"/>
        </w:tblBorders>
        <w:tblLayout w:type="fixed"/>
        <w:tblLook w:val="04A0" w:firstRow="1" w:lastRow="0" w:firstColumn="1" w:lastColumn="0" w:noHBand="0" w:noVBand="1"/>
      </w:tblPr>
      <w:tblGrid>
        <w:gridCol w:w="2835"/>
        <w:gridCol w:w="567"/>
        <w:gridCol w:w="2127"/>
        <w:gridCol w:w="850"/>
        <w:gridCol w:w="2268"/>
        <w:gridCol w:w="1843"/>
      </w:tblGrid>
      <w:tr w:rsidR="0073069E" w:rsidRPr="00166772" w14:paraId="7E5268E9" w14:textId="77777777" w:rsidTr="004F6245">
        <w:trPr>
          <w:trHeight w:val="313"/>
        </w:trPr>
        <w:tc>
          <w:tcPr>
            <w:tcW w:w="2835" w:type="dxa"/>
            <w:tcBorders>
              <w:top w:val="single" w:sz="12" w:space="0" w:color="auto"/>
              <w:bottom w:val="single" w:sz="12" w:space="0" w:color="auto"/>
            </w:tcBorders>
            <w:shd w:val="clear" w:color="auto" w:fill="auto"/>
            <w:vAlign w:val="center"/>
          </w:tcPr>
          <w:p w14:paraId="64C3A8C3" w14:textId="77777777" w:rsidR="0073069E" w:rsidRPr="00166772" w:rsidRDefault="0073069E" w:rsidP="005E3605">
            <w:pPr>
              <w:jc w:val="center"/>
              <w:rPr>
                <w:rFonts w:ascii="Arial" w:hAnsi="Arial" w:cs="Arial"/>
                <w:b/>
                <w:sz w:val="20"/>
                <w:szCs w:val="20"/>
              </w:rPr>
            </w:pPr>
            <w:r w:rsidRPr="00166772">
              <w:rPr>
                <w:rFonts w:ascii="Arial" w:hAnsi="Arial" w:cs="Arial"/>
                <w:b/>
                <w:sz w:val="20"/>
                <w:szCs w:val="20"/>
              </w:rPr>
              <w:t>Covariate/sub-group</w:t>
            </w:r>
          </w:p>
        </w:tc>
        <w:tc>
          <w:tcPr>
            <w:tcW w:w="567" w:type="dxa"/>
            <w:tcBorders>
              <w:top w:val="single" w:sz="12" w:space="0" w:color="auto"/>
              <w:bottom w:val="single" w:sz="12" w:space="0" w:color="auto"/>
            </w:tcBorders>
            <w:vAlign w:val="center"/>
          </w:tcPr>
          <w:p w14:paraId="412E2625" w14:textId="77777777" w:rsidR="0073069E" w:rsidRPr="00166772" w:rsidRDefault="0073069E" w:rsidP="005E3605">
            <w:pPr>
              <w:jc w:val="center"/>
              <w:rPr>
                <w:rFonts w:ascii="Arial" w:hAnsi="Arial" w:cs="Arial"/>
                <w:b/>
                <w:sz w:val="20"/>
                <w:szCs w:val="20"/>
              </w:rPr>
            </w:pPr>
            <w:r w:rsidRPr="00166772">
              <w:rPr>
                <w:rFonts w:ascii="Arial" w:hAnsi="Arial" w:cs="Arial"/>
                <w:b/>
                <w:sz w:val="20"/>
                <w:szCs w:val="20"/>
              </w:rPr>
              <w:t>n</w:t>
            </w:r>
          </w:p>
        </w:tc>
        <w:tc>
          <w:tcPr>
            <w:tcW w:w="2127" w:type="dxa"/>
            <w:tcBorders>
              <w:top w:val="single" w:sz="12" w:space="0" w:color="auto"/>
              <w:bottom w:val="single" w:sz="12" w:space="0" w:color="auto"/>
            </w:tcBorders>
            <w:shd w:val="clear" w:color="auto" w:fill="auto"/>
            <w:vAlign w:val="center"/>
          </w:tcPr>
          <w:p w14:paraId="227A2319" w14:textId="77777777" w:rsidR="0073069E" w:rsidRPr="00166772" w:rsidRDefault="0073069E" w:rsidP="005E3605">
            <w:pPr>
              <w:jc w:val="center"/>
              <w:rPr>
                <w:rFonts w:ascii="Arial" w:hAnsi="Arial" w:cs="Arial"/>
                <w:b/>
                <w:sz w:val="20"/>
                <w:szCs w:val="20"/>
              </w:rPr>
            </w:pPr>
            <w:r w:rsidRPr="00166772">
              <w:rPr>
                <w:rFonts w:ascii="Arial" w:hAnsi="Arial" w:cs="Arial"/>
                <w:b/>
                <w:sz w:val="20"/>
                <w:szCs w:val="20"/>
              </w:rPr>
              <w:t>ES pooled (95% CI)</w:t>
            </w:r>
          </w:p>
        </w:tc>
        <w:tc>
          <w:tcPr>
            <w:tcW w:w="850" w:type="dxa"/>
            <w:tcBorders>
              <w:top w:val="single" w:sz="12" w:space="0" w:color="auto"/>
              <w:bottom w:val="single" w:sz="12" w:space="0" w:color="auto"/>
            </w:tcBorders>
            <w:vAlign w:val="center"/>
          </w:tcPr>
          <w:p w14:paraId="42A13EC3" w14:textId="77777777" w:rsidR="0073069E" w:rsidRPr="00166772" w:rsidRDefault="0073069E" w:rsidP="005E3605">
            <w:pPr>
              <w:jc w:val="center"/>
              <w:rPr>
                <w:rFonts w:ascii="Arial" w:hAnsi="Arial" w:cs="Arial"/>
                <w:b/>
                <w:sz w:val="20"/>
                <w:szCs w:val="20"/>
              </w:rPr>
            </w:pPr>
            <w:r w:rsidRPr="00166772">
              <w:rPr>
                <w:rFonts w:ascii="Arial" w:hAnsi="Arial" w:cs="Arial"/>
                <w:b/>
                <w:sz w:val="20"/>
                <w:szCs w:val="20"/>
              </w:rPr>
              <w:t>I</w:t>
            </w:r>
            <w:r w:rsidRPr="00166772">
              <w:rPr>
                <w:rFonts w:ascii="Arial" w:hAnsi="Arial" w:cs="Arial"/>
                <w:b/>
                <w:sz w:val="20"/>
                <w:szCs w:val="20"/>
                <w:vertAlign w:val="superscript"/>
              </w:rPr>
              <w:t>2</w:t>
            </w:r>
          </w:p>
        </w:tc>
        <w:tc>
          <w:tcPr>
            <w:tcW w:w="2268" w:type="dxa"/>
            <w:tcBorders>
              <w:top w:val="single" w:sz="12" w:space="0" w:color="auto"/>
              <w:bottom w:val="single" w:sz="12" w:space="0" w:color="auto"/>
            </w:tcBorders>
            <w:shd w:val="clear" w:color="auto" w:fill="auto"/>
            <w:vAlign w:val="center"/>
          </w:tcPr>
          <w:p w14:paraId="3EF1A006" w14:textId="77777777" w:rsidR="0073069E" w:rsidRPr="00166772" w:rsidRDefault="0073069E" w:rsidP="005E3605">
            <w:pPr>
              <w:jc w:val="center"/>
              <w:rPr>
                <w:rFonts w:ascii="Arial" w:hAnsi="Arial" w:cs="Arial"/>
                <w:b/>
                <w:sz w:val="20"/>
                <w:szCs w:val="20"/>
              </w:rPr>
            </w:pPr>
            <w:r w:rsidRPr="00166772">
              <w:rPr>
                <w:rFonts w:ascii="Arial" w:hAnsi="Arial" w:cs="Arial"/>
                <w:b/>
                <w:sz w:val="20"/>
                <w:szCs w:val="20"/>
              </w:rPr>
              <w:t>Meta-regression</w:t>
            </w:r>
          </w:p>
          <w:p w14:paraId="5694D035" w14:textId="77777777" w:rsidR="0073069E" w:rsidRPr="00166772" w:rsidRDefault="0073069E" w:rsidP="005E3605">
            <w:pPr>
              <w:jc w:val="center"/>
              <w:rPr>
                <w:rFonts w:ascii="Arial" w:hAnsi="Arial" w:cs="Arial"/>
                <w:b/>
                <w:sz w:val="20"/>
                <w:szCs w:val="20"/>
              </w:rPr>
            </w:pPr>
            <w:r w:rsidRPr="00166772">
              <w:rPr>
                <w:rFonts w:ascii="Arial" w:hAnsi="Arial" w:cs="Arial"/>
                <w:b/>
                <w:sz w:val="20"/>
                <w:szCs w:val="20"/>
              </w:rPr>
              <w:t>OR (95% CI)</w:t>
            </w:r>
          </w:p>
        </w:tc>
        <w:tc>
          <w:tcPr>
            <w:tcW w:w="1843" w:type="dxa"/>
            <w:tcBorders>
              <w:top w:val="single" w:sz="12" w:space="0" w:color="auto"/>
              <w:bottom w:val="single" w:sz="12" w:space="0" w:color="auto"/>
            </w:tcBorders>
            <w:vAlign w:val="center"/>
          </w:tcPr>
          <w:p w14:paraId="26046CC7" w14:textId="77777777" w:rsidR="0073069E" w:rsidRPr="00166772" w:rsidRDefault="0073069E" w:rsidP="005E3605">
            <w:pPr>
              <w:jc w:val="center"/>
              <w:rPr>
                <w:rFonts w:ascii="Arial" w:hAnsi="Arial" w:cs="Arial"/>
                <w:b/>
                <w:sz w:val="20"/>
                <w:szCs w:val="20"/>
              </w:rPr>
            </w:pPr>
            <w:r w:rsidRPr="00166772">
              <w:rPr>
                <w:rFonts w:ascii="Arial" w:hAnsi="Arial" w:cs="Arial"/>
                <w:b/>
                <w:sz w:val="20"/>
                <w:szCs w:val="20"/>
              </w:rPr>
              <w:t>% heterogeneity</w:t>
            </w:r>
          </w:p>
          <w:p w14:paraId="12CDDADF" w14:textId="77777777" w:rsidR="0073069E" w:rsidRPr="00166772" w:rsidRDefault="0073069E" w:rsidP="005E3605">
            <w:pPr>
              <w:jc w:val="center"/>
              <w:rPr>
                <w:rFonts w:ascii="Arial" w:hAnsi="Arial" w:cs="Arial"/>
                <w:b/>
                <w:sz w:val="20"/>
                <w:szCs w:val="20"/>
              </w:rPr>
            </w:pPr>
            <w:r w:rsidRPr="00166772">
              <w:rPr>
                <w:rFonts w:ascii="Arial" w:hAnsi="Arial" w:cs="Arial"/>
                <w:b/>
                <w:sz w:val="20"/>
                <w:szCs w:val="20"/>
              </w:rPr>
              <w:t>explained (R2)</w:t>
            </w:r>
          </w:p>
        </w:tc>
      </w:tr>
      <w:tr w:rsidR="004F6245" w:rsidRPr="00166772" w14:paraId="7A7007E3" w14:textId="77777777" w:rsidTr="004F6245">
        <w:tc>
          <w:tcPr>
            <w:tcW w:w="2835" w:type="dxa"/>
            <w:tcBorders>
              <w:top w:val="single" w:sz="12" w:space="0" w:color="auto"/>
            </w:tcBorders>
            <w:shd w:val="clear" w:color="auto" w:fill="auto"/>
          </w:tcPr>
          <w:p w14:paraId="3A8FB2EC" w14:textId="77777777" w:rsidR="004F6245" w:rsidRPr="00166772" w:rsidRDefault="004F6245" w:rsidP="004F6245">
            <w:pPr>
              <w:rPr>
                <w:rFonts w:ascii="Arial" w:hAnsi="Arial" w:cs="Arial"/>
                <w:sz w:val="20"/>
                <w:szCs w:val="20"/>
              </w:rPr>
            </w:pPr>
            <w:r w:rsidRPr="00166772">
              <w:rPr>
                <w:rFonts w:ascii="Arial" w:hAnsi="Arial" w:cs="Arial"/>
                <w:sz w:val="20"/>
                <w:szCs w:val="20"/>
              </w:rPr>
              <w:t>Outcome</w:t>
            </w:r>
          </w:p>
        </w:tc>
        <w:tc>
          <w:tcPr>
            <w:tcW w:w="567" w:type="dxa"/>
            <w:tcBorders>
              <w:top w:val="single" w:sz="12" w:space="0" w:color="auto"/>
            </w:tcBorders>
          </w:tcPr>
          <w:p w14:paraId="35CFE060" w14:textId="77777777" w:rsidR="004F6245" w:rsidRPr="00166772" w:rsidRDefault="004F6245" w:rsidP="004F6245">
            <w:pPr>
              <w:jc w:val="center"/>
              <w:rPr>
                <w:rFonts w:ascii="Arial" w:hAnsi="Arial" w:cs="Arial"/>
                <w:sz w:val="20"/>
                <w:szCs w:val="20"/>
              </w:rPr>
            </w:pPr>
          </w:p>
        </w:tc>
        <w:tc>
          <w:tcPr>
            <w:tcW w:w="2127" w:type="dxa"/>
            <w:tcBorders>
              <w:top w:val="single" w:sz="12" w:space="0" w:color="auto"/>
            </w:tcBorders>
            <w:shd w:val="clear" w:color="auto" w:fill="auto"/>
          </w:tcPr>
          <w:p w14:paraId="02DF9826" w14:textId="77777777" w:rsidR="004F6245" w:rsidRPr="00166772" w:rsidRDefault="004F6245" w:rsidP="004F6245">
            <w:pPr>
              <w:jc w:val="center"/>
              <w:rPr>
                <w:rFonts w:ascii="Arial" w:hAnsi="Arial" w:cs="Arial"/>
                <w:sz w:val="20"/>
                <w:szCs w:val="20"/>
              </w:rPr>
            </w:pPr>
          </w:p>
        </w:tc>
        <w:tc>
          <w:tcPr>
            <w:tcW w:w="850" w:type="dxa"/>
            <w:tcBorders>
              <w:top w:val="single" w:sz="12" w:space="0" w:color="auto"/>
            </w:tcBorders>
          </w:tcPr>
          <w:p w14:paraId="56DC920A" w14:textId="77777777" w:rsidR="004F6245" w:rsidRPr="00166772" w:rsidRDefault="004F6245" w:rsidP="004F6245">
            <w:pPr>
              <w:jc w:val="center"/>
              <w:rPr>
                <w:rFonts w:ascii="Arial" w:hAnsi="Arial" w:cs="Arial"/>
                <w:sz w:val="20"/>
                <w:szCs w:val="20"/>
              </w:rPr>
            </w:pPr>
          </w:p>
        </w:tc>
        <w:tc>
          <w:tcPr>
            <w:tcW w:w="2268" w:type="dxa"/>
            <w:tcBorders>
              <w:top w:val="single" w:sz="12" w:space="0" w:color="auto"/>
            </w:tcBorders>
            <w:shd w:val="clear" w:color="auto" w:fill="auto"/>
          </w:tcPr>
          <w:p w14:paraId="66DB783A" w14:textId="77777777" w:rsidR="004F6245" w:rsidRPr="00166772" w:rsidRDefault="004F6245" w:rsidP="004F6245">
            <w:pPr>
              <w:jc w:val="center"/>
              <w:rPr>
                <w:rFonts w:ascii="Arial" w:hAnsi="Arial" w:cs="Arial"/>
                <w:sz w:val="20"/>
                <w:szCs w:val="20"/>
              </w:rPr>
            </w:pPr>
          </w:p>
        </w:tc>
        <w:tc>
          <w:tcPr>
            <w:tcW w:w="1843" w:type="dxa"/>
            <w:vMerge w:val="restart"/>
            <w:tcBorders>
              <w:top w:val="single" w:sz="12" w:space="0" w:color="auto"/>
            </w:tcBorders>
            <w:vAlign w:val="center"/>
          </w:tcPr>
          <w:p w14:paraId="0CA03DD0" w14:textId="65BFB0D7" w:rsidR="004F6245" w:rsidRPr="00166772" w:rsidRDefault="004F6245" w:rsidP="004F6245">
            <w:pPr>
              <w:jc w:val="center"/>
              <w:rPr>
                <w:rFonts w:ascii="Arial" w:hAnsi="Arial" w:cs="Arial"/>
                <w:sz w:val="20"/>
                <w:szCs w:val="20"/>
              </w:rPr>
            </w:pPr>
            <w:r w:rsidRPr="00166772">
              <w:rPr>
                <w:rFonts w:ascii="Arial" w:hAnsi="Arial" w:cs="Arial"/>
                <w:sz w:val="20"/>
                <w:szCs w:val="20"/>
              </w:rPr>
              <w:t>-57.04</w:t>
            </w:r>
          </w:p>
        </w:tc>
      </w:tr>
      <w:tr w:rsidR="004F6245" w:rsidRPr="00166772" w14:paraId="3EED8EF7" w14:textId="77777777" w:rsidTr="004F6245">
        <w:tc>
          <w:tcPr>
            <w:tcW w:w="2835" w:type="dxa"/>
            <w:shd w:val="clear" w:color="auto" w:fill="auto"/>
          </w:tcPr>
          <w:p w14:paraId="36EB7990" w14:textId="34D6AED1" w:rsidR="004F6245" w:rsidRPr="00166772" w:rsidRDefault="004F6245" w:rsidP="004F6245">
            <w:pPr>
              <w:rPr>
                <w:rFonts w:ascii="Arial" w:hAnsi="Arial" w:cs="Arial"/>
                <w:sz w:val="20"/>
                <w:szCs w:val="20"/>
              </w:rPr>
            </w:pPr>
            <w:r w:rsidRPr="00166772">
              <w:rPr>
                <w:rFonts w:ascii="Arial" w:hAnsi="Arial" w:cs="Arial"/>
                <w:b/>
                <w:sz w:val="20"/>
                <w:szCs w:val="20"/>
              </w:rPr>
              <w:t xml:space="preserve">   Depressive symptoms</w:t>
            </w:r>
          </w:p>
        </w:tc>
        <w:tc>
          <w:tcPr>
            <w:tcW w:w="567" w:type="dxa"/>
          </w:tcPr>
          <w:p w14:paraId="02A36AF3" w14:textId="7AE09F3D" w:rsidR="004F6245" w:rsidRPr="00166772" w:rsidRDefault="004F6245" w:rsidP="004F6245">
            <w:pPr>
              <w:jc w:val="center"/>
              <w:rPr>
                <w:rFonts w:ascii="Arial" w:hAnsi="Arial" w:cs="Arial"/>
                <w:sz w:val="20"/>
                <w:szCs w:val="20"/>
              </w:rPr>
            </w:pPr>
            <w:r w:rsidRPr="00166772">
              <w:rPr>
                <w:rFonts w:ascii="Arial" w:hAnsi="Arial" w:cs="Arial"/>
                <w:b/>
                <w:sz w:val="20"/>
                <w:szCs w:val="20"/>
              </w:rPr>
              <w:t>6</w:t>
            </w:r>
          </w:p>
        </w:tc>
        <w:tc>
          <w:tcPr>
            <w:tcW w:w="2127" w:type="dxa"/>
            <w:shd w:val="clear" w:color="auto" w:fill="auto"/>
          </w:tcPr>
          <w:p w14:paraId="524A9364" w14:textId="2A85E065" w:rsidR="004F6245" w:rsidRPr="00166772" w:rsidRDefault="004F6245" w:rsidP="004F6245">
            <w:pPr>
              <w:jc w:val="center"/>
              <w:rPr>
                <w:rFonts w:ascii="Arial" w:hAnsi="Arial" w:cs="Arial"/>
                <w:sz w:val="20"/>
                <w:szCs w:val="20"/>
              </w:rPr>
            </w:pPr>
            <w:r w:rsidRPr="00166772">
              <w:rPr>
                <w:rFonts w:ascii="Arial" w:hAnsi="Arial" w:cs="Arial"/>
                <w:b/>
                <w:sz w:val="20"/>
                <w:szCs w:val="20"/>
              </w:rPr>
              <w:t>1.33 (1.02 – 1.74)</w:t>
            </w:r>
          </w:p>
        </w:tc>
        <w:tc>
          <w:tcPr>
            <w:tcW w:w="850" w:type="dxa"/>
          </w:tcPr>
          <w:p w14:paraId="12053621" w14:textId="73F74D2C" w:rsidR="004F6245" w:rsidRPr="00166772" w:rsidRDefault="004F6245" w:rsidP="004F6245">
            <w:pPr>
              <w:jc w:val="center"/>
              <w:rPr>
                <w:rFonts w:ascii="Arial" w:hAnsi="Arial" w:cs="Arial"/>
                <w:sz w:val="20"/>
                <w:szCs w:val="20"/>
              </w:rPr>
            </w:pPr>
            <w:r w:rsidRPr="00166772">
              <w:rPr>
                <w:rFonts w:ascii="Arial" w:hAnsi="Arial" w:cs="Arial"/>
                <w:sz w:val="20"/>
                <w:szCs w:val="20"/>
              </w:rPr>
              <w:t>31.5%</w:t>
            </w:r>
          </w:p>
        </w:tc>
        <w:tc>
          <w:tcPr>
            <w:tcW w:w="2268" w:type="dxa"/>
            <w:shd w:val="clear" w:color="auto" w:fill="auto"/>
          </w:tcPr>
          <w:p w14:paraId="6CFA4F73" w14:textId="4C2EA758" w:rsidR="004F6245" w:rsidRPr="00166772" w:rsidRDefault="004F6245" w:rsidP="004F6245">
            <w:pPr>
              <w:jc w:val="center"/>
              <w:rPr>
                <w:rFonts w:ascii="Arial" w:hAnsi="Arial" w:cs="Arial"/>
                <w:sz w:val="20"/>
                <w:szCs w:val="20"/>
              </w:rPr>
            </w:pPr>
            <w:r w:rsidRPr="00166772">
              <w:rPr>
                <w:rFonts w:ascii="Arial" w:hAnsi="Arial" w:cs="Arial"/>
                <w:sz w:val="20"/>
                <w:szCs w:val="20"/>
              </w:rPr>
              <w:t>1.17 (0.57 – 2.37)</w:t>
            </w:r>
          </w:p>
        </w:tc>
        <w:tc>
          <w:tcPr>
            <w:tcW w:w="1843" w:type="dxa"/>
            <w:vMerge/>
            <w:vAlign w:val="center"/>
          </w:tcPr>
          <w:p w14:paraId="59C6E935" w14:textId="77777777" w:rsidR="004F6245" w:rsidRPr="00166772" w:rsidRDefault="004F6245" w:rsidP="004F6245">
            <w:pPr>
              <w:jc w:val="center"/>
              <w:rPr>
                <w:rFonts w:ascii="Arial" w:hAnsi="Arial" w:cs="Arial"/>
                <w:sz w:val="20"/>
                <w:szCs w:val="20"/>
              </w:rPr>
            </w:pPr>
          </w:p>
        </w:tc>
      </w:tr>
      <w:tr w:rsidR="004F6245" w:rsidRPr="00166772" w14:paraId="7A3C2AB1" w14:textId="77777777" w:rsidTr="004F6245">
        <w:tc>
          <w:tcPr>
            <w:tcW w:w="2835" w:type="dxa"/>
            <w:shd w:val="clear" w:color="auto" w:fill="auto"/>
          </w:tcPr>
          <w:p w14:paraId="3A92651C" w14:textId="20E35488" w:rsidR="004F6245" w:rsidRPr="00166772" w:rsidRDefault="004F6245" w:rsidP="004F6245">
            <w:pPr>
              <w:rPr>
                <w:rFonts w:ascii="Arial" w:hAnsi="Arial" w:cs="Arial"/>
                <w:b/>
                <w:sz w:val="20"/>
                <w:szCs w:val="20"/>
              </w:rPr>
            </w:pPr>
            <w:r w:rsidRPr="00166772">
              <w:rPr>
                <w:rFonts w:ascii="Arial" w:hAnsi="Arial" w:cs="Arial"/>
                <w:sz w:val="20"/>
                <w:szCs w:val="20"/>
              </w:rPr>
              <w:t xml:space="preserve">   Anxiety symptoms</w:t>
            </w:r>
          </w:p>
        </w:tc>
        <w:tc>
          <w:tcPr>
            <w:tcW w:w="567" w:type="dxa"/>
          </w:tcPr>
          <w:p w14:paraId="1D3DB2AC" w14:textId="59549EA9" w:rsidR="004F6245" w:rsidRPr="00166772" w:rsidRDefault="004F6245" w:rsidP="004F6245">
            <w:pPr>
              <w:jc w:val="center"/>
              <w:rPr>
                <w:rFonts w:ascii="Arial" w:hAnsi="Arial" w:cs="Arial"/>
                <w:b/>
                <w:sz w:val="20"/>
                <w:szCs w:val="20"/>
              </w:rPr>
            </w:pPr>
            <w:r w:rsidRPr="00166772">
              <w:rPr>
                <w:rFonts w:ascii="Arial" w:hAnsi="Arial" w:cs="Arial"/>
                <w:sz w:val="20"/>
                <w:szCs w:val="20"/>
              </w:rPr>
              <w:t>2</w:t>
            </w:r>
          </w:p>
        </w:tc>
        <w:tc>
          <w:tcPr>
            <w:tcW w:w="2127" w:type="dxa"/>
            <w:shd w:val="clear" w:color="auto" w:fill="auto"/>
          </w:tcPr>
          <w:p w14:paraId="62FC3F9B" w14:textId="7773A484" w:rsidR="004F6245" w:rsidRPr="00166772" w:rsidRDefault="004F6245" w:rsidP="004F6245">
            <w:pPr>
              <w:jc w:val="center"/>
              <w:rPr>
                <w:rFonts w:ascii="Arial" w:hAnsi="Arial" w:cs="Arial"/>
                <w:b/>
                <w:sz w:val="20"/>
                <w:szCs w:val="20"/>
              </w:rPr>
            </w:pPr>
            <w:r w:rsidRPr="00166772">
              <w:rPr>
                <w:rFonts w:ascii="Arial" w:hAnsi="Arial" w:cs="Arial"/>
                <w:sz w:val="20"/>
                <w:szCs w:val="20"/>
              </w:rPr>
              <w:t>1.20 (0.85 – 1.69)</w:t>
            </w:r>
          </w:p>
        </w:tc>
        <w:tc>
          <w:tcPr>
            <w:tcW w:w="850" w:type="dxa"/>
          </w:tcPr>
          <w:p w14:paraId="02211652" w14:textId="2CA36FCD" w:rsidR="004F6245" w:rsidRPr="00166772" w:rsidRDefault="004F6245" w:rsidP="004F6245">
            <w:pPr>
              <w:jc w:val="center"/>
              <w:rPr>
                <w:rFonts w:ascii="Arial" w:hAnsi="Arial" w:cs="Arial"/>
                <w:sz w:val="20"/>
                <w:szCs w:val="20"/>
              </w:rPr>
            </w:pPr>
            <w:r w:rsidRPr="00166772">
              <w:rPr>
                <w:rFonts w:ascii="Arial" w:hAnsi="Arial" w:cs="Arial"/>
                <w:sz w:val="20"/>
                <w:szCs w:val="20"/>
              </w:rPr>
              <w:t>0.0%</w:t>
            </w:r>
          </w:p>
        </w:tc>
        <w:tc>
          <w:tcPr>
            <w:tcW w:w="2268" w:type="dxa"/>
            <w:shd w:val="clear" w:color="auto" w:fill="auto"/>
          </w:tcPr>
          <w:p w14:paraId="4A6208AD" w14:textId="7F9D10A6" w:rsidR="004F6245" w:rsidRPr="00166772" w:rsidRDefault="004F6245" w:rsidP="004F6245">
            <w:pPr>
              <w:jc w:val="center"/>
              <w:rPr>
                <w:rFonts w:ascii="Arial" w:hAnsi="Arial" w:cs="Arial"/>
                <w:sz w:val="20"/>
                <w:szCs w:val="20"/>
              </w:rPr>
            </w:pPr>
            <w:r w:rsidRPr="00166772">
              <w:rPr>
                <w:rFonts w:ascii="Arial" w:hAnsi="Arial" w:cs="Arial"/>
                <w:sz w:val="20"/>
                <w:szCs w:val="20"/>
              </w:rPr>
              <w:t>1.00 (0.38 – 2.59)</w:t>
            </w:r>
          </w:p>
        </w:tc>
        <w:tc>
          <w:tcPr>
            <w:tcW w:w="1843" w:type="dxa"/>
            <w:vMerge/>
            <w:vAlign w:val="center"/>
          </w:tcPr>
          <w:p w14:paraId="2DF3BA3B" w14:textId="77777777" w:rsidR="004F6245" w:rsidRPr="00166772" w:rsidRDefault="004F6245" w:rsidP="004F6245">
            <w:pPr>
              <w:jc w:val="center"/>
              <w:rPr>
                <w:rFonts w:ascii="Arial" w:hAnsi="Arial" w:cs="Arial"/>
                <w:sz w:val="20"/>
                <w:szCs w:val="20"/>
              </w:rPr>
            </w:pPr>
          </w:p>
        </w:tc>
      </w:tr>
      <w:tr w:rsidR="004F6245" w:rsidRPr="00166772" w14:paraId="3DFC1A8D" w14:textId="77777777" w:rsidTr="004F6245">
        <w:tc>
          <w:tcPr>
            <w:tcW w:w="2835" w:type="dxa"/>
            <w:shd w:val="clear" w:color="auto" w:fill="auto"/>
          </w:tcPr>
          <w:p w14:paraId="713ED085" w14:textId="54FF07C7" w:rsidR="004F6245" w:rsidRPr="00166772" w:rsidRDefault="004F6245" w:rsidP="004F6245">
            <w:pPr>
              <w:rPr>
                <w:rFonts w:ascii="Arial" w:hAnsi="Arial" w:cs="Arial"/>
                <w:sz w:val="20"/>
                <w:szCs w:val="20"/>
              </w:rPr>
            </w:pPr>
            <w:r w:rsidRPr="00166772">
              <w:rPr>
                <w:rFonts w:ascii="Arial" w:hAnsi="Arial" w:cs="Arial"/>
                <w:sz w:val="20"/>
                <w:szCs w:val="20"/>
              </w:rPr>
              <w:t xml:space="preserve">   General poor mental health</w:t>
            </w:r>
            <w:r w:rsidR="00C6527C" w:rsidRPr="00166772">
              <w:rPr>
                <w:rFonts w:ascii="Arial" w:hAnsi="Arial" w:cs="Arial"/>
                <w:sz w:val="20"/>
                <w:szCs w:val="20"/>
              </w:rPr>
              <w:t xml:space="preserve"> symptoms</w:t>
            </w:r>
            <w:r w:rsidRPr="00166772">
              <w:rPr>
                <w:rFonts w:ascii="Arial" w:hAnsi="Arial" w:cs="Arial"/>
                <w:sz w:val="20"/>
                <w:szCs w:val="20"/>
              </w:rPr>
              <w:t xml:space="preserve"> </w:t>
            </w:r>
          </w:p>
        </w:tc>
        <w:tc>
          <w:tcPr>
            <w:tcW w:w="567" w:type="dxa"/>
          </w:tcPr>
          <w:p w14:paraId="11D260DA" w14:textId="26C7657C" w:rsidR="004F6245" w:rsidRPr="00166772" w:rsidRDefault="004F6245" w:rsidP="004F6245">
            <w:pPr>
              <w:jc w:val="center"/>
              <w:rPr>
                <w:rFonts w:ascii="Arial" w:hAnsi="Arial" w:cs="Arial"/>
                <w:sz w:val="20"/>
                <w:szCs w:val="20"/>
              </w:rPr>
            </w:pPr>
            <w:r w:rsidRPr="00166772">
              <w:rPr>
                <w:rFonts w:ascii="Arial" w:hAnsi="Arial" w:cs="Arial"/>
                <w:sz w:val="20"/>
                <w:szCs w:val="20"/>
              </w:rPr>
              <w:t>6</w:t>
            </w:r>
          </w:p>
        </w:tc>
        <w:tc>
          <w:tcPr>
            <w:tcW w:w="2127" w:type="dxa"/>
            <w:shd w:val="clear" w:color="auto" w:fill="auto"/>
          </w:tcPr>
          <w:p w14:paraId="4EDA3947" w14:textId="4D42397A" w:rsidR="004F6245" w:rsidRPr="00166772" w:rsidRDefault="004F6245" w:rsidP="004F6245">
            <w:pPr>
              <w:jc w:val="center"/>
              <w:rPr>
                <w:rFonts w:ascii="Arial" w:hAnsi="Arial" w:cs="Arial"/>
                <w:sz w:val="20"/>
                <w:szCs w:val="20"/>
              </w:rPr>
            </w:pPr>
            <w:r w:rsidRPr="00166772">
              <w:rPr>
                <w:rFonts w:ascii="Arial" w:hAnsi="Arial" w:cs="Arial"/>
                <w:sz w:val="20"/>
                <w:szCs w:val="20"/>
              </w:rPr>
              <w:t>1.18 (0.72 – 1.91)</w:t>
            </w:r>
          </w:p>
        </w:tc>
        <w:tc>
          <w:tcPr>
            <w:tcW w:w="850" w:type="dxa"/>
          </w:tcPr>
          <w:p w14:paraId="24D42778" w14:textId="63FC1A40" w:rsidR="004F6245" w:rsidRPr="00166772" w:rsidRDefault="004F6245" w:rsidP="004F6245">
            <w:pPr>
              <w:jc w:val="center"/>
              <w:rPr>
                <w:rFonts w:ascii="Arial" w:hAnsi="Arial" w:cs="Arial"/>
                <w:sz w:val="20"/>
                <w:szCs w:val="20"/>
              </w:rPr>
            </w:pPr>
            <w:r w:rsidRPr="00166772">
              <w:rPr>
                <w:rFonts w:ascii="Arial" w:hAnsi="Arial" w:cs="Arial"/>
                <w:sz w:val="20"/>
                <w:szCs w:val="20"/>
              </w:rPr>
              <w:t>85.6%</w:t>
            </w:r>
          </w:p>
        </w:tc>
        <w:tc>
          <w:tcPr>
            <w:tcW w:w="2268" w:type="dxa"/>
            <w:shd w:val="clear" w:color="auto" w:fill="auto"/>
          </w:tcPr>
          <w:p w14:paraId="79FAF5CA" w14:textId="73540D0A" w:rsidR="004F6245" w:rsidRPr="00166772" w:rsidRDefault="004F6245" w:rsidP="004F6245">
            <w:pPr>
              <w:jc w:val="center"/>
              <w:rPr>
                <w:rFonts w:ascii="Arial" w:hAnsi="Arial" w:cs="Arial"/>
                <w:sz w:val="20"/>
                <w:szCs w:val="20"/>
              </w:rPr>
            </w:pPr>
            <w:r w:rsidRPr="00166772">
              <w:rPr>
                <w:rFonts w:ascii="Arial" w:hAnsi="Arial" w:cs="Arial"/>
                <w:sz w:val="20"/>
                <w:szCs w:val="20"/>
              </w:rPr>
              <w:t>Index</w:t>
            </w:r>
          </w:p>
        </w:tc>
        <w:tc>
          <w:tcPr>
            <w:tcW w:w="1843" w:type="dxa"/>
            <w:vMerge/>
            <w:vAlign w:val="center"/>
          </w:tcPr>
          <w:p w14:paraId="2BB4465D" w14:textId="77777777" w:rsidR="004F6245" w:rsidRPr="00166772" w:rsidRDefault="004F6245" w:rsidP="004F6245">
            <w:pPr>
              <w:jc w:val="center"/>
              <w:rPr>
                <w:rFonts w:ascii="Arial" w:hAnsi="Arial" w:cs="Arial"/>
                <w:sz w:val="20"/>
                <w:szCs w:val="20"/>
              </w:rPr>
            </w:pPr>
          </w:p>
        </w:tc>
      </w:tr>
      <w:tr w:rsidR="004F6245" w:rsidRPr="00166772" w14:paraId="771D6C3C" w14:textId="77777777" w:rsidTr="004F6245">
        <w:tc>
          <w:tcPr>
            <w:tcW w:w="2835" w:type="dxa"/>
            <w:shd w:val="clear" w:color="auto" w:fill="auto"/>
          </w:tcPr>
          <w:p w14:paraId="2CFB935A" w14:textId="6143E97B" w:rsidR="004F6245" w:rsidRPr="00166772" w:rsidRDefault="004F6245" w:rsidP="004F6245">
            <w:pPr>
              <w:rPr>
                <w:rFonts w:ascii="Arial" w:hAnsi="Arial" w:cs="Arial"/>
                <w:sz w:val="20"/>
                <w:szCs w:val="20"/>
              </w:rPr>
            </w:pPr>
            <w:r w:rsidRPr="00166772">
              <w:rPr>
                <w:rFonts w:ascii="Arial" w:hAnsi="Arial" w:cs="Arial"/>
                <w:sz w:val="20"/>
                <w:szCs w:val="20"/>
              </w:rPr>
              <w:t>Gender</w:t>
            </w:r>
          </w:p>
        </w:tc>
        <w:tc>
          <w:tcPr>
            <w:tcW w:w="567" w:type="dxa"/>
          </w:tcPr>
          <w:p w14:paraId="4A50AF99" w14:textId="6C1D15FC" w:rsidR="004F6245" w:rsidRPr="00166772" w:rsidRDefault="004F6245" w:rsidP="004F6245">
            <w:pPr>
              <w:jc w:val="center"/>
              <w:rPr>
                <w:rFonts w:ascii="Arial" w:hAnsi="Arial" w:cs="Arial"/>
                <w:sz w:val="20"/>
                <w:szCs w:val="20"/>
              </w:rPr>
            </w:pPr>
          </w:p>
        </w:tc>
        <w:tc>
          <w:tcPr>
            <w:tcW w:w="2127" w:type="dxa"/>
            <w:shd w:val="clear" w:color="auto" w:fill="auto"/>
          </w:tcPr>
          <w:p w14:paraId="146D5A80" w14:textId="32E15B02" w:rsidR="004F6245" w:rsidRPr="00166772" w:rsidRDefault="004F6245" w:rsidP="004F6245">
            <w:pPr>
              <w:jc w:val="center"/>
              <w:rPr>
                <w:rFonts w:ascii="Arial" w:hAnsi="Arial" w:cs="Arial"/>
                <w:sz w:val="20"/>
                <w:szCs w:val="20"/>
              </w:rPr>
            </w:pPr>
          </w:p>
        </w:tc>
        <w:tc>
          <w:tcPr>
            <w:tcW w:w="850" w:type="dxa"/>
          </w:tcPr>
          <w:p w14:paraId="423592C7" w14:textId="0A6D3C50" w:rsidR="004F6245" w:rsidRPr="00166772" w:rsidRDefault="004F6245" w:rsidP="004F6245">
            <w:pPr>
              <w:jc w:val="center"/>
              <w:rPr>
                <w:rFonts w:ascii="Arial" w:hAnsi="Arial" w:cs="Arial"/>
                <w:sz w:val="20"/>
                <w:szCs w:val="20"/>
              </w:rPr>
            </w:pPr>
          </w:p>
        </w:tc>
        <w:tc>
          <w:tcPr>
            <w:tcW w:w="2268" w:type="dxa"/>
            <w:shd w:val="clear" w:color="auto" w:fill="auto"/>
          </w:tcPr>
          <w:p w14:paraId="1C4CB190" w14:textId="1BAF81B6" w:rsidR="004F6245" w:rsidRPr="00166772" w:rsidRDefault="004F6245" w:rsidP="004F6245">
            <w:pPr>
              <w:jc w:val="center"/>
              <w:rPr>
                <w:rFonts w:ascii="Arial" w:hAnsi="Arial" w:cs="Arial"/>
                <w:sz w:val="20"/>
                <w:szCs w:val="20"/>
              </w:rPr>
            </w:pPr>
          </w:p>
        </w:tc>
        <w:tc>
          <w:tcPr>
            <w:tcW w:w="1843" w:type="dxa"/>
            <w:vAlign w:val="center"/>
          </w:tcPr>
          <w:p w14:paraId="4544AFEA" w14:textId="02FDE4EC" w:rsidR="004F6245" w:rsidRPr="00166772" w:rsidRDefault="004F6245" w:rsidP="004F6245">
            <w:pPr>
              <w:jc w:val="center"/>
              <w:rPr>
                <w:rFonts w:ascii="Arial" w:hAnsi="Arial" w:cs="Arial"/>
                <w:sz w:val="20"/>
                <w:szCs w:val="20"/>
              </w:rPr>
            </w:pPr>
          </w:p>
        </w:tc>
      </w:tr>
      <w:tr w:rsidR="004F6245" w:rsidRPr="00166772" w14:paraId="5F525120" w14:textId="77777777" w:rsidTr="004F6245">
        <w:tc>
          <w:tcPr>
            <w:tcW w:w="2835" w:type="dxa"/>
            <w:shd w:val="clear" w:color="auto" w:fill="auto"/>
          </w:tcPr>
          <w:p w14:paraId="0B9378FB" w14:textId="1606191B" w:rsidR="004F6245" w:rsidRPr="00166772" w:rsidRDefault="004F6245" w:rsidP="004F6245">
            <w:pPr>
              <w:rPr>
                <w:rFonts w:ascii="Arial" w:hAnsi="Arial" w:cs="Arial"/>
                <w:sz w:val="20"/>
                <w:szCs w:val="20"/>
              </w:rPr>
            </w:pPr>
            <w:r w:rsidRPr="00166772">
              <w:rPr>
                <w:rFonts w:ascii="Arial" w:hAnsi="Arial" w:cs="Arial"/>
                <w:sz w:val="20"/>
                <w:szCs w:val="20"/>
              </w:rPr>
              <w:t xml:space="preserve">   Both</w:t>
            </w:r>
          </w:p>
        </w:tc>
        <w:tc>
          <w:tcPr>
            <w:tcW w:w="567" w:type="dxa"/>
          </w:tcPr>
          <w:p w14:paraId="3394DBEC" w14:textId="7B361848" w:rsidR="004F6245" w:rsidRPr="00166772" w:rsidRDefault="004F6245" w:rsidP="004F6245">
            <w:pPr>
              <w:jc w:val="center"/>
              <w:rPr>
                <w:rFonts w:ascii="Arial" w:hAnsi="Arial" w:cs="Arial"/>
                <w:sz w:val="20"/>
                <w:szCs w:val="20"/>
              </w:rPr>
            </w:pPr>
            <w:r w:rsidRPr="00166772">
              <w:rPr>
                <w:rFonts w:ascii="Arial" w:hAnsi="Arial" w:cs="Arial"/>
                <w:sz w:val="20"/>
                <w:szCs w:val="20"/>
              </w:rPr>
              <w:t>5</w:t>
            </w:r>
          </w:p>
        </w:tc>
        <w:tc>
          <w:tcPr>
            <w:tcW w:w="2127" w:type="dxa"/>
            <w:shd w:val="clear" w:color="auto" w:fill="auto"/>
          </w:tcPr>
          <w:p w14:paraId="70C5C30D" w14:textId="654E8DE5" w:rsidR="004F6245" w:rsidRPr="00166772" w:rsidRDefault="004F6245" w:rsidP="004F6245">
            <w:pPr>
              <w:jc w:val="center"/>
              <w:rPr>
                <w:rFonts w:ascii="Arial" w:hAnsi="Arial" w:cs="Arial"/>
                <w:sz w:val="20"/>
                <w:szCs w:val="20"/>
              </w:rPr>
            </w:pPr>
            <w:r w:rsidRPr="00166772">
              <w:rPr>
                <w:rFonts w:ascii="Arial" w:hAnsi="Arial" w:cs="Arial"/>
                <w:sz w:val="20"/>
                <w:szCs w:val="20"/>
              </w:rPr>
              <w:t>0.95 (0.93 – 1.09)</w:t>
            </w:r>
          </w:p>
        </w:tc>
        <w:tc>
          <w:tcPr>
            <w:tcW w:w="850" w:type="dxa"/>
          </w:tcPr>
          <w:p w14:paraId="6DD8AD26" w14:textId="11A68141" w:rsidR="004F6245" w:rsidRPr="00166772" w:rsidRDefault="004F6245" w:rsidP="004F6245">
            <w:pPr>
              <w:jc w:val="center"/>
              <w:rPr>
                <w:rFonts w:ascii="Arial" w:hAnsi="Arial" w:cs="Arial"/>
                <w:sz w:val="20"/>
                <w:szCs w:val="20"/>
              </w:rPr>
            </w:pPr>
            <w:r w:rsidRPr="00166772">
              <w:rPr>
                <w:rFonts w:ascii="Arial" w:hAnsi="Arial" w:cs="Arial"/>
                <w:sz w:val="20"/>
                <w:szCs w:val="20"/>
              </w:rPr>
              <w:t>0.0%</w:t>
            </w:r>
          </w:p>
        </w:tc>
        <w:tc>
          <w:tcPr>
            <w:tcW w:w="2268" w:type="dxa"/>
            <w:shd w:val="clear" w:color="auto" w:fill="auto"/>
          </w:tcPr>
          <w:p w14:paraId="2C778C82" w14:textId="39AA35F7" w:rsidR="004F6245" w:rsidRPr="00166772" w:rsidRDefault="004F6245" w:rsidP="004F6245">
            <w:pPr>
              <w:jc w:val="center"/>
              <w:rPr>
                <w:rFonts w:ascii="Arial" w:hAnsi="Arial" w:cs="Arial"/>
                <w:sz w:val="20"/>
                <w:szCs w:val="20"/>
              </w:rPr>
            </w:pPr>
            <w:r w:rsidRPr="00166772">
              <w:rPr>
                <w:rFonts w:ascii="Arial" w:hAnsi="Arial" w:cs="Arial"/>
                <w:sz w:val="20"/>
                <w:szCs w:val="20"/>
              </w:rPr>
              <w:t>Index</w:t>
            </w:r>
          </w:p>
        </w:tc>
        <w:tc>
          <w:tcPr>
            <w:tcW w:w="1843" w:type="dxa"/>
            <w:vMerge w:val="restart"/>
            <w:vAlign w:val="center"/>
          </w:tcPr>
          <w:p w14:paraId="01561AE4" w14:textId="2643E71D" w:rsidR="004F6245" w:rsidRPr="00166772" w:rsidRDefault="004F6245" w:rsidP="004F6245">
            <w:pPr>
              <w:jc w:val="center"/>
              <w:rPr>
                <w:rFonts w:ascii="Arial" w:hAnsi="Arial" w:cs="Arial"/>
                <w:b/>
                <w:sz w:val="20"/>
                <w:szCs w:val="20"/>
              </w:rPr>
            </w:pPr>
            <w:r w:rsidRPr="00166772">
              <w:rPr>
                <w:rFonts w:ascii="Arial" w:hAnsi="Arial" w:cs="Arial"/>
                <w:b/>
                <w:sz w:val="20"/>
                <w:szCs w:val="20"/>
              </w:rPr>
              <w:t>90.5</w:t>
            </w:r>
          </w:p>
        </w:tc>
      </w:tr>
      <w:tr w:rsidR="004F6245" w:rsidRPr="00166772" w14:paraId="3CE4182A" w14:textId="77777777" w:rsidTr="004F6245">
        <w:tc>
          <w:tcPr>
            <w:tcW w:w="2835" w:type="dxa"/>
            <w:shd w:val="clear" w:color="auto" w:fill="auto"/>
          </w:tcPr>
          <w:p w14:paraId="73FF3095" w14:textId="43301289" w:rsidR="004F6245" w:rsidRPr="00166772" w:rsidRDefault="004F6245" w:rsidP="004F6245">
            <w:pPr>
              <w:rPr>
                <w:rFonts w:ascii="Arial" w:hAnsi="Arial" w:cs="Arial"/>
                <w:sz w:val="20"/>
                <w:szCs w:val="20"/>
              </w:rPr>
            </w:pPr>
            <w:r w:rsidRPr="00166772">
              <w:rPr>
                <w:rFonts w:ascii="Arial" w:hAnsi="Arial" w:cs="Arial"/>
                <w:sz w:val="20"/>
                <w:szCs w:val="20"/>
              </w:rPr>
              <w:t xml:space="preserve">   Male</w:t>
            </w:r>
          </w:p>
        </w:tc>
        <w:tc>
          <w:tcPr>
            <w:tcW w:w="567" w:type="dxa"/>
          </w:tcPr>
          <w:p w14:paraId="1FF7C861" w14:textId="37165DEC" w:rsidR="004F6245" w:rsidRPr="00166772" w:rsidRDefault="004F6245" w:rsidP="004F6245">
            <w:pPr>
              <w:jc w:val="center"/>
              <w:rPr>
                <w:rFonts w:ascii="Arial" w:hAnsi="Arial" w:cs="Arial"/>
                <w:sz w:val="20"/>
                <w:szCs w:val="20"/>
              </w:rPr>
            </w:pPr>
            <w:r w:rsidRPr="00166772">
              <w:rPr>
                <w:rFonts w:ascii="Arial" w:hAnsi="Arial" w:cs="Arial"/>
                <w:sz w:val="20"/>
                <w:szCs w:val="20"/>
              </w:rPr>
              <w:t>4</w:t>
            </w:r>
          </w:p>
        </w:tc>
        <w:tc>
          <w:tcPr>
            <w:tcW w:w="2127" w:type="dxa"/>
            <w:shd w:val="clear" w:color="auto" w:fill="auto"/>
          </w:tcPr>
          <w:p w14:paraId="7FCEFBA3" w14:textId="4B564A12" w:rsidR="004F6245" w:rsidRPr="00166772" w:rsidRDefault="004F6245" w:rsidP="004F6245">
            <w:pPr>
              <w:jc w:val="center"/>
              <w:rPr>
                <w:rFonts w:ascii="Arial" w:hAnsi="Arial" w:cs="Arial"/>
                <w:sz w:val="20"/>
                <w:szCs w:val="20"/>
              </w:rPr>
            </w:pPr>
            <w:r w:rsidRPr="00166772">
              <w:rPr>
                <w:rFonts w:ascii="Arial" w:hAnsi="Arial" w:cs="Arial"/>
                <w:sz w:val="20"/>
                <w:szCs w:val="20"/>
              </w:rPr>
              <w:t>1.14 (0.49 – 2.65)</w:t>
            </w:r>
          </w:p>
        </w:tc>
        <w:tc>
          <w:tcPr>
            <w:tcW w:w="850" w:type="dxa"/>
          </w:tcPr>
          <w:p w14:paraId="4298AA94" w14:textId="52F92DBC" w:rsidR="004F6245" w:rsidRPr="00166772" w:rsidRDefault="004F6245" w:rsidP="004F6245">
            <w:pPr>
              <w:jc w:val="center"/>
              <w:rPr>
                <w:rFonts w:ascii="Arial" w:hAnsi="Arial" w:cs="Arial"/>
                <w:sz w:val="20"/>
                <w:szCs w:val="20"/>
              </w:rPr>
            </w:pPr>
            <w:r w:rsidRPr="00166772">
              <w:rPr>
                <w:rFonts w:ascii="Arial" w:hAnsi="Arial" w:cs="Arial"/>
                <w:sz w:val="20"/>
                <w:szCs w:val="20"/>
              </w:rPr>
              <w:t>82.8%</w:t>
            </w:r>
          </w:p>
        </w:tc>
        <w:tc>
          <w:tcPr>
            <w:tcW w:w="2268" w:type="dxa"/>
            <w:shd w:val="clear" w:color="auto" w:fill="auto"/>
          </w:tcPr>
          <w:p w14:paraId="75D4CE19" w14:textId="73F61928" w:rsidR="004F6245" w:rsidRPr="00166772" w:rsidRDefault="004F6245" w:rsidP="004F6245">
            <w:pPr>
              <w:jc w:val="center"/>
              <w:rPr>
                <w:rFonts w:ascii="Arial" w:hAnsi="Arial" w:cs="Arial"/>
                <w:sz w:val="20"/>
                <w:szCs w:val="20"/>
              </w:rPr>
            </w:pPr>
            <w:r w:rsidRPr="00166772">
              <w:rPr>
                <w:rFonts w:ascii="Arial" w:hAnsi="Arial" w:cs="Arial"/>
                <w:sz w:val="20"/>
                <w:szCs w:val="20"/>
              </w:rPr>
              <w:t>1.25 (0.71 – 2.20)</w:t>
            </w:r>
          </w:p>
        </w:tc>
        <w:tc>
          <w:tcPr>
            <w:tcW w:w="1843" w:type="dxa"/>
            <w:vMerge/>
            <w:vAlign w:val="center"/>
          </w:tcPr>
          <w:p w14:paraId="7FF38938" w14:textId="77777777" w:rsidR="004F6245" w:rsidRPr="00166772" w:rsidRDefault="004F6245" w:rsidP="004F6245">
            <w:pPr>
              <w:jc w:val="center"/>
              <w:rPr>
                <w:rFonts w:ascii="Arial" w:hAnsi="Arial" w:cs="Arial"/>
                <w:sz w:val="20"/>
                <w:szCs w:val="20"/>
              </w:rPr>
            </w:pPr>
          </w:p>
        </w:tc>
      </w:tr>
      <w:tr w:rsidR="004F6245" w:rsidRPr="00166772" w14:paraId="6859D408" w14:textId="77777777" w:rsidTr="004F6245">
        <w:tc>
          <w:tcPr>
            <w:tcW w:w="2835" w:type="dxa"/>
            <w:shd w:val="clear" w:color="auto" w:fill="auto"/>
          </w:tcPr>
          <w:p w14:paraId="157FCF9D" w14:textId="7631EA4A" w:rsidR="004F6245" w:rsidRPr="00166772" w:rsidRDefault="004F6245" w:rsidP="004F6245">
            <w:pPr>
              <w:rPr>
                <w:rFonts w:ascii="Arial" w:hAnsi="Arial" w:cs="Arial"/>
                <w:sz w:val="20"/>
                <w:szCs w:val="20"/>
              </w:rPr>
            </w:pPr>
            <w:r w:rsidRPr="00166772">
              <w:rPr>
                <w:rFonts w:ascii="Arial" w:hAnsi="Arial" w:cs="Arial"/>
                <w:b/>
                <w:sz w:val="20"/>
                <w:szCs w:val="20"/>
              </w:rPr>
              <w:t xml:space="preserve">   Female</w:t>
            </w:r>
          </w:p>
        </w:tc>
        <w:tc>
          <w:tcPr>
            <w:tcW w:w="567" w:type="dxa"/>
          </w:tcPr>
          <w:p w14:paraId="634C7108" w14:textId="4264E572" w:rsidR="004F6245" w:rsidRPr="00166772" w:rsidRDefault="004F6245" w:rsidP="004F6245">
            <w:pPr>
              <w:jc w:val="center"/>
              <w:rPr>
                <w:rFonts w:ascii="Arial" w:hAnsi="Arial" w:cs="Arial"/>
                <w:sz w:val="20"/>
                <w:szCs w:val="20"/>
              </w:rPr>
            </w:pPr>
            <w:r w:rsidRPr="00166772">
              <w:rPr>
                <w:rFonts w:ascii="Arial" w:hAnsi="Arial" w:cs="Arial"/>
                <w:b/>
                <w:sz w:val="20"/>
                <w:szCs w:val="20"/>
              </w:rPr>
              <w:t>5</w:t>
            </w:r>
          </w:p>
        </w:tc>
        <w:tc>
          <w:tcPr>
            <w:tcW w:w="2127" w:type="dxa"/>
            <w:shd w:val="clear" w:color="auto" w:fill="auto"/>
          </w:tcPr>
          <w:p w14:paraId="06992630" w14:textId="62261359" w:rsidR="004F6245" w:rsidRPr="00166772" w:rsidRDefault="004F6245" w:rsidP="004F6245">
            <w:pPr>
              <w:jc w:val="center"/>
              <w:rPr>
                <w:rFonts w:ascii="Arial" w:hAnsi="Arial" w:cs="Arial"/>
                <w:sz w:val="20"/>
                <w:szCs w:val="20"/>
              </w:rPr>
            </w:pPr>
            <w:r w:rsidRPr="00166772">
              <w:rPr>
                <w:rFonts w:ascii="Arial" w:hAnsi="Arial" w:cs="Arial"/>
                <w:b/>
                <w:sz w:val="20"/>
                <w:szCs w:val="20"/>
              </w:rPr>
              <w:t>1.73 (1.39 - 2.14)</w:t>
            </w:r>
          </w:p>
        </w:tc>
        <w:tc>
          <w:tcPr>
            <w:tcW w:w="850" w:type="dxa"/>
          </w:tcPr>
          <w:p w14:paraId="3C5AB097" w14:textId="342650AB" w:rsidR="004F6245" w:rsidRPr="00166772" w:rsidRDefault="004F6245" w:rsidP="004F6245">
            <w:pPr>
              <w:jc w:val="center"/>
              <w:rPr>
                <w:rFonts w:ascii="Arial" w:hAnsi="Arial" w:cs="Arial"/>
                <w:sz w:val="20"/>
                <w:szCs w:val="20"/>
              </w:rPr>
            </w:pPr>
            <w:r w:rsidRPr="00166772">
              <w:rPr>
                <w:rFonts w:ascii="Arial" w:hAnsi="Arial" w:cs="Arial"/>
                <w:sz w:val="20"/>
                <w:szCs w:val="20"/>
              </w:rPr>
              <w:t>0.0%</w:t>
            </w:r>
          </w:p>
        </w:tc>
        <w:tc>
          <w:tcPr>
            <w:tcW w:w="2268" w:type="dxa"/>
            <w:shd w:val="clear" w:color="auto" w:fill="auto"/>
          </w:tcPr>
          <w:p w14:paraId="7E3570AF" w14:textId="67A669B3" w:rsidR="004F6245" w:rsidRPr="00166772" w:rsidRDefault="004F6245" w:rsidP="004F6245">
            <w:pPr>
              <w:jc w:val="center"/>
              <w:rPr>
                <w:rFonts w:ascii="Arial" w:hAnsi="Arial" w:cs="Arial"/>
                <w:sz w:val="20"/>
                <w:szCs w:val="20"/>
              </w:rPr>
            </w:pPr>
            <w:r w:rsidRPr="00166772">
              <w:rPr>
                <w:rFonts w:ascii="Arial" w:hAnsi="Arial" w:cs="Arial"/>
                <w:b/>
                <w:sz w:val="20"/>
                <w:szCs w:val="20"/>
              </w:rPr>
              <w:t>1.73 (1.09 – 2.76)</w:t>
            </w:r>
          </w:p>
        </w:tc>
        <w:tc>
          <w:tcPr>
            <w:tcW w:w="1843" w:type="dxa"/>
            <w:vMerge/>
            <w:vAlign w:val="center"/>
          </w:tcPr>
          <w:p w14:paraId="6330F5FD" w14:textId="77777777" w:rsidR="004F6245" w:rsidRPr="00166772" w:rsidRDefault="004F6245" w:rsidP="004F6245">
            <w:pPr>
              <w:jc w:val="center"/>
              <w:rPr>
                <w:rFonts w:ascii="Arial" w:hAnsi="Arial" w:cs="Arial"/>
                <w:sz w:val="20"/>
                <w:szCs w:val="20"/>
              </w:rPr>
            </w:pPr>
          </w:p>
        </w:tc>
      </w:tr>
      <w:tr w:rsidR="004F6245" w:rsidRPr="00166772" w14:paraId="0D825D79" w14:textId="77777777" w:rsidTr="004F6245">
        <w:tc>
          <w:tcPr>
            <w:tcW w:w="2835" w:type="dxa"/>
            <w:shd w:val="clear" w:color="auto" w:fill="auto"/>
          </w:tcPr>
          <w:p w14:paraId="5928310A" w14:textId="64C7FF9F" w:rsidR="004F6245" w:rsidRPr="00166772" w:rsidRDefault="004F6245" w:rsidP="004F6245">
            <w:pPr>
              <w:rPr>
                <w:rFonts w:ascii="Arial" w:hAnsi="Arial" w:cs="Arial"/>
                <w:b/>
                <w:sz w:val="20"/>
                <w:szCs w:val="20"/>
              </w:rPr>
            </w:pPr>
            <w:r w:rsidRPr="00166772">
              <w:rPr>
                <w:rFonts w:ascii="Arial" w:hAnsi="Arial" w:cs="Arial"/>
                <w:sz w:val="20"/>
                <w:szCs w:val="20"/>
              </w:rPr>
              <w:t>Exposure definition</w:t>
            </w:r>
          </w:p>
        </w:tc>
        <w:tc>
          <w:tcPr>
            <w:tcW w:w="567" w:type="dxa"/>
          </w:tcPr>
          <w:p w14:paraId="75EE2951" w14:textId="42F3C9A2" w:rsidR="004F6245" w:rsidRPr="00166772" w:rsidRDefault="004F6245" w:rsidP="004F6245">
            <w:pPr>
              <w:jc w:val="center"/>
              <w:rPr>
                <w:rFonts w:ascii="Arial" w:hAnsi="Arial" w:cs="Arial"/>
                <w:b/>
                <w:sz w:val="20"/>
                <w:szCs w:val="20"/>
              </w:rPr>
            </w:pPr>
          </w:p>
        </w:tc>
        <w:tc>
          <w:tcPr>
            <w:tcW w:w="2127" w:type="dxa"/>
            <w:shd w:val="clear" w:color="auto" w:fill="auto"/>
          </w:tcPr>
          <w:p w14:paraId="4CB3FCB7" w14:textId="1D8B331B" w:rsidR="004F6245" w:rsidRPr="00166772" w:rsidRDefault="004F6245" w:rsidP="004F6245">
            <w:pPr>
              <w:jc w:val="center"/>
              <w:rPr>
                <w:rFonts w:ascii="Arial" w:hAnsi="Arial" w:cs="Arial"/>
                <w:b/>
                <w:sz w:val="20"/>
                <w:szCs w:val="20"/>
              </w:rPr>
            </w:pPr>
          </w:p>
        </w:tc>
        <w:tc>
          <w:tcPr>
            <w:tcW w:w="850" w:type="dxa"/>
          </w:tcPr>
          <w:p w14:paraId="2FF2CEB9" w14:textId="003451D4" w:rsidR="004F6245" w:rsidRPr="00166772" w:rsidRDefault="004F6245" w:rsidP="004F6245">
            <w:pPr>
              <w:jc w:val="center"/>
              <w:rPr>
                <w:rFonts w:ascii="Arial" w:hAnsi="Arial" w:cs="Arial"/>
                <w:sz w:val="20"/>
                <w:szCs w:val="20"/>
              </w:rPr>
            </w:pPr>
          </w:p>
        </w:tc>
        <w:tc>
          <w:tcPr>
            <w:tcW w:w="2268" w:type="dxa"/>
            <w:shd w:val="clear" w:color="auto" w:fill="auto"/>
          </w:tcPr>
          <w:p w14:paraId="10F16BAC" w14:textId="293EAEE3" w:rsidR="004F6245" w:rsidRPr="00166772" w:rsidRDefault="004F6245" w:rsidP="004F6245">
            <w:pPr>
              <w:jc w:val="center"/>
              <w:rPr>
                <w:rFonts w:ascii="Arial" w:hAnsi="Arial" w:cs="Arial"/>
                <w:b/>
                <w:sz w:val="20"/>
                <w:szCs w:val="20"/>
              </w:rPr>
            </w:pPr>
          </w:p>
        </w:tc>
        <w:tc>
          <w:tcPr>
            <w:tcW w:w="1843" w:type="dxa"/>
            <w:vMerge/>
            <w:vAlign w:val="center"/>
          </w:tcPr>
          <w:p w14:paraId="18BC5E82" w14:textId="77777777" w:rsidR="004F6245" w:rsidRPr="00166772" w:rsidRDefault="004F6245" w:rsidP="004F6245">
            <w:pPr>
              <w:jc w:val="center"/>
              <w:rPr>
                <w:rFonts w:ascii="Arial" w:hAnsi="Arial" w:cs="Arial"/>
                <w:sz w:val="20"/>
                <w:szCs w:val="20"/>
              </w:rPr>
            </w:pPr>
          </w:p>
        </w:tc>
      </w:tr>
      <w:tr w:rsidR="004F6245" w:rsidRPr="00166772" w14:paraId="29F1941F" w14:textId="77777777" w:rsidTr="004F6245">
        <w:tc>
          <w:tcPr>
            <w:tcW w:w="2835" w:type="dxa"/>
            <w:shd w:val="clear" w:color="auto" w:fill="auto"/>
          </w:tcPr>
          <w:p w14:paraId="5D489FEE" w14:textId="4DCC1496" w:rsidR="004F6245" w:rsidRPr="00166772" w:rsidRDefault="004F6245" w:rsidP="004F6245">
            <w:pPr>
              <w:rPr>
                <w:rFonts w:ascii="Arial" w:hAnsi="Arial" w:cs="Arial"/>
                <w:sz w:val="20"/>
                <w:szCs w:val="20"/>
              </w:rPr>
            </w:pPr>
            <w:r w:rsidRPr="00166772">
              <w:rPr>
                <w:rFonts w:ascii="Arial" w:hAnsi="Arial" w:cs="Arial"/>
                <w:b/>
                <w:sz w:val="20"/>
                <w:szCs w:val="20"/>
              </w:rPr>
              <w:t xml:space="preserve">   Low risk bias</w:t>
            </w:r>
          </w:p>
        </w:tc>
        <w:tc>
          <w:tcPr>
            <w:tcW w:w="567" w:type="dxa"/>
          </w:tcPr>
          <w:p w14:paraId="462C5769" w14:textId="17D5652A" w:rsidR="004F6245" w:rsidRPr="00166772" w:rsidRDefault="004F6245" w:rsidP="004F6245">
            <w:pPr>
              <w:jc w:val="center"/>
              <w:rPr>
                <w:rFonts w:ascii="Arial" w:hAnsi="Arial" w:cs="Arial"/>
                <w:sz w:val="20"/>
                <w:szCs w:val="20"/>
              </w:rPr>
            </w:pPr>
            <w:r w:rsidRPr="00166772">
              <w:rPr>
                <w:rFonts w:ascii="Arial" w:hAnsi="Arial" w:cs="Arial"/>
                <w:b/>
                <w:sz w:val="20"/>
                <w:szCs w:val="20"/>
              </w:rPr>
              <w:t>7</w:t>
            </w:r>
          </w:p>
        </w:tc>
        <w:tc>
          <w:tcPr>
            <w:tcW w:w="2127" w:type="dxa"/>
            <w:shd w:val="clear" w:color="auto" w:fill="auto"/>
          </w:tcPr>
          <w:p w14:paraId="2E222AD7" w14:textId="7096B713" w:rsidR="004F6245" w:rsidRPr="00166772" w:rsidRDefault="004F6245" w:rsidP="004F6245">
            <w:pPr>
              <w:jc w:val="center"/>
              <w:rPr>
                <w:rFonts w:ascii="Arial" w:hAnsi="Arial" w:cs="Arial"/>
                <w:sz w:val="20"/>
                <w:szCs w:val="20"/>
              </w:rPr>
            </w:pPr>
            <w:r w:rsidRPr="00166772">
              <w:rPr>
                <w:rFonts w:ascii="Arial" w:hAnsi="Arial" w:cs="Arial"/>
                <w:b/>
                <w:sz w:val="20"/>
                <w:szCs w:val="20"/>
              </w:rPr>
              <w:t>1.32 (1.07 – 1.62)</w:t>
            </w:r>
          </w:p>
        </w:tc>
        <w:tc>
          <w:tcPr>
            <w:tcW w:w="850" w:type="dxa"/>
          </w:tcPr>
          <w:p w14:paraId="6FD24FD2" w14:textId="60FA444B" w:rsidR="004F6245" w:rsidRPr="00166772" w:rsidRDefault="004F6245" w:rsidP="004F6245">
            <w:pPr>
              <w:jc w:val="center"/>
              <w:rPr>
                <w:rFonts w:ascii="Arial" w:hAnsi="Arial" w:cs="Arial"/>
                <w:sz w:val="20"/>
                <w:szCs w:val="20"/>
              </w:rPr>
            </w:pPr>
            <w:r w:rsidRPr="00166772">
              <w:rPr>
                <w:rFonts w:ascii="Arial" w:hAnsi="Arial" w:cs="Arial"/>
                <w:sz w:val="20"/>
                <w:szCs w:val="20"/>
              </w:rPr>
              <w:t>37.1%</w:t>
            </w:r>
          </w:p>
        </w:tc>
        <w:tc>
          <w:tcPr>
            <w:tcW w:w="2268" w:type="dxa"/>
            <w:shd w:val="clear" w:color="auto" w:fill="auto"/>
          </w:tcPr>
          <w:p w14:paraId="724D23B2" w14:textId="7298810F" w:rsidR="004F6245" w:rsidRPr="00166772" w:rsidRDefault="004F6245" w:rsidP="004F6245">
            <w:pPr>
              <w:jc w:val="center"/>
              <w:rPr>
                <w:rFonts w:ascii="Arial" w:hAnsi="Arial" w:cs="Arial"/>
                <w:sz w:val="20"/>
                <w:szCs w:val="20"/>
              </w:rPr>
            </w:pPr>
            <w:r w:rsidRPr="00166772">
              <w:rPr>
                <w:rFonts w:ascii="Arial" w:hAnsi="Arial" w:cs="Arial"/>
                <w:sz w:val="20"/>
                <w:szCs w:val="20"/>
              </w:rPr>
              <w:t>Index</w:t>
            </w:r>
          </w:p>
        </w:tc>
        <w:tc>
          <w:tcPr>
            <w:tcW w:w="1843" w:type="dxa"/>
            <w:vMerge w:val="restart"/>
            <w:vAlign w:val="center"/>
          </w:tcPr>
          <w:p w14:paraId="145F5FF9" w14:textId="06C4FA89" w:rsidR="004F6245" w:rsidRPr="00166772" w:rsidRDefault="004F6245" w:rsidP="004F6245">
            <w:pPr>
              <w:jc w:val="center"/>
              <w:rPr>
                <w:rFonts w:ascii="Arial" w:hAnsi="Arial" w:cs="Arial"/>
                <w:sz w:val="20"/>
                <w:szCs w:val="20"/>
              </w:rPr>
            </w:pPr>
            <w:r w:rsidRPr="00166772">
              <w:rPr>
                <w:rFonts w:ascii="Arial" w:hAnsi="Arial" w:cs="Arial"/>
                <w:sz w:val="20"/>
                <w:szCs w:val="20"/>
              </w:rPr>
              <w:t>-20.78</w:t>
            </w:r>
          </w:p>
        </w:tc>
      </w:tr>
      <w:tr w:rsidR="004F6245" w:rsidRPr="00166772" w14:paraId="2CAAE27B" w14:textId="77777777" w:rsidTr="004F6245">
        <w:tc>
          <w:tcPr>
            <w:tcW w:w="2835" w:type="dxa"/>
            <w:shd w:val="clear" w:color="auto" w:fill="auto"/>
          </w:tcPr>
          <w:p w14:paraId="33CC39BC" w14:textId="75C0F6B2" w:rsidR="004F6245" w:rsidRPr="00166772" w:rsidRDefault="004F6245" w:rsidP="004F6245">
            <w:pPr>
              <w:rPr>
                <w:rFonts w:ascii="Arial" w:hAnsi="Arial" w:cs="Arial"/>
                <w:b/>
                <w:sz w:val="20"/>
                <w:szCs w:val="20"/>
              </w:rPr>
            </w:pPr>
            <w:r w:rsidRPr="00166772">
              <w:rPr>
                <w:rFonts w:ascii="Arial" w:hAnsi="Arial" w:cs="Arial"/>
                <w:sz w:val="20"/>
                <w:szCs w:val="20"/>
              </w:rPr>
              <w:t xml:space="preserve">   High risk bias</w:t>
            </w:r>
          </w:p>
        </w:tc>
        <w:tc>
          <w:tcPr>
            <w:tcW w:w="567" w:type="dxa"/>
          </w:tcPr>
          <w:p w14:paraId="3CCFBE49" w14:textId="307D5486" w:rsidR="004F6245" w:rsidRPr="00166772" w:rsidRDefault="004F6245" w:rsidP="004F6245">
            <w:pPr>
              <w:jc w:val="center"/>
              <w:rPr>
                <w:rFonts w:ascii="Arial" w:hAnsi="Arial" w:cs="Arial"/>
                <w:b/>
                <w:sz w:val="20"/>
                <w:szCs w:val="20"/>
              </w:rPr>
            </w:pPr>
            <w:r w:rsidRPr="00166772">
              <w:rPr>
                <w:rFonts w:ascii="Arial" w:hAnsi="Arial" w:cs="Arial"/>
                <w:sz w:val="20"/>
                <w:szCs w:val="20"/>
              </w:rPr>
              <w:t>7</w:t>
            </w:r>
          </w:p>
        </w:tc>
        <w:tc>
          <w:tcPr>
            <w:tcW w:w="2127" w:type="dxa"/>
            <w:shd w:val="clear" w:color="auto" w:fill="auto"/>
          </w:tcPr>
          <w:p w14:paraId="08C3B9F5" w14:textId="1E439096" w:rsidR="004F6245" w:rsidRPr="00166772" w:rsidRDefault="004F6245" w:rsidP="004F6245">
            <w:pPr>
              <w:jc w:val="center"/>
              <w:rPr>
                <w:rFonts w:ascii="Arial" w:hAnsi="Arial" w:cs="Arial"/>
                <w:b/>
                <w:sz w:val="20"/>
                <w:szCs w:val="20"/>
              </w:rPr>
            </w:pPr>
            <w:r w:rsidRPr="00166772">
              <w:rPr>
                <w:rFonts w:ascii="Arial" w:hAnsi="Arial" w:cs="Arial"/>
                <w:sz w:val="20"/>
                <w:szCs w:val="20"/>
              </w:rPr>
              <w:t>1.27 (0.78 - 2.05)</w:t>
            </w:r>
          </w:p>
        </w:tc>
        <w:tc>
          <w:tcPr>
            <w:tcW w:w="850" w:type="dxa"/>
          </w:tcPr>
          <w:p w14:paraId="57C1B1C3" w14:textId="46B265DB" w:rsidR="004F6245" w:rsidRPr="00166772" w:rsidRDefault="004F6245" w:rsidP="004F6245">
            <w:pPr>
              <w:jc w:val="center"/>
              <w:rPr>
                <w:rFonts w:ascii="Arial" w:hAnsi="Arial" w:cs="Arial"/>
                <w:sz w:val="20"/>
                <w:szCs w:val="20"/>
              </w:rPr>
            </w:pPr>
            <w:r w:rsidRPr="00166772">
              <w:rPr>
                <w:rFonts w:ascii="Arial" w:hAnsi="Arial" w:cs="Arial"/>
                <w:sz w:val="20"/>
                <w:szCs w:val="20"/>
              </w:rPr>
              <w:t>78.2%</w:t>
            </w:r>
          </w:p>
        </w:tc>
        <w:tc>
          <w:tcPr>
            <w:tcW w:w="2268" w:type="dxa"/>
            <w:shd w:val="clear" w:color="auto" w:fill="auto"/>
          </w:tcPr>
          <w:p w14:paraId="3CCD63CD" w14:textId="03C9F4CC" w:rsidR="004F6245" w:rsidRPr="00166772" w:rsidRDefault="004F6245" w:rsidP="004F6245">
            <w:pPr>
              <w:jc w:val="center"/>
              <w:rPr>
                <w:rFonts w:ascii="Arial" w:hAnsi="Arial" w:cs="Arial"/>
                <w:sz w:val="20"/>
                <w:szCs w:val="20"/>
              </w:rPr>
            </w:pPr>
            <w:r w:rsidRPr="00166772">
              <w:rPr>
                <w:rFonts w:ascii="Arial" w:hAnsi="Arial" w:cs="Arial"/>
                <w:sz w:val="20"/>
                <w:szCs w:val="20"/>
              </w:rPr>
              <w:t>0.97 (0.52 – 1.78)</w:t>
            </w:r>
          </w:p>
        </w:tc>
        <w:tc>
          <w:tcPr>
            <w:tcW w:w="1843" w:type="dxa"/>
            <w:vMerge/>
            <w:vAlign w:val="center"/>
          </w:tcPr>
          <w:p w14:paraId="2E7A80C5" w14:textId="77777777" w:rsidR="004F6245" w:rsidRPr="00166772" w:rsidRDefault="004F6245" w:rsidP="004F6245">
            <w:pPr>
              <w:jc w:val="center"/>
              <w:rPr>
                <w:rFonts w:ascii="Arial" w:hAnsi="Arial" w:cs="Arial"/>
                <w:sz w:val="20"/>
                <w:szCs w:val="20"/>
              </w:rPr>
            </w:pPr>
          </w:p>
        </w:tc>
      </w:tr>
      <w:tr w:rsidR="004F6245" w:rsidRPr="00166772" w14:paraId="23B49AFD" w14:textId="77777777" w:rsidTr="004F6245">
        <w:tc>
          <w:tcPr>
            <w:tcW w:w="2835" w:type="dxa"/>
            <w:shd w:val="clear" w:color="auto" w:fill="auto"/>
          </w:tcPr>
          <w:p w14:paraId="32BF4527" w14:textId="4C3AB8A2" w:rsidR="004F6245" w:rsidRPr="00166772" w:rsidRDefault="004F6245" w:rsidP="004F6245">
            <w:pPr>
              <w:rPr>
                <w:rFonts w:ascii="Arial" w:hAnsi="Arial" w:cs="Arial"/>
                <w:sz w:val="20"/>
                <w:szCs w:val="20"/>
              </w:rPr>
            </w:pPr>
            <w:r w:rsidRPr="00166772">
              <w:rPr>
                <w:rFonts w:ascii="Arial" w:hAnsi="Arial" w:cs="Arial"/>
                <w:sz w:val="20"/>
                <w:szCs w:val="20"/>
              </w:rPr>
              <w:t>Industry type</w:t>
            </w:r>
          </w:p>
        </w:tc>
        <w:tc>
          <w:tcPr>
            <w:tcW w:w="567" w:type="dxa"/>
          </w:tcPr>
          <w:p w14:paraId="6ECCB30B" w14:textId="26CE3A62" w:rsidR="004F6245" w:rsidRPr="00166772" w:rsidRDefault="004F6245" w:rsidP="004F6245">
            <w:pPr>
              <w:jc w:val="center"/>
              <w:rPr>
                <w:rFonts w:ascii="Arial" w:hAnsi="Arial" w:cs="Arial"/>
                <w:sz w:val="20"/>
                <w:szCs w:val="20"/>
              </w:rPr>
            </w:pPr>
          </w:p>
        </w:tc>
        <w:tc>
          <w:tcPr>
            <w:tcW w:w="2127" w:type="dxa"/>
            <w:shd w:val="clear" w:color="auto" w:fill="auto"/>
          </w:tcPr>
          <w:p w14:paraId="3DFDB0F2" w14:textId="50A27B5F" w:rsidR="004F6245" w:rsidRPr="00166772" w:rsidRDefault="004F6245" w:rsidP="004F6245">
            <w:pPr>
              <w:jc w:val="center"/>
              <w:rPr>
                <w:rFonts w:ascii="Arial" w:hAnsi="Arial" w:cs="Arial"/>
                <w:sz w:val="20"/>
                <w:szCs w:val="20"/>
              </w:rPr>
            </w:pPr>
          </w:p>
        </w:tc>
        <w:tc>
          <w:tcPr>
            <w:tcW w:w="850" w:type="dxa"/>
          </w:tcPr>
          <w:p w14:paraId="487A08CF" w14:textId="0463C714" w:rsidR="004F6245" w:rsidRPr="00166772" w:rsidRDefault="004F6245" w:rsidP="004F6245">
            <w:pPr>
              <w:jc w:val="center"/>
              <w:rPr>
                <w:rFonts w:ascii="Arial" w:hAnsi="Arial" w:cs="Arial"/>
                <w:sz w:val="20"/>
                <w:szCs w:val="20"/>
              </w:rPr>
            </w:pPr>
          </w:p>
        </w:tc>
        <w:tc>
          <w:tcPr>
            <w:tcW w:w="2268" w:type="dxa"/>
            <w:shd w:val="clear" w:color="auto" w:fill="auto"/>
          </w:tcPr>
          <w:p w14:paraId="0CB0BF53" w14:textId="1FFD1C7D" w:rsidR="004F6245" w:rsidRPr="00166772" w:rsidRDefault="004F6245" w:rsidP="004F6245">
            <w:pPr>
              <w:jc w:val="center"/>
              <w:rPr>
                <w:rFonts w:ascii="Arial" w:hAnsi="Arial" w:cs="Arial"/>
                <w:sz w:val="20"/>
                <w:szCs w:val="20"/>
              </w:rPr>
            </w:pPr>
          </w:p>
        </w:tc>
        <w:tc>
          <w:tcPr>
            <w:tcW w:w="1843" w:type="dxa"/>
            <w:vMerge/>
            <w:vAlign w:val="center"/>
          </w:tcPr>
          <w:p w14:paraId="73A8899F" w14:textId="77777777" w:rsidR="004F6245" w:rsidRPr="00166772" w:rsidRDefault="004F6245" w:rsidP="004F6245">
            <w:pPr>
              <w:jc w:val="center"/>
              <w:rPr>
                <w:rFonts w:ascii="Arial" w:hAnsi="Arial" w:cs="Arial"/>
                <w:sz w:val="20"/>
                <w:szCs w:val="20"/>
              </w:rPr>
            </w:pPr>
          </w:p>
        </w:tc>
      </w:tr>
      <w:tr w:rsidR="004F6245" w:rsidRPr="00166772" w14:paraId="6E488FD8" w14:textId="77777777" w:rsidTr="004F6245">
        <w:tc>
          <w:tcPr>
            <w:tcW w:w="2835" w:type="dxa"/>
            <w:shd w:val="clear" w:color="auto" w:fill="auto"/>
          </w:tcPr>
          <w:p w14:paraId="62AAAA0F" w14:textId="36637144" w:rsidR="004F6245" w:rsidRPr="00166772" w:rsidRDefault="004F6245" w:rsidP="004F6245">
            <w:pPr>
              <w:rPr>
                <w:rFonts w:ascii="Arial" w:hAnsi="Arial" w:cs="Arial"/>
                <w:sz w:val="20"/>
                <w:szCs w:val="20"/>
              </w:rPr>
            </w:pPr>
            <w:r w:rsidRPr="00166772">
              <w:rPr>
                <w:rFonts w:ascii="Arial" w:hAnsi="Arial" w:cs="Arial"/>
                <w:sz w:val="20"/>
                <w:szCs w:val="20"/>
              </w:rPr>
              <w:t xml:space="preserve">   Other</w:t>
            </w:r>
          </w:p>
        </w:tc>
        <w:tc>
          <w:tcPr>
            <w:tcW w:w="567" w:type="dxa"/>
          </w:tcPr>
          <w:p w14:paraId="484AEC99" w14:textId="3AE313AA" w:rsidR="004F6245" w:rsidRPr="00166772" w:rsidRDefault="004F6245" w:rsidP="004F6245">
            <w:pPr>
              <w:jc w:val="center"/>
              <w:rPr>
                <w:rFonts w:ascii="Arial" w:hAnsi="Arial" w:cs="Arial"/>
                <w:sz w:val="20"/>
                <w:szCs w:val="20"/>
              </w:rPr>
            </w:pPr>
            <w:r w:rsidRPr="00166772">
              <w:rPr>
                <w:rFonts w:ascii="Arial" w:hAnsi="Arial" w:cs="Arial"/>
                <w:sz w:val="20"/>
                <w:szCs w:val="20"/>
              </w:rPr>
              <w:t>11</w:t>
            </w:r>
          </w:p>
        </w:tc>
        <w:tc>
          <w:tcPr>
            <w:tcW w:w="2127" w:type="dxa"/>
            <w:shd w:val="clear" w:color="auto" w:fill="auto"/>
          </w:tcPr>
          <w:p w14:paraId="7D6379AD" w14:textId="34763C79" w:rsidR="004F6245" w:rsidRPr="00166772" w:rsidRDefault="004F6245" w:rsidP="004F6245">
            <w:pPr>
              <w:jc w:val="center"/>
              <w:rPr>
                <w:rFonts w:ascii="Arial" w:hAnsi="Arial" w:cs="Arial"/>
                <w:sz w:val="20"/>
                <w:szCs w:val="20"/>
              </w:rPr>
            </w:pPr>
            <w:r w:rsidRPr="00166772">
              <w:rPr>
                <w:rFonts w:ascii="Arial" w:hAnsi="Arial" w:cs="Arial"/>
                <w:sz w:val="20"/>
                <w:szCs w:val="20"/>
              </w:rPr>
              <w:t>1.23 (0.95 – 1.60)</w:t>
            </w:r>
          </w:p>
        </w:tc>
        <w:tc>
          <w:tcPr>
            <w:tcW w:w="850" w:type="dxa"/>
          </w:tcPr>
          <w:p w14:paraId="6C3FE8B7" w14:textId="36FAAE06" w:rsidR="004F6245" w:rsidRPr="00166772" w:rsidRDefault="004F6245" w:rsidP="004F6245">
            <w:pPr>
              <w:jc w:val="center"/>
              <w:rPr>
                <w:rFonts w:ascii="Arial" w:hAnsi="Arial" w:cs="Arial"/>
                <w:sz w:val="20"/>
                <w:szCs w:val="20"/>
              </w:rPr>
            </w:pPr>
            <w:r w:rsidRPr="00166772">
              <w:rPr>
                <w:rFonts w:ascii="Arial" w:hAnsi="Arial" w:cs="Arial"/>
                <w:sz w:val="20"/>
                <w:szCs w:val="20"/>
              </w:rPr>
              <w:t>72.2%</w:t>
            </w:r>
          </w:p>
        </w:tc>
        <w:tc>
          <w:tcPr>
            <w:tcW w:w="2268" w:type="dxa"/>
            <w:shd w:val="clear" w:color="auto" w:fill="auto"/>
          </w:tcPr>
          <w:p w14:paraId="6ACFB2E2" w14:textId="09264C83" w:rsidR="004F6245" w:rsidRPr="00166772" w:rsidRDefault="004F6245" w:rsidP="004F6245">
            <w:pPr>
              <w:jc w:val="center"/>
              <w:rPr>
                <w:rFonts w:ascii="Arial" w:hAnsi="Arial" w:cs="Arial"/>
                <w:sz w:val="20"/>
                <w:szCs w:val="20"/>
              </w:rPr>
            </w:pPr>
            <w:r w:rsidRPr="00166772">
              <w:rPr>
                <w:rFonts w:ascii="Arial" w:hAnsi="Arial" w:cs="Arial"/>
                <w:sz w:val="20"/>
                <w:szCs w:val="20"/>
              </w:rPr>
              <w:t>Index</w:t>
            </w:r>
          </w:p>
        </w:tc>
        <w:tc>
          <w:tcPr>
            <w:tcW w:w="1843" w:type="dxa"/>
            <w:vMerge w:val="restart"/>
            <w:vAlign w:val="center"/>
          </w:tcPr>
          <w:p w14:paraId="3D0E726D" w14:textId="6210B7AE" w:rsidR="004F6245" w:rsidRPr="00166772" w:rsidRDefault="004F6245" w:rsidP="004F6245">
            <w:pPr>
              <w:jc w:val="center"/>
              <w:rPr>
                <w:rFonts w:ascii="Arial" w:hAnsi="Arial" w:cs="Arial"/>
                <w:sz w:val="20"/>
                <w:szCs w:val="20"/>
              </w:rPr>
            </w:pPr>
            <w:r w:rsidRPr="00166772">
              <w:rPr>
                <w:rFonts w:ascii="Arial" w:hAnsi="Arial" w:cs="Arial"/>
                <w:sz w:val="20"/>
                <w:szCs w:val="20"/>
              </w:rPr>
              <w:t>-3.22</w:t>
            </w:r>
          </w:p>
        </w:tc>
      </w:tr>
      <w:tr w:rsidR="004F6245" w:rsidRPr="00166772" w14:paraId="04D53A9F" w14:textId="77777777" w:rsidTr="004F6245">
        <w:tc>
          <w:tcPr>
            <w:tcW w:w="2835" w:type="dxa"/>
            <w:shd w:val="clear" w:color="auto" w:fill="auto"/>
          </w:tcPr>
          <w:p w14:paraId="70C33FE9" w14:textId="5A2F4256" w:rsidR="004F6245" w:rsidRPr="00166772" w:rsidRDefault="004F6245" w:rsidP="004F6245">
            <w:pPr>
              <w:rPr>
                <w:rFonts w:ascii="Arial" w:hAnsi="Arial" w:cs="Arial"/>
                <w:sz w:val="20"/>
                <w:szCs w:val="20"/>
              </w:rPr>
            </w:pPr>
            <w:r w:rsidRPr="00166772">
              <w:rPr>
                <w:rFonts w:ascii="Arial" w:hAnsi="Arial" w:cs="Arial"/>
                <w:b/>
                <w:sz w:val="20"/>
                <w:szCs w:val="20"/>
              </w:rPr>
              <w:t xml:space="preserve">   Nursing</w:t>
            </w:r>
          </w:p>
        </w:tc>
        <w:tc>
          <w:tcPr>
            <w:tcW w:w="567" w:type="dxa"/>
          </w:tcPr>
          <w:p w14:paraId="0D77C3F6" w14:textId="3D7ED50D" w:rsidR="004F6245" w:rsidRPr="00166772" w:rsidRDefault="004F6245" w:rsidP="004F6245">
            <w:pPr>
              <w:jc w:val="center"/>
              <w:rPr>
                <w:rFonts w:ascii="Arial" w:hAnsi="Arial" w:cs="Arial"/>
                <w:sz w:val="20"/>
                <w:szCs w:val="20"/>
              </w:rPr>
            </w:pPr>
            <w:r w:rsidRPr="00166772">
              <w:rPr>
                <w:rFonts w:ascii="Arial" w:hAnsi="Arial" w:cs="Arial"/>
                <w:sz w:val="20"/>
                <w:szCs w:val="20"/>
              </w:rPr>
              <w:t>3</w:t>
            </w:r>
          </w:p>
        </w:tc>
        <w:tc>
          <w:tcPr>
            <w:tcW w:w="2127" w:type="dxa"/>
            <w:shd w:val="clear" w:color="auto" w:fill="auto"/>
          </w:tcPr>
          <w:p w14:paraId="46A560A6" w14:textId="751A330E" w:rsidR="004F6245" w:rsidRPr="00166772" w:rsidRDefault="004F6245" w:rsidP="004F6245">
            <w:pPr>
              <w:jc w:val="center"/>
              <w:rPr>
                <w:rFonts w:ascii="Arial" w:hAnsi="Arial" w:cs="Arial"/>
                <w:sz w:val="20"/>
                <w:szCs w:val="20"/>
              </w:rPr>
            </w:pPr>
            <w:r w:rsidRPr="00166772">
              <w:rPr>
                <w:rFonts w:ascii="Arial" w:hAnsi="Arial" w:cs="Arial"/>
                <w:b/>
                <w:sz w:val="20"/>
                <w:szCs w:val="20"/>
              </w:rPr>
              <w:t>1.54 (1.09 – 2.16)</w:t>
            </w:r>
          </w:p>
        </w:tc>
        <w:tc>
          <w:tcPr>
            <w:tcW w:w="850" w:type="dxa"/>
          </w:tcPr>
          <w:p w14:paraId="5179A78E" w14:textId="00B18905" w:rsidR="004F6245" w:rsidRPr="00166772" w:rsidRDefault="004F6245" w:rsidP="004F6245">
            <w:pPr>
              <w:jc w:val="center"/>
              <w:rPr>
                <w:rFonts w:ascii="Arial" w:hAnsi="Arial" w:cs="Arial"/>
                <w:sz w:val="20"/>
                <w:szCs w:val="20"/>
              </w:rPr>
            </w:pPr>
            <w:r w:rsidRPr="00166772">
              <w:rPr>
                <w:rFonts w:ascii="Arial" w:hAnsi="Arial" w:cs="Arial"/>
                <w:sz w:val="20"/>
                <w:szCs w:val="20"/>
              </w:rPr>
              <w:t>31.1%</w:t>
            </w:r>
          </w:p>
        </w:tc>
        <w:tc>
          <w:tcPr>
            <w:tcW w:w="2268" w:type="dxa"/>
            <w:shd w:val="clear" w:color="auto" w:fill="auto"/>
          </w:tcPr>
          <w:p w14:paraId="431DD7F7" w14:textId="7099DFE5" w:rsidR="004F6245" w:rsidRPr="00166772" w:rsidRDefault="004F6245" w:rsidP="004F6245">
            <w:pPr>
              <w:jc w:val="center"/>
              <w:rPr>
                <w:rFonts w:ascii="Arial" w:hAnsi="Arial" w:cs="Arial"/>
                <w:sz w:val="20"/>
                <w:szCs w:val="20"/>
              </w:rPr>
            </w:pPr>
            <w:r w:rsidRPr="00166772">
              <w:rPr>
                <w:rFonts w:ascii="Arial" w:hAnsi="Arial" w:cs="Arial"/>
                <w:sz w:val="20"/>
                <w:szCs w:val="20"/>
              </w:rPr>
              <w:t>1.20 (0.60 – 2.42)</w:t>
            </w:r>
          </w:p>
        </w:tc>
        <w:tc>
          <w:tcPr>
            <w:tcW w:w="1843" w:type="dxa"/>
            <w:vMerge/>
            <w:vAlign w:val="center"/>
          </w:tcPr>
          <w:p w14:paraId="6AF2EF5A" w14:textId="77777777" w:rsidR="004F6245" w:rsidRPr="00166772" w:rsidRDefault="004F6245" w:rsidP="004F6245">
            <w:pPr>
              <w:jc w:val="center"/>
              <w:rPr>
                <w:rFonts w:ascii="Arial" w:hAnsi="Arial" w:cs="Arial"/>
                <w:sz w:val="20"/>
                <w:szCs w:val="20"/>
              </w:rPr>
            </w:pPr>
          </w:p>
        </w:tc>
      </w:tr>
      <w:tr w:rsidR="004F6245" w:rsidRPr="00166772" w14:paraId="74933767" w14:textId="77777777" w:rsidTr="004F6245">
        <w:tc>
          <w:tcPr>
            <w:tcW w:w="2835" w:type="dxa"/>
            <w:shd w:val="clear" w:color="auto" w:fill="auto"/>
          </w:tcPr>
          <w:p w14:paraId="0336A109" w14:textId="2CC08422" w:rsidR="004F6245" w:rsidRPr="00166772" w:rsidRDefault="004F6245" w:rsidP="004F6245">
            <w:pPr>
              <w:rPr>
                <w:rFonts w:ascii="Arial" w:hAnsi="Arial" w:cs="Arial"/>
                <w:b/>
                <w:sz w:val="20"/>
                <w:szCs w:val="20"/>
              </w:rPr>
            </w:pPr>
            <w:r w:rsidRPr="00166772">
              <w:rPr>
                <w:rFonts w:ascii="Arial" w:hAnsi="Arial" w:cs="Arial"/>
                <w:sz w:val="20"/>
                <w:szCs w:val="20"/>
              </w:rPr>
              <w:t>Follow-up</w:t>
            </w:r>
          </w:p>
        </w:tc>
        <w:tc>
          <w:tcPr>
            <w:tcW w:w="567" w:type="dxa"/>
          </w:tcPr>
          <w:p w14:paraId="61CC7D61" w14:textId="1BEAB1FA" w:rsidR="004F6245" w:rsidRPr="00166772" w:rsidRDefault="004F6245" w:rsidP="004F6245">
            <w:pPr>
              <w:jc w:val="center"/>
              <w:rPr>
                <w:rFonts w:ascii="Arial" w:hAnsi="Arial" w:cs="Arial"/>
                <w:sz w:val="20"/>
                <w:szCs w:val="20"/>
              </w:rPr>
            </w:pPr>
          </w:p>
        </w:tc>
        <w:tc>
          <w:tcPr>
            <w:tcW w:w="2127" w:type="dxa"/>
            <w:shd w:val="clear" w:color="auto" w:fill="auto"/>
          </w:tcPr>
          <w:p w14:paraId="7CF2EB65" w14:textId="15BA8CCE" w:rsidR="004F6245" w:rsidRPr="00166772" w:rsidRDefault="004F6245" w:rsidP="004F6245">
            <w:pPr>
              <w:jc w:val="center"/>
              <w:rPr>
                <w:rFonts w:ascii="Arial" w:hAnsi="Arial" w:cs="Arial"/>
                <w:b/>
                <w:sz w:val="20"/>
                <w:szCs w:val="20"/>
              </w:rPr>
            </w:pPr>
          </w:p>
        </w:tc>
        <w:tc>
          <w:tcPr>
            <w:tcW w:w="850" w:type="dxa"/>
          </w:tcPr>
          <w:p w14:paraId="0E3D8DE3" w14:textId="30B86B2A" w:rsidR="004F6245" w:rsidRPr="00166772" w:rsidRDefault="004F6245" w:rsidP="004F6245">
            <w:pPr>
              <w:jc w:val="center"/>
              <w:rPr>
                <w:rFonts w:ascii="Arial" w:hAnsi="Arial" w:cs="Arial"/>
                <w:sz w:val="20"/>
                <w:szCs w:val="20"/>
              </w:rPr>
            </w:pPr>
          </w:p>
        </w:tc>
        <w:tc>
          <w:tcPr>
            <w:tcW w:w="2268" w:type="dxa"/>
            <w:shd w:val="clear" w:color="auto" w:fill="auto"/>
          </w:tcPr>
          <w:p w14:paraId="6A78EB3E" w14:textId="76F8401D" w:rsidR="004F6245" w:rsidRPr="00166772" w:rsidRDefault="004F6245" w:rsidP="004F6245">
            <w:pPr>
              <w:jc w:val="center"/>
              <w:rPr>
                <w:rFonts w:ascii="Arial" w:hAnsi="Arial" w:cs="Arial"/>
                <w:sz w:val="20"/>
                <w:szCs w:val="20"/>
              </w:rPr>
            </w:pPr>
          </w:p>
        </w:tc>
        <w:tc>
          <w:tcPr>
            <w:tcW w:w="1843" w:type="dxa"/>
            <w:vMerge/>
            <w:vAlign w:val="center"/>
          </w:tcPr>
          <w:p w14:paraId="3BE5A90D" w14:textId="77777777" w:rsidR="004F6245" w:rsidRPr="00166772" w:rsidRDefault="004F6245" w:rsidP="004F6245">
            <w:pPr>
              <w:jc w:val="center"/>
              <w:rPr>
                <w:rFonts w:ascii="Arial" w:hAnsi="Arial" w:cs="Arial"/>
                <w:sz w:val="20"/>
                <w:szCs w:val="20"/>
              </w:rPr>
            </w:pPr>
          </w:p>
        </w:tc>
      </w:tr>
      <w:tr w:rsidR="004F6245" w:rsidRPr="00166772" w14:paraId="13ADFEA1" w14:textId="77777777" w:rsidTr="004F6245">
        <w:tc>
          <w:tcPr>
            <w:tcW w:w="2835" w:type="dxa"/>
            <w:shd w:val="clear" w:color="auto" w:fill="auto"/>
          </w:tcPr>
          <w:p w14:paraId="4EC168E5" w14:textId="4BC8F1FC" w:rsidR="004F6245" w:rsidRPr="00166772" w:rsidRDefault="004F6245" w:rsidP="004F6245">
            <w:pPr>
              <w:rPr>
                <w:rFonts w:ascii="Arial" w:hAnsi="Arial" w:cs="Arial"/>
                <w:sz w:val="20"/>
                <w:szCs w:val="20"/>
              </w:rPr>
            </w:pPr>
            <w:r w:rsidRPr="00166772">
              <w:rPr>
                <w:rFonts w:ascii="Arial" w:hAnsi="Arial" w:cs="Arial"/>
                <w:sz w:val="20"/>
                <w:szCs w:val="20"/>
              </w:rPr>
              <w:t xml:space="preserve">  &lt; 1 year</w:t>
            </w:r>
          </w:p>
        </w:tc>
        <w:tc>
          <w:tcPr>
            <w:tcW w:w="567" w:type="dxa"/>
          </w:tcPr>
          <w:p w14:paraId="6CE20A68" w14:textId="76E53882" w:rsidR="004F6245" w:rsidRPr="00166772" w:rsidRDefault="004F6245" w:rsidP="004F6245">
            <w:pPr>
              <w:jc w:val="center"/>
              <w:rPr>
                <w:rFonts w:ascii="Arial" w:hAnsi="Arial" w:cs="Arial"/>
                <w:sz w:val="20"/>
                <w:szCs w:val="20"/>
              </w:rPr>
            </w:pPr>
            <w:r w:rsidRPr="00166772">
              <w:rPr>
                <w:rFonts w:ascii="Arial" w:hAnsi="Arial" w:cs="Arial"/>
                <w:sz w:val="20"/>
                <w:szCs w:val="20"/>
              </w:rPr>
              <w:t>3</w:t>
            </w:r>
          </w:p>
        </w:tc>
        <w:tc>
          <w:tcPr>
            <w:tcW w:w="2127" w:type="dxa"/>
            <w:shd w:val="clear" w:color="auto" w:fill="auto"/>
          </w:tcPr>
          <w:p w14:paraId="36B6233B" w14:textId="52B5DAFF" w:rsidR="004F6245" w:rsidRPr="00166772" w:rsidRDefault="004F6245" w:rsidP="004F6245">
            <w:pPr>
              <w:jc w:val="center"/>
              <w:rPr>
                <w:rFonts w:ascii="Arial" w:hAnsi="Arial" w:cs="Arial"/>
                <w:sz w:val="20"/>
                <w:szCs w:val="20"/>
              </w:rPr>
            </w:pPr>
            <w:r w:rsidRPr="00166772">
              <w:rPr>
                <w:rFonts w:ascii="Arial" w:hAnsi="Arial" w:cs="Arial"/>
                <w:sz w:val="20"/>
                <w:szCs w:val="20"/>
              </w:rPr>
              <w:t>1.31 (0.84 – 2.05)</w:t>
            </w:r>
          </w:p>
        </w:tc>
        <w:tc>
          <w:tcPr>
            <w:tcW w:w="850" w:type="dxa"/>
          </w:tcPr>
          <w:p w14:paraId="04725432" w14:textId="259F531D" w:rsidR="004F6245" w:rsidRPr="00166772" w:rsidRDefault="004F6245" w:rsidP="004F6245">
            <w:pPr>
              <w:jc w:val="center"/>
              <w:rPr>
                <w:rFonts w:ascii="Arial" w:hAnsi="Arial" w:cs="Arial"/>
                <w:sz w:val="20"/>
                <w:szCs w:val="20"/>
              </w:rPr>
            </w:pPr>
            <w:r w:rsidRPr="00166772">
              <w:rPr>
                <w:rFonts w:ascii="Arial" w:hAnsi="Arial" w:cs="Arial"/>
                <w:sz w:val="20"/>
                <w:szCs w:val="20"/>
              </w:rPr>
              <w:t>74.3%</w:t>
            </w:r>
          </w:p>
        </w:tc>
        <w:tc>
          <w:tcPr>
            <w:tcW w:w="2268" w:type="dxa"/>
            <w:shd w:val="clear" w:color="auto" w:fill="auto"/>
          </w:tcPr>
          <w:p w14:paraId="3114B9C3" w14:textId="7F5D1AE4" w:rsidR="004F6245" w:rsidRPr="00166772" w:rsidRDefault="004F6245" w:rsidP="004F6245">
            <w:pPr>
              <w:jc w:val="center"/>
              <w:rPr>
                <w:rFonts w:ascii="Arial" w:hAnsi="Arial" w:cs="Arial"/>
                <w:sz w:val="20"/>
                <w:szCs w:val="20"/>
              </w:rPr>
            </w:pPr>
            <w:r w:rsidRPr="00166772">
              <w:rPr>
                <w:rFonts w:ascii="Arial" w:hAnsi="Arial" w:cs="Arial"/>
                <w:sz w:val="20"/>
                <w:szCs w:val="20"/>
              </w:rPr>
              <w:t>Index</w:t>
            </w:r>
          </w:p>
        </w:tc>
        <w:tc>
          <w:tcPr>
            <w:tcW w:w="1843" w:type="dxa"/>
            <w:vMerge w:val="restart"/>
            <w:vAlign w:val="center"/>
          </w:tcPr>
          <w:p w14:paraId="03273F24" w14:textId="79299869" w:rsidR="004F6245" w:rsidRPr="00166772" w:rsidRDefault="004F6245" w:rsidP="004F6245">
            <w:pPr>
              <w:jc w:val="center"/>
              <w:rPr>
                <w:rFonts w:ascii="Arial" w:hAnsi="Arial" w:cs="Arial"/>
                <w:sz w:val="20"/>
                <w:szCs w:val="20"/>
              </w:rPr>
            </w:pPr>
            <w:r w:rsidRPr="00166772">
              <w:rPr>
                <w:rFonts w:ascii="Arial" w:hAnsi="Arial" w:cs="Arial"/>
                <w:sz w:val="20"/>
                <w:szCs w:val="20"/>
              </w:rPr>
              <w:t>-26.27</w:t>
            </w:r>
          </w:p>
        </w:tc>
      </w:tr>
      <w:tr w:rsidR="004F6245" w:rsidRPr="00166772" w14:paraId="04FB9042" w14:textId="77777777" w:rsidTr="004F6245">
        <w:tc>
          <w:tcPr>
            <w:tcW w:w="2835" w:type="dxa"/>
            <w:shd w:val="clear" w:color="auto" w:fill="auto"/>
          </w:tcPr>
          <w:p w14:paraId="150E22F6" w14:textId="2F6CBA08" w:rsidR="004F6245" w:rsidRPr="00166772" w:rsidRDefault="004F6245" w:rsidP="004F6245">
            <w:pPr>
              <w:rPr>
                <w:rFonts w:ascii="Arial" w:hAnsi="Arial" w:cs="Arial"/>
                <w:sz w:val="20"/>
                <w:szCs w:val="20"/>
              </w:rPr>
            </w:pPr>
            <w:r w:rsidRPr="00166772">
              <w:rPr>
                <w:rFonts w:ascii="Arial" w:hAnsi="Arial" w:cs="Arial"/>
                <w:b/>
                <w:sz w:val="20"/>
                <w:szCs w:val="20"/>
              </w:rPr>
              <w:t xml:space="preserve">  &gt; 1 year</w:t>
            </w:r>
          </w:p>
        </w:tc>
        <w:tc>
          <w:tcPr>
            <w:tcW w:w="567" w:type="dxa"/>
          </w:tcPr>
          <w:p w14:paraId="5A5FF1E3" w14:textId="067E8713" w:rsidR="004F6245" w:rsidRPr="00166772" w:rsidRDefault="004F6245" w:rsidP="004F6245">
            <w:pPr>
              <w:jc w:val="center"/>
              <w:rPr>
                <w:rFonts w:ascii="Arial" w:hAnsi="Arial" w:cs="Arial"/>
                <w:sz w:val="20"/>
                <w:szCs w:val="20"/>
              </w:rPr>
            </w:pPr>
            <w:r w:rsidRPr="00166772">
              <w:rPr>
                <w:rFonts w:ascii="Arial" w:hAnsi="Arial" w:cs="Arial"/>
                <w:b/>
                <w:sz w:val="20"/>
                <w:szCs w:val="20"/>
              </w:rPr>
              <w:t>11</w:t>
            </w:r>
          </w:p>
        </w:tc>
        <w:tc>
          <w:tcPr>
            <w:tcW w:w="2127" w:type="dxa"/>
            <w:shd w:val="clear" w:color="auto" w:fill="auto"/>
          </w:tcPr>
          <w:p w14:paraId="2DCF65FC" w14:textId="7ABD13B5" w:rsidR="004F6245" w:rsidRPr="00166772" w:rsidRDefault="004F6245" w:rsidP="004F6245">
            <w:pPr>
              <w:jc w:val="center"/>
              <w:rPr>
                <w:rFonts w:ascii="Arial" w:hAnsi="Arial" w:cs="Arial"/>
                <w:sz w:val="20"/>
                <w:szCs w:val="20"/>
              </w:rPr>
            </w:pPr>
            <w:r w:rsidRPr="00166772">
              <w:rPr>
                <w:rFonts w:ascii="Arial" w:hAnsi="Arial" w:cs="Arial"/>
                <w:b/>
                <w:sz w:val="20"/>
                <w:szCs w:val="20"/>
              </w:rPr>
              <w:t>1.39 (1.04 – 1.87)</w:t>
            </w:r>
          </w:p>
        </w:tc>
        <w:tc>
          <w:tcPr>
            <w:tcW w:w="850" w:type="dxa"/>
          </w:tcPr>
          <w:p w14:paraId="08884A32" w14:textId="10C84C18" w:rsidR="004F6245" w:rsidRPr="00166772" w:rsidRDefault="004F6245" w:rsidP="004F6245">
            <w:pPr>
              <w:jc w:val="center"/>
              <w:rPr>
                <w:rFonts w:ascii="Arial" w:hAnsi="Arial" w:cs="Arial"/>
                <w:sz w:val="20"/>
                <w:szCs w:val="20"/>
              </w:rPr>
            </w:pPr>
            <w:r w:rsidRPr="00166772">
              <w:rPr>
                <w:rFonts w:ascii="Arial" w:hAnsi="Arial" w:cs="Arial"/>
                <w:sz w:val="20"/>
                <w:szCs w:val="20"/>
              </w:rPr>
              <w:t>71.9%</w:t>
            </w:r>
          </w:p>
        </w:tc>
        <w:tc>
          <w:tcPr>
            <w:tcW w:w="2268" w:type="dxa"/>
            <w:shd w:val="clear" w:color="auto" w:fill="auto"/>
          </w:tcPr>
          <w:p w14:paraId="6F9304E0" w14:textId="0FE06AC5" w:rsidR="004F6245" w:rsidRPr="00166772" w:rsidRDefault="004F6245" w:rsidP="004F6245">
            <w:pPr>
              <w:jc w:val="center"/>
              <w:rPr>
                <w:rFonts w:ascii="Arial" w:hAnsi="Arial" w:cs="Arial"/>
                <w:sz w:val="20"/>
                <w:szCs w:val="20"/>
              </w:rPr>
            </w:pPr>
            <w:r w:rsidRPr="00166772">
              <w:rPr>
                <w:rFonts w:ascii="Arial" w:hAnsi="Arial" w:cs="Arial"/>
                <w:sz w:val="20"/>
                <w:szCs w:val="20"/>
              </w:rPr>
              <w:t>1.07 (0.50 – 2.27)</w:t>
            </w:r>
          </w:p>
        </w:tc>
        <w:tc>
          <w:tcPr>
            <w:tcW w:w="1843" w:type="dxa"/>
            <w:vMerge/>
            <w:vAlign w:val="center"/>
          </w:tcPr>
          <w:p w14:paraId="762F05B9" w14:textId="77777777" w:rsidR="004F6245" w:rsidRPr="00166772" w:rsidRDefault="004F6245" w:rsidP="004F6245">
            <w:pPr>
              <w:jc w:val="center"/>
              <w:rPr>
                <w:rFonts w:ascii="Arial" w:hAnsi="Arial" w:cs="Arial"/>
                <w:sz w:val="20"/>
                <w:szCs w:val="20"/>
              </w:rPr>
            </w:pPr>
          </w:p>
        </w:tc>
      </w:tr>
      <w:tr w:rsidR="004F6245" w:rsidRPr="00166772" w14:paraId="41A45F2D" w14:textId="77777777" w:rsidTr="004F6245">
        <w:tc>
          <w:tcPr>
            <w:tcW w:w="2835" w:type="dxa"/>
            <w:shd w:val="clear" w:color="auto" w:fill="auto"/>
          </w:tcPr>
          <w:p w14:paraId="41D9E5CE" w14:textId="3262B5AD" w:rsidR="004F6245" w:rsidRPr="00166772" w:rsidRDefault="004F6245" w:rsidP="004F6245">
            <w:pPr>
              <w:rPr>
                <w:rFonts w:ascii="Arial" w:hAnsi="Arial" w:cs="Arial"/>
                <w:b/>
                <w:sz w:val="20"/>
                <w:szCs w:val="20"/>
              </w:rPr>
            </w:pPr>
            <w:r w:rsidRPr="00166772">
              <w:rPr>
                <w:rFonts w:ascii="Arial" w:hAnsi="Arial" w:cs="Arial"/>
                <w:sz w:val="20"/>
                <w:szCs w:val="20"/>
              </w:rPr>
              <w:t>Overall risk of bias</w:t>
            </w:r>
          </w:p>
        </w:tc>
        <w:tc>
          <w:tcPr>
            <w:tcW w:w="567" w:type="dxa"/>
          </w:tcPr>
          <w:p w14:paraId="5F51E1A8" w14:textId="142B02B3" w:rsidR="004F6245" w:rsidRPr="00166772" w:rsidRDefault="004F6245" w:rsidP="004F6245">
            <w:pPr>
              <w:jc w:val="center"/>
              <w:rPr>
                <w:rFonts w:ascii="Arial" w:hAnsi="Arial" w:cs="Arial"/>
                <w:b/>
                <w:sz w:val="20"/>
                <w:szCs w:val="20"/>
              </w:rPr>
            </w:pPr>
          </w:p>
        </w:tc>
        <w:tc>
          <w:tcPr>
            <w:tcW w:w="2127" w:type="dxa"/>
            <w:shd w:val="clear" w:color="auto" w:fill="auto"/>
          </w:tcPr>
          <w:p w14:paraId="634AD15B" w14:textId="51133BA2" w:rsidR="004F6245" w:rsidRPr="00166772" w:rsidRDefault="004F6245" w:rsidP="004F6245">
            <w:pPr>
              <w:jc w:val="center"/>
              <w:rPr>
                <w:rFonts w:ascii="Arial" w:hAnsi="Arial" w:cs="Arial"/>
                <w:b/>
                <w:sz w:val="20"/>
                <w:szCs w:val="20"/>
              </w:rPr>
            </w:pPr>
          </w:p>
        </w:tc>
        <w:tc>
          <w:tcPr>
            <w:tcW w:w="850" w:type="dxa"/>
          </w:tcPr>
          <w:p w14:paraId="484E7C68" w14:textId="69E38EF0" w:rsidR="004F6245" w:rsidRPr="00166772" w:rsidRDefault="004F6245" w:rsidP="004F6245">
            <w:pPr>
              <w:jc w:val="center"/>
              <w:rPr>
                <w:rFonts w:ascii="Arial" w:hAnsi="Arial" w:cs="Arial"/>
                <w:sz w:val="20"/>
                <w:szCs w:val="20"/>
              </w:rPr>
            </w:pPr>
          </w:p>
        </w:tc>
        <w:tc>
          <w:tcPr>
            <w:tcW w:w="2268" w:type="dxa"/>
            <w:shd w:val="clear" w:color="auto" w:fill="auto"/>
          </w:tcPr>
          <w:p w14:paraId="06076E49" w14:textId="00A76F3A" w:rsidR="004F6245" w:rsidRPr="00166772" w:rsidRDefault="004F6245" w:rsidP="004F6245">
            <w:pPr>
              <w:jc w:val="center"/>
              <w:rPr>
                <w:rFonts w:ascii="Arial" w:hAnsi="Arial" w:cs="Arial"/>
                <w:sz w:val="20"/>
                <w:szCs w:val="20"/>
              </w:rPr>
            </w:pPr>
          </w:p>
        </w:tc>
        <w:tc>
          <w:tcPr>
            <w:tcW w:w="1843" w:type="dxa"/>
            <w:vMerge/>
            <w:vAlign w:val="center"/>
          </w:tcPr>
          <w:p w14:paraId="661EAB74" w14:textId="77777777" w:rsidR="004F6245" w:rsidRPr="00166772" w:rsidRDefault="004F6245" w:rsidP="004F6245">
            <w:pPr>
              <w:jc w:val="center"/>
              <w:rPr>
                <w:rFonts w:ascii="Arial" w:hAnsi="Arial" w:cs="Arial"/>
                <w:sz w:val="20"/>
                <w:szCs w:val="20"/>
              </w:rPr>
            </w:pPr>
          </w:p>
        </w:tc>
      </w:tr>
      <w:tr w:rsidR="004F6245" w:rsidRPr="00166772" w14:paraId="7EB35694" w14:textId="77777777" w:rsidTr="004F6245">
        <w:tc>
          <w:tcPr>
            <w:tcW w:w="2835" w:type="dxa"/>
            <w:shd w:val="clear" w:color="auto" w:fill="auto"/>
          </w:tcPr>
          <w:p w14:paraId="59E4199D" w14:textId="4ACB9F34" w:rsidR="004F6245" w:rsidRPr="00166772" w:rsidRDefault="004F6245" w:rsidP="004F6245">
            <w:pPr>
              <w:rPr>
                <w:rFonts w:ascii="Arial" w:hAnsi="Arial" w:cs="Arial"/>
                <w:sz w:val="20"/>
                <w:szCs w:val="20"/>
              </w:rPr>
            </w:pPr>
            <w:r w:rsidRPr="00166772">
              <w:rPr>
                <w:rFonts w:ascii="Arial" w:hAnsi="Arial" w:cs="Arial"/>
                <w:sz w:val="20"/>
                <w:szCs w:val="20"/>
              </w:rPr>
              <w:t xml:space="preserve">   </w:t>
            </w:r>
            <w:r w:rsidRPr="00166772">
              <w:rPr>
                <w:rFonts w:ascii="Arial" w:hAnsi="Arial" w:cs="Arial"/>
                <w:b/>
                <w:sz w:val="20"/>
                <w:szCs w:val="20"/>
              </w:rPr>
              <w:t>Moderat</w:t>
            </w:r>
            <w:r w:rsidRPr="00166772">
              <w:rPr>
                <w:rFonts w:ascii="Arial" w:hAnsi="Arial" w:cs="Arial"/>
                <w:sz w:val="20"/>
                <w:szCs w:val="20"/>
              </w:rPr>
              <w:t>e</w:t>
            </w:r>
          </w:p>
        </w:tc>
        <w:tc>
          <w:tcPr>
            <w:tcW w:w="567" w:type="dxa"/>
          </w:tcPr>
          <w:p w14:paraId="1EB774D4" w14:textId="46446B83" w:rsidR="004F6245" w:rsidRPr="00166772" w:rsidRDefault="004F6245" w:rsidP="004F6245">
            <w:pPr>
              <w:jc w:val="center"/>
              <w:rPr>
                <w:rFonts w:ascii="Arial" w:hAnsi="Arial" w:cs="Arial"/>
                <w:sz w:val="20"/>
                <w:szCs w:val="20"/>
              </w:rPr>
            </w:pPr>
            <w:r w:rsidRPr="00166772">
              <w:rPr>
                <w:rFonts w:ascii="Arial" w:hAnsi="Arial" w:cs="Arial"/>
                <w:sz w:val="20"/>
                <w:szCs w:val="20"/>
              </w:rPr>
              <w:t>5</w:t>
            </w:r>
          </w:p>
        </w:tc>
        <w:tc>
          <w:tcPr>
            <w:tcW w:w="2127" w:type="dxa"/>
            <w:shd w:val="clear" w:color="auto" w:fill="auto"/>
          </w:tcPr>
          <w:p w14:paraId="7F09A5DB" w14:textId="49DD5ACE" w:rsidR="004F6245" w:rsidRPr="00166772" w:rsidRDefault="004F6245" w:rsidP="004F6245">
            <w:pPr>
              <w:jc w:val="center"/>
              <w:rPr>
                <w:rFonts w:ascii="Arial" w:hAnsi="Arial" w:cs="Arial"/>
                <w:sz w:val="20"/>
                <w:szCs w:val="20"/>
              </w:rPr>
            </w:pPr>
            <w:r w:rsidRPr="00166772">
              <w:rPr>
                <w:rFonts w:ascii="Arial" w:hAnsi="Arial" w:cs="Arial"/>
                <w:b/>
                <w:i/>
                <w:sz w:val="20"/>
                <w:szCs w:val="20"/>
              </w:rPr>
              <w:t>1.45 (1.16 – 1.82)</w:t>
            </w:r>
          </w:p>
        </w:tc>
        <w:tc>
          <w:tcPr>
            <w:tcW w:w="850" w:type="dxa"/>
          </w:tcPr>
          <w:p w14:paraId="302CAF48" w14:textId="4BF15EFC" w:rsidR="004F6245" w:rsidRPr="00166772" w:rsidRDefault="004F6245" w:rsidP="004F6245">
            <w:pPr>
              <w:jc w:val="center"/>
              <w:rPr>
                <w:rFonts w:ascii="Arial" w:hAnsi="Arial" w:cs="Arial"/>
                <w:sz w:val="20"/>
                <w:szCs w:val="20"/>
              </w:rPr>
            </w:pPr>
            <w:r w:rsidRPr="00166772">
              <w:rPr>
                <w:rFonts w:ascii="Arial" w:hAnsi="Arial" w:cs="Arial"/>
                <w:sz w:val="20"/>
                <w:szCs w:val="20"/>
              </w:rPr>
              <w:t>25.3%</w:t>
            </w:r>
          </w:p>
        </w:tc>
        <w:tc>
          <w:tcPr>
            <w:tcW w:w="2268" w:type="dxa"/>
            <w:shd w:val="clear" w:color="auto" w:fill="auto"/>
          </w:tcPr>
          <w:p w14:paraId="3D4D2636" w14:textId="5B24C5D1" w:rsidR="004F6245" w:rsidRPr="00166772" w:rsidRDefault="004F6245" w:rsidP="004F6245">
            <w:pPr>
              <w:jc w:val="center"/>
              <w:rPr>
                <w:rFonts w:ascii="Arial" w:hAnsi="Arial" w:cs="Arial"/>
                <w:sz w:val="20"/>
                <w:szCs w:val="20"/>
              </w:rPr>
            </w:pPr>
            <w:r w:rsidRPr="00166772">
              <w:rPr>
                <w:rFonts w:ascii="Arial" w:hAnsi="Arial" w:cs="Arial"/>
                <w:sz w:val="20"/>
                <w:szCs w:val="20"/>
              </w:rPr>
              <w:t>Index</w:t>
            </w:r>
          </w:p>
        </w:tc>
        <w:tc>
          <w:tcPr>
            <w:tcW w:w="1843" w:type="dxa"/>
            <w:vMerge w:val="restart"/>
            <w:vAlign w:val="center"/>
          </w:tcPr>
          <w:p w14:paraId="53BFC347" w14:textId="6E9AFC3D" w:rsidR="004F6245" w:rsidRPr="00166772" w:rsidRDefault="004F6245" w:rsidP="004F6245">
            <w:pPr>
              <w:jc w:val="center"/>
              <w:rPr>
                <w:rFonts w:ascii="Arial" w:hAnsi="Arial" w:cs="Arial"/>
                <w:sz w:val="20"/>
                <w:szCs w:val="20"/>
              </w:rPr>
            </w:pPr>
            <w:r w:rsidRPr="00166772">
              <w:rPr>
                <w:rFonts w:ascii="Arial" w:hAnsi="Arial" w:cs="Arial"/>
                <w:sz w:val="20"/>
                <w:szCs w:val="20"/>
              </w:rPr>
              <w:t>0.61</w:t>
            </w:r>
          </w:p>
        </w:tc>
      </w:tr>
      <w:tr w:rsidR="004F6245" w:rsidRPr="00166772" w14:paraId="785BACB1" w14:textId="77777777" w:rsidTr="004F6245">
        <w:tc>
          <w:tcPr>
            <w:tcW w:w="2835" w:type="dxa"/>
            <w:shd w:val="clear" w:color="auto" w:fill="auto"/>
          </w:tcPr>
          <w:p w14:paraId="410D5929" w14:textId="5097E78D" w:rsidR="004F6245" w:rsidRPr="00166772" w:rsidRDefault="004F6245" w:rsidP="004F6245">
            <w:pPr>
              <w:rPr>
                <w:rFonts w:ascii="Arial" w:hAnsi="Arial" w:cs="Arial"/>
                <w:sz w:val="20"/>
                <w:szCs w:val="20"/>
              </w:rPr>
            </w:pPr>
            <w:r w:rsidRPr="00166772">
              <w:rPr>
                <w:rFonts w:ascii="Arial" w:hAnsi="Arial" w:cs="Arial"/>
                <w:sz w:val="20"/>
                <w:szCs w:val="20"/>
              </w:rPr>
              <w:t xml:space="preserve">   High</w:t>
            </w:r>
          </w:p>
        </w:tc>
        <w:tc>
          <w:tcPr>
            <w:tcW w:w="567" w:type="dxa"/>
          </w:tcPr>
          <w:p w14:paraId="38225B3A" w14:textId="4677FDD6" w:rsidR="004F6245" w:rsidRPr="00166772" w:rsidRDefault="004F6245" w:rsidP="004F6245">
            <w:pPr>
              <w:jc w:val="center"/>
              <w:rPr>
                <w:rFonts w:ascii="Arial" w:hAnsi="Arial" w:cs="Arial"/>
                <w:sz w:val="20"/>
                <w:szCs w:val="20"/>
              </w:rPr>
            </w:pPr>
            <w:r w:rsidRPr="00166772">
              <w:rPr>
                <w:rFonts w:ascii="Arial" w:hAnsi="Arial" w:cs="Arial"/>
                <w:sz w:val="20"/>
                <w:szCs w:val="20"/>
              </w:rPr>
              <w:t>9</w:t>
            </w:r>
          </w:p>
        </w:tc>
        <w:tc>
          <w:tcPr>
            <w:tcW w:w="2127" w:type="dxa"/>
            <w:shd w:val="clear" w:color="auto" w:fill="auto"/>
          </w:tcPr>
          <w:p w14:paraId="1912980A" w14:textId="50E25A7C" w:rsidR="004F6245" w:rsidRPr="00166772" w:rsidRDefault="004F6245" w:rsidP="004F6245">
            <w:pPr>
              <w:jc w:val="center"/>
              <w:rPr>
                <w:rFonts w:ascii="Arial" w:hAnsi="Arial" w:cs="Arial"/>
                <w:b/>
                <w:i/>
                <w:sz w:val="20"/>
                <w:szCs w:val="20"/>
              </w:rPr>
            </w:pPr>
            <w:r w:rsidRPr="00166772">
              <w:rPr>
                <w:rFonts w:ascii="Arial" w:hAnsi="Arial" w:cs="Arial"/>
                <w:i/>
                <w:sz w:val="20"/>
                <w:szCs w:val="20"/>
              </w:rPr>
              <w:t>1.20 (0.87 – 1.67)</w:t>
            </w:r>
          </w:p>
        </w:tc>
        <w:tc>
          <w:tcPr>
            <w:tcW w:w="850" w:type="dxa"/>
          </w:tcPr>
          <w:p w14:paraId="795F748C" w14:textId="6335605A" w:rsidR="004F6245" w:rsidRPr="00166772" w:rsidRDefault="004F6245" w:rsidP="004F6245">
            <w:pPr>
              <w:rPr>
                <w:rFonts w:ascii="Arial" w:hAnsi="Arial" w:cs="Arial"/>
                <w:sz w:val="20"/>
                <w:szCs w:val="20"/>
              </w:rPr>
            </w:pPr>
            <w:r w:rsidRPr="00166772">
              <w:rPr>
                <w:rFonts w:ascii="Arial" w:hAnsi="Arial" w:cs="Arial"/>
                <w:sz w:val="20"/>
                <w:szCs w:val="20"/>
              </w:rPr>
              <w:t>71.7%</w:t>
            </w:r>
          </w:p>
        </w:tc>
        <w:tc>
          <w:tcPr>
            <w:tcW w:w="2268" w:type="dxa"/>
            <w:shd w:val="clear" w:color="auto" w:fill="auto"/>
          </w:tcPr>
          <w:p w14:paraId="5E07128C" w14:textId="793A673F" w:rsidR="004F6245" w:rsidRPr="00166772" w:rsidRDefault="004F6245" w:rsidP="004F6245">
            <w:pPr>
              <w:jc w:val="center"/>
              <w:rPr>
                <w:rFonts w:ascii="Arial" w:hAnsi="Arial" w:cs="Arial"/>
                <w:sz w:val="20"/>
                <w:szCs w:val="20"/>
              </w:rPr>
            </w:pPr>
            <w:r w:rsidRPr="00166772">
              <w:rPr>
                <w:rFonts w:ascii="Arial" w:hAnsi="Arial" w:cs="Arial"/>
                <w:sz w:val="20"/>
                <w:szCs w:val="20"/>
              </w:rPr>
              <w:t>0.84 (0.46-1.51)</w:t>
            </w:r>
          </w:p>
        </w:tc>
        <w:tc>
          <w:tcPr>
            <w:tcW w:w="1843" w:type="dxa"/>
            <w:vMerge/>
            <w:vAlign w:val="center"/>
          </w:tcPr>
          <w:p w14:paraId="505F7015" w14:textId="77777777" w:rsidR="004F6245" w:rsidRPr="00166772" w:rsidRDefault="004F6245" w:rsidP="004F6245">
            <w:pPr>
              <w:jc w:val="center"/>
              <w:rPr>
                <w:rFonts w:ascii="Arial" w:hAnsi="Arial" w:cs="Arial"/>
                <w:sz w:val="20"/>
                <w:szCs w:val="20"/>
              </w:rPr>
            </w:pPr>
          </w:p>
        </w:tc>
      </w:tr>
      <w:tr w:rsidR="004F6245" w:rsidRPr="00166772" w14:paraId="6E5EB65E" w14:textId="77777777" w:rsidTr="004F6245">
        <w:tc>
          <w:tcPr>
            <w:tcW w:w="2835" w:type="dxa"/>
            <w:shd w:val="clear" w:color="auto" w:fill="auto"/>
          </w:tcPr>
          <w:p w14:paraId="6FFD050C" w14:textId="57768789" w:rsidR="004F6245" w:rsidRPr="00166772" w:rsidRDefault="004F6245" w:rsidP="004F6245">
            <w:pPr>
              <w:rPr>
                <w:rFonts w:ascii="Arial" w:hAnsi="Arial" w:cs="Arial"/>
                <w:sz w:val="20"/>
                <w:szCs w:val="20"/>
              </w:rPr>
            </w:pPr>
            <w:r w:rsidRPr="00166772">
              <w:rPr>
                <w:rFonts w:ascii="Arial" w:hAnsi="Arial" w:cs="Arial"/>
                <w:sz w:val="20"/>
                <w:szCs w:val="20"/>
              </w:rPr>
              <w:t>Average age</w:t>
            </w:r>
          </w:p>
        </w:tc>
        <w:tc>
          <w:tcPr>
            <w:tcW w:w="567" w:type="dxa"/>
          </w:tcPr>
          <w:p w14:paraId="58B79C36" w14:textId="5CDC6236" w:rsidR="004F6245" w:rsidRPr="00166772" w:rsidRDefault="004F6245" w:rsidP="004F6245">
            <w:pPr>
              <w:jc w:val="center"/>
              <w:rPr>
                <w:rFonts w:ascii="Arial" w:hAnsi="Arial" w:cs="Arial"/>
                <w:sz w:val="20"/>
                <w:szCs w:val="20"/>
              </w:rPr>
            </w:pPr>
          </w:p>
        </w:tc>
        <w:tc>
          <w:tcPr>
            <w:tcW w:w="2127" w:type="dxa"/>
            <w:shd w:val="clear" w:color="auto" w:fill="auto"/>
          </w:tcPr>
          <w:p w14:paraId="16F0B164" w14:textId="0DB0901B" w:rsidR="004F6245" w:rsidRPr="00166772" w:rsidRDefault="004F6245" w:rsidP="004F6245">
            <w:pPr>
              <w:jc w:val="center"/>
              <w:rPr>
                <w:rFonts w:ascii="Arial" w:hAnsi="Arial" w:cs="Arial"/>
                <w:i/>
                <w:sz w:val="20"/>
                <w:szCs w:val="20"/>
              </w:rPr>
            </w:pPr>
          </w:p>
        </w:tc>
        <w:tc>
          <w:tcPr>
            <w:tcW w:w="850" w:type="dxa"/>
          </w:tcPr>
          <w:p w14:paraId="2AD200C7" w14:textId="49951128" w:rsidR="004F6245" w:rsidRPr="00166772" w:rsidRDefault="004F6245" w:rsidP="004F6245">
            <w:pPr>
              <w:rPr>
                <w:rFonts w:ascii="Arial" w:hAnsi="Arial" w:cs="Arial"/>
                <w:sz w:val="20"/>
                <w:szCs w:val="20"/>
              </w:rPr>
            </w:pPr>
          </w:p>
        </w:tc>
        <w:tc>
          <w:tcPr>
            <w:tcW w:w="2268" w:type="dxa"/>
            <w:shd w:val="clear" w:color="auto" w:fill="auto"/>
          </w:tcPr>
          <w:p w14:paraId="557495A7" w14:textId="122CB05C" w:rsidR="004F6245" w:rsidRPr="00166772" w:rsidRDefault="004F6245" w:rsidP="004F6245">
            <w:pPr>
              <w:jc w:val="center"/>
              <w:rPr>
                <w:rFonts w:ascii="Arial" w:hAnsi="Arial" w:cs="Arial"/>
                <w:sz w:val="20"/>
                <w:szCs w:val="20"/>
              </w:rPr>
            </w:pPr>
          </w:p>
        </w:tc>
        <w:tc>
          <w:tcPr>
            <w:tcW w:w="1843" w:type="dxa"/>
            <w:vMerge/>
            <w:vAlign w:val="center"/>
          </w:tcPr>
          <w:p w14:paraId="749E0CD1" w14:textId="77777777" w:rsidR="004F6245" w:rsidRPr="00166772" w:rsidRDefault="004F6245" w:rsidP="004F6245">
            <w:pPr>
              <w:jc w:val="center"/>
              <w:rPr>
                <w:rFonts w:ascii="Arial" w:hAnsi="Arial" w:cs="Arial"/>
                <w:sz w:val="20"/>
                <w:szCs w:val="20"/>
              </w:rPr>
            </w:pPr>
          </w:p>
        </w:tc>
      </w:tr>
      <w:tr w:rsidR="004F6245" w:rsidRPr="00166772" w14:paraId="7D27F5C9" w14:textId="77777777" w:rsidTr="004F6245">
        <w:tc>
          <w:tcPr>
            <w:tcW w:w="2835" w:type="dxa"/>
            <w:shd w:val="clear" w:color="auto" w:fill="auto"/>
          </w:tcPr>
          <w:p w14:paraId="42872B82" w14:textId="0B9FF2A7" w:rsidR="004F6245" w:rsidRPr="00166772" w:rsidRDefault="004F6245" w:rsidP="004F6245">
            <w:pPr>
              <w:rPr>
                <w:rFonts w:ascii="Arial" w:hAnsi="Arial" w:cs="Arial"/>
                <w:sz w:val="20"/>
                <w:szCs w:val="20"/>
              </w:rPr>
            </w:pPr>
            <w:r w:rsidRPr="00166772">
              <w:rPr>
                <w:rFonts w:ascii="Arial" w:hAnsi="Arial" w:cs="Arial"/>
                <w:sz w:val="20"/>
                <w:szCs w:val="20"/>
              </w:rPr>
              <w:t xml:space="preserve">   &lt;35 years old </w:t>
            </w:r>
          </w:p>
        </w:tc>
        <w:tc>
          <w:tcPr>
            <w:tcW w:w="567" w:type="dxa"/>
          </w:tcPr>
          <w:p w14:paraId="569D01B4" w14:textId="3786F043" w:rsidR="004F6245" w:rsidRPr="00166772" w:rsidRDefault="004F6245" w:rsidP="004F6245">
            <w:pPr>
              <w:jc w:val="center"/>
              <w:rPr>
                <w:rFonts w:ascii="Arial" w:hAnsi="Arial" w:cs="Arial"/>
                <w:sz w:val="20"/>
                <w:szCs w:val="20"/>
              </w:rPr>
            </w:pPr>
            <w:r w:rsidRPr="00166772">
              <w:rPr>
                <w:rFonts w:ascii="Arial" w:hAnsi="Arial" w:cs="Arial"/>
                <w:sz w:val="20"/>
                <w:szCs w:val="20"/>
              </w:rPr>
              <w:t>5</w:t>
            </w:r>
          </w:p>
        </w:tc>
        <w:tc>
          <w:tcPr>
            <w:tcW w:w="2127" w:type="dxa"/>
            <w:shd w:val="clear" w:color="auto" w:fill="auto"/>
          </w:tcPr>
          <w:p w14:paraId="60572A4F" w14:textId="4EBC1407" w:rsidR="004F6245" w:rsidRPr="00166772" w:rsidRDefault="004F6245" w:rsidP="004F6245">
            <w:pPr>
              <w:jc w:val="center"/>
              <w:rPr>
                <w:rFonts w:ascii="Arial" w:hAnsi="Arial" w:cs="Arial"/>
                <w:sz w:val="20"/>
                <w:szCs w:val="20"/>
              </w:rPr>
            </w:pPr>
            <w:r w:rsidRPr="00166772">
              <w:rPr>
                <w:rFonts w:ascii="Arial" w:hAnsi="Arial" w:cs="Arial"/>
                <w:sz w:val="20"/>
                <w:szCs w:val="20"/>
              </w:rPr>
              <w:t>1.29 (0.96 – 1.73)</w:t>
            </w:r>
          </w:p>
        </w:tc>
        <w:tc>
          <w:tcPr>
            <w:tcW w:w="850" w:type="dxa"/>
          </w:tcPr>
          <w:p w14:paraId="0AFF0353" w14:textId="20593AA5" w:rsidR="004F6245" w:rsidRPr="00166772" w:rsidRDefault="004F6245" w:rsidP="004F6245">
            <w:pPr>
              <w:jc w:val="center"/>
              <w:rPr>
                <w:rFonts w:ascii="Arial" w:hAnsi="Arial" w:cs="Arial"/>
                <w:sz w:val="20"/>
                <w:szCs w:val="20"/>
              </w:rPr>
            </w:pPr>
            <w:r w:rsidRPr="00166772">
              <w:rPr>
                <w:rFonts w:ascii="Arial" w:hAnsi="Arial" w:cs="Arial"/>
                <w:sz w:val="20"/>
                <w:szCs w:val="20"/>
              </w:rPr>
              <w:t>50.9%</w:t>
            </w:r>
          </w:p>
        </w:tc>
        <w:tc>
          <w:tcPr>
            <w:tcW w:w="2268" w:type="dxa"/>
            <w:shd w:val="clear" w:color="auto" w:fill="auto"/>
          </w:tcPr>
          <w:p w14:paraId="742F4CD5" w14:textId="4CED84B6" w:rsidR="004F6245" w:rsidRPr="00166772" w:rsidRDefault="004F6245" w:rsidP="004F6245">
            <w:pPr>
              <w:jc w:val="center"/>
              <w:rPr>
                <w:rFonts w:ascii="Arial" w:hAnsi="Arial" w:cs="Arial"/>
                <w:sz w:val="20"/>
                <w:szCs w:val="20"/>
              </w:rPr>
            </w:pPr>
            <w:r w:rsidRPr="00166772">
              <w:rPr>
                <w:rFonts w:ascii="Arial" w:hAnsi="Arial" w:cs="Arial"/>
                <w:sz w:val="20"/>
                <w:szCs w:val="20"/>
              </w:rPr>
              <w:t>Index</w:t>
            </w:r>
          </w:p>
        </w:tc>
        <w:tc>
          <w:tcPr>
            <w:tcW w:w="1843" w:type="dxa"/>
            <w:vMerge w:val="restart"/>
            <w:vAlign w:val="center"/>
          </w:tcPr>
          <w:p w14:paraId="55A384BC" w14:textId="00B06F06" w:rsidR="004F6245" w:rsidRPr="00166772" w:rsidRDefault="004F6245" w:rsidP="004F6245">
            <w:pPr>
              <w:jc w:val="center"/>
              <w:rPr>
                <w:rFonts w:ascii="Arial" w:hAnsi="Arial" w:cs="Arial"/>
                <w:sz w:val="20"/>
                <w:szCs w:val="20"/>
              </w:rPr>
            </w:pPr>
            <w:r w:rsidRPr="00166772">
              <w:rPr>
                <w:rFonts w:ascii="Arial" w:hAnsi="Arial" w:cs="Arial"/>
                <w:sz w:val="20"/>
                <w:szCs w:val="20"/>
              </w:rPr>
              <w:t>-24.15</w:t>
            </w:r>
          </w:p>
        </w:tc>
      </w:tr>
      <w:tr w:rsidR="004F6245" w:rsidRPr="00166772" w14:paraId="1B439C78" w14:textId="77777777" w:rsidTr="004F6245">
        <w:tc>
          <w:tcPr>
            <w:tcW w:w="2835" w:type="dxa"/>
            <w:shd w:val="clear" w:color="auto" w:fill="auto"/>
          </w:tcPr>
          <w:p w14:paraId="010D29E4" w14:textId="7ABB5B74" w:rsidR="004F6245" w:rsidRPr="00166772" w:rsidRDefault="004F6245" w:rsidP="004F6245">
            <w:pPr>
              <w:rPr>
                <w:rFonts w:ascii="Arial" w:hAnsi="Arial" w:cs="Arial"/>
                <w:sz w:val="20"/>
                <w:szCs w:val="20"/>
              </w:rPr>
            </w:pPr>
            <w:r w:rsidRPr="00166772">
              <w:rPr>
                <w:rFonts w:ascii="Arial" w:hAnsi="Arial" w:cs="Arial"/>
                <w:sz w:val="20"/>
                <w:szCs w:val="20"/>
              </w:rPr>
              <w:t xml:space="preserve">   &gt; 35 years old</w:t>
            </w:r>
          </w:p>
        </w:tc>
        <w:tc>
          <w:tcPr>
            <w:tcW w:w="567" w:type="dxa"/>
          </w:tcPr>
          <w:p w14:paraId="710CCBB1" w14:textId="5A52E06D" w:rsidR="004F6245" w:rsidRPr="00166772" w:rsidRDefault="004F6245" w:rsidP="004F6245">
            <w:pPr>
              <w:jc w:val="center"/>
              <w:rPr>
                <w:rFonts w:ascii="Arial" w:hAnsi="Arial" w:cs="Arial"/>
                <w:sz w:val="20"/>
                <w:szCs w:val="20"/>
              </w:rPr>
            </w:pPr>
            <w:r w:rsidRPr="00166772">
              <w:rPr>
                <w:rFonts w:ascii="Arial" w:hAnsi="Arial" w:cs="Arial"/>
                <w:sz w:val="20"/>
                <w:szCs w:val="20"/>
              </w:rPr>
              <w:t>9</w:t>
            </w:r>
          </w:p>
        </w:tc>
        <w:tc>
          <w:tcPr>
            <w:tcW w:w="2127" w:type="dxa"/>
            <w:shd w:val="clear" w:color="auto" w:fill="auto"/>
          </w:tcPr>
          <w:p w14:paraId="12EF4A87" w14:textId="089E79C3" w:rsidR="004F6245" w:rsidRPr="00166772" w:rsidRDefault="004F6245" w:rsidP="004F6245">
            <w:pPr>
              <w:jc w:val="center"/>
              <w:rPr>
                <w:rFonts w:ascii="Arial" w:hAnsi="Arial" w:cs="Arial"/>
                <w:sz w:val="20"/>
                <w:szCs w:val="20"/>
              </w:rPr>
            </w:pPr>
            <w:r w:rsidRPr="00166772">
              <w:rPr>
                <w:rFonts w:ascii="Arial" w:hAnsi="Arial" w:cs="Arial"/>
                <w:sz w:val="20"/>
                <w:szCs w:val="20"/>
              </w:rPr>
              <w:t>1.29 (0.92 – 1.81)</w:t>
            </w:r>
          </w:p>
        </w:tc>
        <w:tc>
          <w:tcPr>
            <w:tcW w:w="850" w:type="dxa"/>
          </w:tcPr>
          <w:p w14:paraId="010ADA6A" w14:textId="3DD889B1" w:rsidR="004F6245" w:rsidRPr="00166772" w:rsidRDefault="004F6245" w:rsidP="004F6245">
            <w:pPr>
              <w:rPr>
                <w:rFonts w:ascii="Arial" w:hAnsi="Arial" w:cs="Arial"/>
                <w:sz w:val="20"/>
                <w:szCs w:val="20"/>
              </w:rPr>
            </w:pPr>
            <w:r w:rsidRPr="00166772">
              <w:rPr>
                <w:rFonts w:ascii="Arial" w:hAnsi="Arial" w:cs="Arial"/>
                <w:sz w:val="20"/>
                <w:szCs w:val="20"/>
              </w:rPr>
              <w:t>76.5%</w:t>
            </w:r>
          </w:p>
        </w:tc>
        <w:tc>
          <w:tcPr>
            <w:tcW w:w="2268" w:type="dxa"/>
            <w:shd w:val="clear" w:color="auto" w:fill="auto"/>
          </w:tcPr>
          <w:p w14:paraId="1869BEEC" w14:textId="148CDB07" w:rsidR="004F6245" w:rsidRPr="00166772" w:rsidRDefault="004F6245" w:rsidP="004F6245">
            <w:pPr>
              <w:jc w:val="center"/>
              <w:rPr>
                <w:rFonts w:ascii="Arial" w:hAnsi="Arial" w:cs="Arial"/>
                <w:sz w:val="20"/>
                <w:szCs w:val="20"/>
              </w:rPr>
            </w:pPr>
            <w:r w:rsidRPr="00166772">
              <w:rPr>
                <w:rFonts w:ascii="Arial" w:hAnsi="Arial" w:cs="Arial"/>
                <w:sz w:val="20"/>
                <w:szCs w:val="20"/>
              </w:rPr>
              <w:t>1.04 (0.52 – 2.07)</w:t>
            </w:r>
          </w:p>
        </w:tc>
        <w:tc>
          <w:tcPr>
            <w:tcW w:w="1843" w:type="dxa"/>
            <w:vMerge/>
            <w:vAlign w:val="center"/>
          </w:tcPr>
          <w:p w14:paraId="2BCE0FDF" w14:textId="77777777" w:rsidR="004F6245" w:rsidRPr="00166772" w:rsidRDefault="004F6245" w:rsidP="004F6245">
            <w:pPr>
              <w:jc w:val="center"/>
              <w:rPr>
                <w:rFonts w:ascii="Arial" w:hAnsi="Arial" w:cs="Arial"/>
                <w:sz w:val="20"/>
                <w:szCs w:val="20"/>
              </w:rPr>
            </w:pPr>
          </w:p>
        </w:tc>
      </w:tr>
      <w:tr w:rsidR="004F6245" w:rsidRPr="00166772" w14:paraId="29FF6400" w14:textId="77777777" w:rsidTr="004F6245">
        <w:tc>
          <w:tcPr>
            <w:tcW w:w="2835" w:type="dxa"/>
            <w:shd w:val="clear" w:color="auto" w:fill="auto"/>
          </w:tcPr>
          <w:p w14:paraId="0BD65724" w14:textId="55E385B2" w:rsidR="004F6245" w:rsidRPr="00166772" w:rsidRDefault="004F6245" w:rsidP="004F6245">
            <w:pPr>
              <w:rPr>
                <w:rFonts w:ascii="Arial" w:hAnsi="Arial" w:cs="Arial"/>
                <w:sz w:val="20"/>
                <w:szCs w:val="20"/>
              </w:rPr>
            </w:pPr>
            <w:r w:rsidRPr="00166772">
              <w:rPr>
                <w:rFonts w:ascii="Arial" w:hAnsi="Arial" w:cs="Arial"/>
                <w:sz w:val="20"/>
                <w:szCs w:val="20"/>
              </w:rPr>
              <w:t>Sample size</w:t>
            </w:r>
          </w:p>
        </w:tc>
        <w:tc>
          <w:tcPr>
            <w:tcW w:w="567" w:type="dxa"/>
          </w:tcPr>
          <w:p w14:paraId="38D9AA00" w14:textId="119DA333" w:rsidR="004F6245" w:rsidRPr="00166772" w:rsidRDefault="004F6245" w:rsidP="004F6245">
            <w:pPr>
              <w:jc w:val="center"/>
              <w:rPr>
                <w:rFonts w:ascii="Arial" w:hAnsi="Arial" w:cs="Arial"/>
                <w:sz w:val="20"/>
                <w:szCs w:val="20"/>
              </w:rPr>
            </w:pPr>
          </w:p>
        </w:tc>
        <w:tc>
          <w:tcPr>
            <w:tcW w:w="2127" w:type="dxa"/>
            <w:shd w:val="clear" w:color="auto" w:fill="auto"/>
          </w:tcPr>
          <w:p w14:paraId="115BA0C0" w14:textId="678A900D" w:rsidR="004F6245" w:rsidRPr="00166772" w:rsidRDefault="004F6245" w:rsidP="004F6245">
            <w:pPr>
              <w:jc w:val="center"/>
              <w:rPr>
                <w:rFonts w:ascii="Arial" w:hAnsi="Arial" w:cs="Arial"/>
                <w:sz w:val="20"/>
                <w:szCs w:val="20"/>
              </w:rPr>
            </w:pPr>
          </w:p>
        </w:tc>
        <w:tc>
          <w:tcPr>
            <w:tcW w:w="850" w:type="dxa"/>
          </w:tcPr>
          <w:p w14:paraId="0332A059" w14:textId="49C52939" w:rsidR="004F6245" w:rsidRPr="00166772" w:rsidRDefault="004F6245" w:rsidP="004F6245">
            <w:pPr>
              <w:jc w:val="center"/>
              <w:rPr>
                <w:rFonts w:ascii="Arial" w:hAnsi="Arial" w:cs="Arial"/>
                <w:sz w:val="20"/>
                <w:szCs w:val="20"/>
              </w:rPr>
            </w:pPr>
          </w:p>
        </w:tc>
        <w:tc>
          <w:tcPr>
            <w:tcW w:w="2268" w:type="dxa"/>
            <w:shd w:val="clear" w:color="auto" w:fill="auto"/>
          </w:tcPr>
          <w:p w14:paraId="483E2B75" w14:textId="1BD85938" w:rsidR="004F6245" w:rsidRPr="00166772" w:rsidRDefault="004F6245" w:rsidP="004F6245">
            <w:pPr>
              <w:jc w:val="center"/>
              <w:rPr>
                <w:rFonts w:ascii="Arial" w:hAnsi="Arial" w:cs="Arial"/>
                <w:sz w:val="20"/>
                <w:szCs w:val="20"/>
              </w:rPr>
            </w:pPr>
          </w:p>
        </w:tc>
        <w:tc>
          <w:tcPr>
            <w:tcW w:w="1843" w:type="dxa"/>
            <w:vMerge/>
            <w:vAlign w:val="center"/>
          </w:tcPr>
          <w:p w14:paraId="1415F908" w14:textId="77777777" w:rsidR="004F6245" w:rsidRPr="00166772" w:rsidRDefault="004F6245" w:rsidP="004F6245">
            <w:pPr>
              <w:jc w:val="center"/>
              <w:rPr>
                <w:rFonts w:ascii="Arial" w:hAnsi="Arial" w:cs="Arial"/>
                <w:sz w:val="20"/>
                <w:szCs w:val="20"/>
              </w:rPr>
            </w:pPr>
          </w:p>
        </w:tc>
      </w:tr>
      <w:tr w:rsidR="004F6245" w:rsidRPr="00166772" w14:paraId="3772A88C" w14:textId="77777777" w:rsidTr="004F6245">
        <w:tc>
          <w:tcPr>
            <w:tcW w:w="2835" w:type="dxa"/>
            <w:shd w:val="clear" w:color="auto" w:fill="auto"/>
          </w:tcPr>
          <w:p w14:paraId="45AC2167" w14:textId="732CE19E" w:rsidR="004F6245" w:rsidRPr="00166772" w:rsidRDefault="004F6245" w:rsidP="004F6245">
            <w:pPr>
              <w:rPr>
                <w:rFonts w:ascii="Arial" w:hAnsi="Arial" w:cs="Arial"/>
                <w:sz w:val="20"/>
                <w:szCs w:val="20"/>
              </w:rPr>
            </w:pPr>
            <w:r w:rsidRPr="00166772">
              <w:rPr>
                <w:rFonts w:ascii="Arial" w:hAnsi="Arial" w:cs="Arial"/>
                <w:b/>
                <w:sz w:val="20"/>
                <w:szCs w:val="20"/>
              </w:rPr>
              <w:t xml:space="preserve">   </w:t>
            </w:r>
            <w:r w:rsidRPr="00166772">
              <w:rPr>
                <w:rFonts w:ascii="Arial" w:hAnsi="Arial" w:cs="Arial"/>
                <w:sz w:val="20"/>
                <w:szCs w:val="20"/>
              </w:rPr>
              <w:t>&lt; 1000</w:t>
            </w:r>
          </w:p>
        </w:tc>
        <w:tc>
          <w:tcPr>
            <w:tcW w:w="567" w:type="dxa"/>
          </w:tcPr>
          <w:p w14:paraId="778A383E" w14:textId="62ECBD9E" w:rsidR="004F6245" w:rsidRPr="00166772" w:rsidRDefault="004F6245" w:rsidP="004F6245">
            <w:pPr>
              <w:jc w:val="center"/>
              <w:rPr>
                <w:rFonts w:ascii="Arial" w:hAnsi="Arial" w:cs="Arial"/>
                <w:sz w:val="20"/>
                <w:szCs w:val="20"/>
              </w:rPr>
            </w:pPr>
            <w:r w:rsidRPr="00166772">
              <w:rPr>
                <w:rFonts w:ascii="Arial" w:hAnsi="Arial" w:cs="Arial"/>
                <w:sz w:val="20"/>
                <w:szCs w:val="20"/>
              </w:rPr>
              <w:t>6</w:t>
            </w:r>
          </w:p>
        </w:tc>
        <w:tc>
          <w:tcPr>
            <w:tcW w:w="2127" w:type="dxa"/>
            <w:shd w:val="clear" w:color="auto" w:fill="auto"/>
          </w:tcPr>
          <w:p w14:paraId="0C9C9BD6" w14:textId="2F335182" w:rsidR="004F6245" w:rsidRPr="00166772" w:rsidRDefault="004F6245" w:rsidP="004F6245">
            <w:pPr>
              <w:jc w:val="center"/>
              <w:rPr>
                <w:rFonts w:ascii="Arial" w:hAnsi="Arial" w:cs="Arial"/>
                <w:sz w:val="20"/>
                <w:szCs w:val="20"/>
              </w:rPr>
            </w:pPr>
            <w:r w:rsidRPr="00166772">
              <w:rPr>
                <w:rFonts w:ascii="Arial" w:hAnsi="Arial" w:cs="Arial"/>
                <w:i/>
                <w:sz w:val="20"/>
                <w:szCs w:val="20"/>
              </w:rPr>
              <w:t>1.17 (0.72 – 1.91)</w:t>
            </w:r>
          </w:p>
        </w:tc>
        <w:tc>
          <w:tcPr>
            <w:tcW w:w="850" w:type="dxa"/>
          </w:tcPr>
          <w:p w14:paraId="6F131736" w14:textId="5ECAAC69" w:rsidR="004F6245" w:rsidRPr="00166772" w:rsidRDefault="004F6245" w:rsidP="004F6245">
            <w:pPr>
              <w:jc w:val="center"/>
              <w:rPr>
                <w:rFonts w:ascii="Arial" w:hAnsi="Arial" w:cs="Arial"/>
                <w:sz w:val="20"/>
                <w:szCs w:val="20"/>
              </w:rPr>
            </w:pPr>
            <w:r w:rsidRPr="00166772">
              <w:rPr>
                <w:rFonts w:ascii="Arial" w:hAnsi="Arial" w:cs="Arial"/>
                <w:sz w:val="20"/>
                <w:szCs w:val="20"/>
              </w:rPr>
              <w:t>72.9%</w:t>
            </w:r>
          </w:p>
        </w:tc>
        <w:tc>
          <w:tcPr>
            <w:tcW w:w="2268" w:type="dxa"/>
            <w:shd w:val="clear" w:color="auto" w:fill="auto"/>
          </w:tcPr>
          <w:p w14:paraId="4A6E74D8" w14:textId="2044F83A" w:rsidR="004F6245" w:rsidRPr="00166772" w:rsidRDefault="004F6245" w:rsidP="004F6245">
            <w:pPr>
              <w:jc w:val="center"/>
              <w:rPr>
                <w:rFonts w:ascii="Arial" w:hAnsi="Arial" w:cs="Arial"/>
                <w:sz w:val="20"/>
                <w:szCs w:val="20"/>
              </w:rPr>
            </w:pPr>
            <w:r w:rsidRPr="00166772">
              <w:rPr>
                <w:rFonts w:ascii="Arial" w:hAnsi="Arial" w:cs="Arial"/>
                <w:sz w:val="20"/>
                <w:szCs w:val="20"/>
              </w:rPr>
              <w:t>Index</w:t>
            </w:r>
          </w:p>
        </w:tc>
        <w:tc>
          <w:tcPr>
            <w:tcW w:w="1843" w:type="dxa"/>
            <w:vMerge w:val="restart"/>
            <w:vAlign w:val="center"/>
          </w:tcPr>
          <w:p w14:paraId="0A85509F" w14:textId="47005796" w:rsidR="004F6245" w:rsidRPr="00166772" w:rsidRDefault="004F6245" w:rsidP="004F6245">
            <w:pPr>
              <w:jc w:val="center"/>
              <w:rPr>
                <w:rFonts w:ascii="Arial" w:hAnsi="Arial" w:cs="Arial"/>
                <w:sz w:val="20"/>
                <w:szCs w:val="20"/>
              </w:rPr>
            </w:pPr>
            <w:r w:rsidRPr="00166772">
              <w:rPr>
                <w:rFonts w:ascii="Arial" w:hAnsi="Arial" w:cs="Arial"/>
                <w:sz w:val="20"/>
                <w:szCs w:val="20"/>
              </w:rPr>
              <w:t>-20.90</w:t>
            </w:r>
          </w:p>
        </w:tc>
      </w:tr>
      <w:tr w:rsidR="004F6245" w:rsidRPr="00166772" w14:paraId="380324F6" w14:textId="77777777" w:rsidTr="004F6245">
        <w:tc>
          <w:tcPr>
            <w:tcW w:w="2835" w:type="dxa"/>
            <w:shd w:val="clear" w:color="auto" w:fill="auto"/>
          </w:tcPr>
          <w:p w14:paraId="44B8D2F5" w14:textId="6008A720" w:rsidR="004F6245" w:rsidRPr="00166772" w:rsidRDefault="004F6245" w:rsidP="004F6245">
            <w:pPr>
              <w:rPr>
                <w:rFonts w:ascii="Arial" w:hAnsi="Arial" w:cs="Arial"/>
                <w:sz w:val="20"/>
                <w:szCs w:val="20"/>
              </w:rPr>
            </w:pPr>
            <w:r w:rsidRPr="00166772">
              <w:rPr>
                <w:rFonts w:ascii="Arial" w:hAnsi="Arial" w:cs="Arial"/>
                <w:b/>
                <w:sz w:val="20"/>
                <w:szCs w:val="20"/>
              </w:rPr>
              <w:t xml:space="preserve">   &gt; 1000</w:t>
            </w:r>
          </w:p>
        </w:tc>
        <w:tc>
          <w:tcPr>
            <w:tcW w:w="567" w:type="dxa"/>
          </w:tcPr>
          <w:p w14:paraId="0181E184" w14:textId="02B292C9" w:rsidR="004F6245" w:rsidRPr="00166772" w:rsidRDefault="004F6245" w:rsidP="004F6245">
            <w:pPr>
              <w:jc w:val="center"/>
              <w:rPr>
                <w:rFonts w:ascii="Arial" w:hAnsi="Arial" w:cs="Arial"/>
                <w:sz w:val="20"/>
                <w:szCs w:val="20"/>
              </w:rPr>
            </w:pPr>
            <w:r w:rsidRPr="00166772">
              <w:rPr>
                <w:rFonts w:ascii="Arial" w:hAnsi="Arial" w:cs="Arial"/>
                <w:b/>
                <w:sz w:val="20"/>
                <w:szCs w:val="20"/>
              </w:rPr>
              <w:t>8</w:t>
            </w:r>
          </w:p>
        </w:tc>
        <w:tc>
          <w:tcPr>
            <w:tcW w:w="2127" w:type="dxa"/>
            <w:shd w:val="clear" w:color="auto" w:fill="auto"/>
          </w:tcPr>
          <w:p w14:paraId="6EB536A1" w14:textId="374600E6" w:rsidR="004F6245" w:rsidRPr="00166772" w:rsidRDefault="004F6245" w:rsidP="004F6245">
            <w:pPr>
              <w:jc w:val="center"/>
              <w:rPr>
                <w:rFonts w:ascii="Arial" w:hAnsi="Arial" w:cs="Arial"/>
                <w:i/>
                <w:sz w:val="20"/>
                <w:szCs w:val="20"/>
              </w:rPr>
            </w:pPr>
            <w:r w:rsidRPr="00166772">
              <w:rPr>
                <w:rFonts w:ascii="Arial" w:hAnsi="Arial" w:cs="Arial"/>
                <w:b/>
                <w:sz w:val="20"/>
                <w:szCs w:val="20"/>
              </w:rPr>
              <w:t>1.34 (1.01 – 1.78)</w:t>
            </w:r>
          </w:p>
        </w:tc>
        <w:tc>
          <w:tcPr>
            <w:tcW w:w="850" w:type="dxa"/>
          </w:tcPr>
          <w:p w14:paraId="38FDA8BD" w14:textId="12712216" w:rsidR="004F6245" w:rsidRPr="00166772" w:rsidRDefault="004F6245" w:rsidP="004F6245">
            <w:pPr>
              <w:jc w:val="center"/>
              <w:rPr>
                <w:rFonts w:ascii="Arial" w:hAnsi="Arial" w:cs="Arial"/>
                <w:sz w:val="20"/>
                <w:szCs w:val="20"/>
              </w:rPr>
            </w:pPr>
            <w:r w:rsidRPr="00166772">
              <w:rPr>
                <w:rFonts w:ascii="Arial" w:hAnsi="Arial" w:cs="Arial"/>
                <w:sz w:val="20"/>
                <w:szCs w:val="20"/>
              </w:rPr>
              <w:t>72.6%</w:t>
            </w:r>
          </w:p>
        </w:tc>
        <w:tc>
          <w:tcPr>
            <w:tcW w:w="2268" w:type="dxa"/>
            <w:shd w:val="clear" w:color="auto" w:fill="auto"/>
          </w:tcPr>
          <w:p w14:paraId="763F2F67" w14:textId="02C87A4E" w:rsidR="004F6245" w:rsidRPr="00166772" w:rsidRDefault="004F6245" w:rsidP="004F6245">
            <w:pPr>
              <w:jc w:val="center"/>
              <w:rPr>
                <w:rFonts w:ascii="Arial" w:hAnsi="Arial" w:cs="Arial"/>
                <w:sz w:val="20"/>
                <w:szCs w:val="20"/>
              </w:rPr>
            </w:pPr>
            <w:r w:rsidRPr="00166772">
              <w:rPr>
                <w:rFonts w:ascii="Arial" w:hAnsi="Arial" w:cs="Arial"/>
                <w:sz w:val="20"/>
                <w:szCs w:val="20"/>
              </w:rPr>
              <w:t>1.25 (0.65 – 2.42)</w:t>
            </w:r>
          </w:p>
        </w:tc>
        <w:tc>
          <w:tcPr>
            <w:tcW w:w="1843" w:type="dxa"/>
            <w:vMerge/>
            <w:vAlign w:val="center"/>
          </w:tcPr>
          <w:p w14:paraId="710A6CF7" w14:textId="77777777" w:rsidR="004F6245" w:rsidRPr="00166772" w:rsidRDefault="004F6245" w:rsidP="004F6245">
            <w:pPr>
              <w:jc w:val="center"/>
              <w:rPr>
                <w:rFonts w:ascii="Arial" w:hAnsi="Arial" w:cs="Arial"/>
                <w:sz w:val="20"/>
                <w:szCs w:val="20"/>
              </w:rPr>
            </w:pPr>
          </w:p>
        </w:tc>
      </w:tr>
      <w:tr w:rsidR="004F6245" w:rsidRPr="00166772" w14:paraId="6A2B6C05" w14:textId="77777777" w:rsidTr="00947FD0">
        <w:tc>
          <w:tcPr>
            <w:tcW w:w="2835" w:type="dxa"/>
            <w:tcBorders>
              <w:bottom w:val="nil"/>
            </w:tcBorders>
            <w:shd w:val="clear" w:color="auto" w:fill="auto"/>
          </w:tcPr>
          <w:p w14:paraId="6BADB420" w14:textId="73619CC7" w:rsidR="004F6245" w:rsidRPr="00166772" w:rsidRDefault="004F6245" w:rsidP="004F6245">
            <w:pPr>
              <w:rPr>
                <w:rFonts w:ascii="Arial" w:hAnsi="Arial" w:cs="Arial"/>
                <w:b/>
                <w:sz w:val="20"/>
                <w:szCs w:val="20"/>
              </w:rPr>
            </w:pPr>
            <w:r w:rsidRPr="00166772">
              <w:rPr>
                <w:rFonts w:ascii="Arial" w:hAnsi="Arial" w:cs="Arial"/>
                <w:sz w:val="20"/>
                <w:szCs w:val="20"/>
              </w:rPr>
              <w:t>Outcome measure</w:t>
            </w:r>
          </w:p>
        </w:tc>
        <w:tc>
          <w:tcPr>
            <w:tcW w:w="567" w:type="dxa"/>
            <w:tcBorders>
              <w:bottom w:val="nil"/>
            </w:tcBorders>
          </w:tcPr>
          <w:p w14:paraId="01E429C3" w14:textId="0A492409" w:rsidR="004F6245" w:rsidRPr="00166772" w:rsidRDefault="004F6245" w:rsidP="004F6245">
            <w:pPr>
              <w:jc w:val="center"/>
              <w:rPr>
                <w:rFonts w:ascii="Arial" w:hAnsi="Arial" w:cs="Arial"/>
                <w:b/>
                <w:sz w:val="20"/>
                <w:szCs w:val="20"/>
              </w:rPr>
            </w:pPr>
          </w:p>
        </w:tc>
        <w:tc>
          <w:tcPr>
            <w:tcW w:w="2127" w:type="dxa"/>
            <w:tcBorders>
              <w:bottom w:val="nil"/>
            </w:tcBorders>
            <w:shd w:val="clear" w:color="auto" w:fill="auto"/>
          </w:tcPr>
          <w:p w14:paraId="2922D450" w14:textId="32F82026" w:rsidR="004F6245" w:rsidRPr="00166772" w:rsidRDefault="004F6245" w:rsidP="004F6245">
            <w:pPr>
              <w:jc w:val="center"/>
              <w:rPr>
                <w:rFonts w:ascii="Arial" w:hAnsi="Arial" w:cs="Arial"/>
                <w:b/>
                <w:sz w:val="20"/>
                <w:szCs w:val="20"/>
              </w:rPr>
            </w:pPr>
          </w:p>
        </w:tc>
        <w:tc>
          <w:tcPr>
            <w:tcW w:w="850" w:type="dxa"/>
            <w:tcBorders>
              <w:bottom w:val="nil"/>
            </w:tcBorders>
          </w:tcPr>
          <w:p w14:paraId="3837DCED" w14:textId="73F61217" w:rsidR="004F6245" w:rsidRPr="00166772" w:rsidRDefault="004F6245" w:rsidP="004F6245">
            <w:pPr>
              <w:jc w:val="center"/>
              <w:rPr>
                <w:rFonts w:ascii="Arial" w:hAnsi="Arial" w:cs="Arial"/>
                <w:sz w:val="20"/>
                <w:szCs w:val="20"/>
              </w:rPr>
            </w:pPr>
          </w:p>
        </w:tc>
        <w:tc>
          <w:tcPr>
            <w:tcW w:w="2268" w:type="dxa"/>
            <w:tcBorders>
              <w:bottom w:val="nil"/>
            </w:tcBorders>
            <w:shd w:val="clear" w:color="auto" w:fill="auto"/>
          </w:tcPr>
          <w:p w14:paraId="5223551A" w14:textId="75E87F1E" w:rsidR="004F6245" w:rsidRPr="00166772" w:rsidRDefault="004F6245" w:rsidP="004F6245">
            <w:pPr>
              <w:jc w:val="center"/>
              <w:rPr>
                <w:rFonts w:ascii="Arial" w:hAnsi="Arial" w:cs="Arial"/>
                <w:sz w:val="20"/>
                <w:szCs w:val="20"/>
              </w:rPr>
            </w:pPr>
          </w:p>
        </w:tc>
        <w:tc>
          <w:tcPr>
            <w:tcW w:w="1843" w:type="dxa"/>
            <w:vMerge/>
            <w:tcBorders>
              <w:bottom w:val="nil"/>
            </w:tcBorders>
            <w:vAlign w:val="center"/>
          </w:tcPr>
          <w:p w14:paraId="30849A97" w14:textId="77777777" w:rsidR="004F6245" w:rsidRPr="00166772" w:rsidRDefault="004F6245" w:rsidP="004F6245">
            <w:pPr>
              <w:jc w:val="center"/>
              <w:rPr>
                <w:rFonts w:ascii="Arial" w:hAnsi="Arial" w:cs="Arial"/>
                <w:sz w:val="20"/>
                <w:szCs w:val="20"/>
              </w:rPr>
            </w:pPr>
          </w:p>
        </w:tc>
      </w:tr>
      <w:tr w:rsidR="004F6245" w:rsidRPr="00166772" w14:paraId="30CA41E7" w14:textId="77777777" w:rsidTr="00947FD0">
        <w:tc>
          <w:tcPr>
            <w:tcW w:w="2835" w:type="dxa"/>
            <w:tcBorders>
              <w:top w:val="nil"/>
              <w:left w:val="nil"/>
              <w:bottom w:val="nil"/>
              <w:right w:val="nil"/>
            </w:tcBorders>
            <w:shd w:val="clear" w:color="auto" w:fill="auto"/>
          </w:tcPr>
          <w:p w14:paraId="1EDBDB81" w14:textId="66661961" w:rsidR="004F6245" w:rsidRPr="00166772" w:rsidRDefault="004F6245" w:rsidP="004F6245">
            <w:pPr>
              <w:rPr>
                <w:rFonts w:ascii="Arial" w:hAnsi="Arial" w:cs="Arial"/>
                <w:sz w:val="20"/>
                <w:szCs w:val="20"/>
              </w:rPr>
            </w:pPr>
            <w:r w:rsidRPr="00166772">
              <w:rPr>
                <w:rFonts w:ascii="Arial" w:hAnsi="Arial" w:cs="Arial"/>
                <w:sz w:val="20"/>
                <w:szCs w:val="20"/>
              </w:rPr>
              <w:t xml:space="preserve">   GHQ </w:t>
            </w:r>
          </w:p>
        </w:tc>
        <w:tc>
          <w:tcPr>
            <w:tcW w:w="567" w:type="dxa"/>
            <w:tcBorders>
              <w:top w:val="nil"/>
              <w:left w:val="nil"/>
              <w:bottom w:val="nil"/>
              <w:right w:val="nil"/>
            </w:tcBorders>
          </w:tcPr>
          <w:p w14:paraId="7380959D" w14:textId="3104DC78" w:rsidR="004F6245" w:rsidRPr="00166772" w:rsidRDefault="004F6245" w:rsidP="004F6245">
            <w:pPr>
              <w:jc w:val="center"/>
              <w:rPr>
                <w:rFonts w:ascii="Arial" w:hAnsi="Arial" w:cs="Arial"/>
                <w:sz w:val="20"/>
                <w:szCs w:val="20"/>
              </w:rPr>
            </w:pPr>
            <w:r w:rsidRPr="00166772">
              <w:rPr>
                <w:rFonts w:ascii="Arial" w:hAnsi="Arial" w:cs="Arial"/>
                <w:sz w:val="20"/>
                <w:szCs w:val="20"/>
              </w:rPr>
              <w:t>7</w:t>
            </w:r>
          </w:p>
        </w:tc>
        <w:tc>
          <w:tcPr>
            <w:tcW w:w="2127" w:type="dxa"/>
            <w:tcBorders>
              <w:top w:val="nil"/>
              <w:left w:val="nil"/>
              <w:bottom w:val="nil"/>
              <w:right w:val="nil"/>
            </w:tcBorders>
            <w:shd w:val="clear" w:color="auto" w:fill="auto"/>
          </w:tcPr>
          <w:p w14:paraId="26F89941" w14:textId="228AB9DE" w:rsidR="004F6245" w:rsidRPr="00166772" w:rsidRDefault="004F6245" w:rsidP="004F6245">
            <w:pPr>
              <w:jc w:val="center"/>
              <w:rPr>
                <w:rFonts w:ascii="Arial" w:hAnsi="Arial" w:cs="Arial"/>
                <w:sz w:val="20"/>
                <w:szCs w:val="20"/>
              </w:rPr>
            </w:pPr>
            <w:r w:rsidRPr="00166772">
              <w:rPr>
                <w:rFonts w:ascii="Arial" w:hAnsi="Arial" w:cs="Arial"/>
                <w:sz w:val="20"/>
                <w:szCs w:val="20"/>
              </w:rPr>
              <w:t>1.21 (0.80 – 1.82)</w:t>
            </w:r>
          </w:p>
        </w:tc>
        <w:tc>
          <w:tcPr>
            <w:tcW w:w="850" w:type="dxa"/>
            <w:tcBorders>
              <w:top w:val="nil"/>
              <w:left w:val="nil"/>
              <w:bottom w:val="nil"/>
              <w:right w:val="nil"/>
            </w:tcBorders>
          </w:tcPr>
          <w:p w14:paraId="2A1C17C6" w14:textId="3F093E0F" w:rsidR="004F6245" w:rsidRPr="00166772" w:rsidRDefault="004F6245" w:rsidP="004F6245">
            <w:pPr>
              <w:jc w:val="center"/>
              <w:rPr>
                <w:rFonts w:ascii="Arial" w:hAnsi="Arial" w:cs="Arial"/>
                <w:sz w:val="20"/>
                <w:szCs w:val="20"/>
              </w:rPr>
            </w:pPr>
            <w:r w:rsidRPr="00166772">
              <w:rPr>
                <w:rFonts w:ascii="Arial" w:hAnsi="Arial" w:cs="Arial"/>
                <w:sz w:val="20"/>
                <w:szCs w:val="20"/>
              </w:rPr>
              <w:t>75.5%</w:t>
            </w:r>
          </w:p>
        </w:tc>
        <w:tc>
          <w:tcPr>
            <w:tcW w:w="2268" w:type="dxa"/>
            <w:tcBorders>
              <w:top w:val="nil"/>
              <w:left w:val="nil"/>
              <w:bottom w:val="nil"/>
              <w:right w:val="nil"/>
            </w:tcBorders>
            <w:shd w:val="clear" w:color="auto" w:fill="auto"/>
          </w:tcPr>
          <w:p w14:paraId="12C8D382" w14:textId="7FE37531" w:rsidR="004F6245" w:rsidRPr="00166772" w:rsidRDefault="004F6245" w:rsidP="004F6245">
            <w:pPr>
              <w:jc w:val="center"/>
              <w:rPr>
                <w:rFonts w:ascii="Arial" w:hAnsi="Arial" w:cs="Arial"/>
                <w:sz w:val="20"/>
                <w:szCs w:val="20"/>
              </w:rPr>
            </w:pPr>
            <w:r w:rsidRPr="00166772">
              <w:rPr>
                <w:rFonts w:ascii="Arial" w:hAnsi="Arial" w:cs="Arial"/>
                <w:sz w:val="20"/>
                <w:szCs w:val="20"/>
              </w:rPr>
              <w:t>Index</w:t>
            </w:r>
          </w:p>
        </w:tc>
        <w:tc>
          <w:tcPr>
            <w:tcW w:w="1843" w:type="dxa"/>
            <w:vMerge w:val="restart"/>
            <w:tcBorders>
              <w:top w:val="nil"/>
              <w:left w:val="nil"/>
              <w:bottom w:val="nil"/>
              <w:right w:val="nil"/>
            </w:tcBorders>
            <w:vAlign w:val="center"/>
          </w:tcPr>
          <w:p w14:paraId="3D66EE21" w14:textId="7DA60DA3" w:rsidR="004F6245" w:rsidRPr="00166772" w:rsidRDefault="004F6245" w:rsidP="004F6245">
            <w:pPr>
              <w:jc w:val="center"/>
              <w:rPr>
                <w:rFonts w:ascii="Arial" w:hAnsi="Arial" w:cs="Arial"/>
                <w:sz w:val="20"/>
                <w:szCs w:val="20"/>
              </w:rPr>
            </w:pPr>
            <w:r w:rsidRPr="00166772">
              <w:rPr>
                <w:rFonts w:ascii="Arial" w:hAnsi="Arial" w:cs="Arial"/>
                <w:sz w:val="20"/>
                <w:szCs w:val="20"/>
              </w:rPr>
              <w:t>-30.22</w:t>
            </w:r>
          </w:p>
        </w:tc>
      </w:tr>
      <w:tr w:rsidR="004F6245" w:rsidRPr="00166772" w14:paraId="715A2517" w14:textId="77777777" w:rsidTr="00947FD0">
        <w:trPr>
          <w:trHeight w:val="320"/>
        </w:trPr>
        <w:tc>
          <w:tcPr>
            <w:tcW w:w="2835" w:type="dxa"/>
            <w:tcBorders>
              <w:top w:val="nil"/>
              <w:left w:val="nil"/>
              <w:bottom w:val="single" w:sz="12" w:space="0" w:color="auto"/>
              <w:right w:val="nil"/>
            </w:tcBorders>
            <w:shd w:val="clear" w:color="auto" w:fill="auto"/>
          </w:tcPr>
          <w:p w14:paraId="5A4F138F" w14:textId="2EDD5F84" w:rsidR="004F6245" w:rsidRPr="00166772" w:rsidRDefault="004F6245" w:rsidP="004F6245">
            <w:pPr>
              <w:rPr>
                <w:rFonts w:ascii="Arial" w:hAnsi="Arial" w:cs="Arial"/>
                <w:sz w:val="20"/>
                <w:szCs w:val="20"/>
              </w:rPr>
            </w:pPr>
            <w:r w:rsidRPr="00166772">
              <w:rPr>
                <w:rFonts w:ascii="Arial" w:hAnsi="Arial" w:cs="Arial"/>
                <w:sz w:val="20"/>
                <w:szCs w:val="20"/>
              </w:rPr>
              <w:t xml:space="preserve">   Other </w:t>
            </w:r>
          </w:p>
        </w:tc>
        <w:tc>
          <w:tcPr>
            <w:tcW w:w="567" w:type="dxa"/>
            <w:tcBorders>
              <w:top w:val="nil"/>
              <w:left w:val="nil"/>
              <w:bottom w:val="single" w:sz="12" w:space="0" w:color="auto"/>
              <w:right w:val="nil"/>
            </w:tcBorders>
          </w:tcPr>
          <w:p w14:paraId="26AE2A38" w14:textId="2C054C7D" w:rsidR="004F6245" w:rsidRPr="00166772" w:rsidRDefault="004F6245" w:rsidP="004F6245">
            <w:pPr>
              <w:jc w:val="center"/>
              <w:rPr>
                <w:rFonts w:ascii="Arial" w:hAnsi="Arial" w:cs="Arial"/>
                <w:sz w:val="20"/>
                <w:szCs w:val="20"/>
              </w:rPr>
            </w:pPr>
            <w:r w:rsidRPr="00166772">
              <w:rPr>
                <w:rFonts w:ascii="Arial" w:hAnsi="Arial" w:cs="Arial"/>
                <w:sz w:val="20"/>
                <w:szCs w:val="20"/>
              </w:rPr>
              <w:t>7</w:t>
            </w:r>
          </w:p>
        </w:tc>
        <w:tc>
          <w:tcPr>
            <w:tcW w:w="2127" w:type="dxa"/>
            <w:tcBorders>
              <w:top w:val="nil"/>
              <w:left w:val="nil"/>
              <w:bottom w:val="single" w:sz="12" w:space="0" w:color="auto"/>
              <w:right w:val="nil"/>
            </w:tcBorders>
            <w:shd w:val="clear" w:color="auto" w:fill="auto"/>
          </w:tcPr>
          <w:p w14:paraId="029674F3" w14:textId="4E7469A7" w:rsidR="004F6245" w:rsidRPr="00166772" w:rsidRDefault="004F6245" w:rsidP="004F6245">
            <w:pPr>
              <w:jc w:val="center"/>
              <w:rPr>
                <w:rFonts w:ascii="Arial" w:hAnsi="Arial" w:cs="Arial"/>
                <w:sz w:val="20"/>
                <w:szCs w:val="20"/>
              </w:rPr>
            </w:pPr>
            <w:r w:rsidRPr="00166772">
              <w:rPr>
                <w:rFonts w:ascii="Arial" w:hAnsi="Arial" w:cs="Arial"/>
                <w:sz w:val="20"/>
                <w:szCs w:val="20"/>
              </w:rPr>
              <w:t>1.28 (0.98 – 1.68)</w:t>
            </w:r>
          </w:p>
        </w:tc>
        <w:tc>
          <w:tcPr>
            <w:tcW w:w="850" w:type="dxa"/>
            <w:tcBorders>
              <w:top w:val="nil"/>
              <w:left w:val="nil"/>
              <w:bottom w:val="single" w:sz="12" w:space="0" w:color="auto"/>
              <w:right w:val="nil"/>
            </w:tcBorders>
          </w:tcPr>
          <w:p w14:paraId="61113025" w14:textId="78CEE0BE" w:rsidR="004F6245" w:rsidRPr="00166772" w:rsidRDefault="004F6245" w:rsidP="004F6245">
            <w:pPr>
              <w:jc w:val="center"/>
              <w:rPr>
                <w:rFonts w:ascii="Arial" w:hAnsi="Arial" w:cs="Arial"/>
                <w:sz w:val="20"/>
                <w:szCs w:val="20"/>
              </w:rPr>
            </w:pPr>
            <w:r w:rsidRPr="00166772">
              <w:rPr>
                <w:rFonts w:ascii="Arial" w:hAnsi="Arial" w:cs="Arial"/>
                <w:sz w:val="20"/>
                <w:szCs w:val="20"/>
              </w:rPr>
              <w:t>58.7%</w:t>
            </w:r>
          </w:p>
        </w:tc>
        <w:tc>
          <w:tcPr>
            <w:tcW w:w="2268" w:type="dxa"/>
            <w:tcBorders>
              <w:top w:val="nil"/>
              <w:left w:val="nil"/>
              <w:bottom w:val="single" w:sz="12" w:space="0" w:color="auto"/>
              <w:right w:val="nil"/>
            </w:tcBorders>
            <w:shd w:val="clear" w:color="auto" w:fill="auto"/>
          </w:tcPr>
          <w:p w14:paraId="6B70D92D" w14:textId="153F0CDE" w:rsidR="004F6245" w:rsidRPr="00166772" w:rsidRDefault="004F6245" w:rsidP="004F6245">
            <w:pPr>
              <w:jc w:val="center"/>
              <w:rPr>
                <w:rFonts w:ascii="Arial" w:hAnsi="Arial" w:cs="Arial"/>
                <w:sz w:val="20"/>
                <w:szCs w:val="20"/>
              </w:rPr>
            </w:pPr>
            <w:r w:rsidRPr="00166772">
              <w:rPr>
                <w:rFonts w:ascii="Arial" w:hAnsi="Arial" w:cs="Arial"/>
                <w:sz w:val="20"/>
                <w:szCs w:val="20"/>
              </w:rPr>
              <w:t>1.07 (0.58 – 1.97)</w:t>
            </w:r>
          </w:p>
        </w:tc>
        <w:tc>
          <w:tcPr>
            <w:tcW w:w="1843" w:type="dxa"/>
            <w:vMerge/>
            <w:tcBorders>
              <w:top w:val="nil"/>
              <w:left w:val="nil"/>
              <w:bottom w:val="single" w:sz="12" w:space="0" w:color="auto"/>
              <w:right w:val="nil"/>
            </w:tcBorders>
            <w:vAlign w:val="center"/>
          </w:tcPr>
          <w:p w14:paraId="63488D1B" w14:textId="77777777" w:rsidR="004F6245" w:rsidRPr="00166772" w:rsidRDefault="004F6245" w:rsidP="004F6245">
            <w:pPr>
              <w:jc w:val="center"/>
              <w:rPr>
                <w:rFonts w:ascii="Arial" w:hAnsi="Arial" w:cs="Arial"/>
                <w:sz w:val="20"/>
                <w:szCs w:val="20"/>
              </w:rPr>
            </w:pPr>
          </w:p>
        </w:tc>
      </w:tr>
      <w:tr w:rsidR="004F6245" w:rsidRPr="00D52614" w14:paraId="67F8955D" w14:textId="77777777" w:rsidTr="00947FD0">
        <w:trPr>
          <w:trHeight w:val="320"/>
        </w:trPr>
        <w:tc>
          <w:tcPr>
            <w:tcW w:w="2835" w:type="dxa"/>
            <w:tcBorders>
              <w:top w:val="single" w:sz="12" w:space="0" w:color="auto"/>
              <w:left w:val="nil"/>
              <w:bottom w:val="single" w:sz="12" w:space="0" w:color="auto"/>
              <w:right w:val="nil"/>
            </w:tcBorders>
            <w:shd w:val="clear" w:color="auto" w:fill="auto"/>
            <w:vAlign w:val="center"/>
          </w:tcPr>
          <w:p w14:paraId="2ADF4980" w14:textId="0E064535" w:rsidR="004F6245" w:rsidRPr="00166772" w:rsidRDefault="004F6245" w:rsidP="00947FD0">
            <w:pPr>
              <w:jc w:val="center"/>
              <w:rPr>
                <w:rFonts w:ascii="Arial" w:hAnsi="Arial" w:cs="Arial"/>
                <w:b/>
                <w:sz w:val="20"/>
                <w:szCs w:val="20"/>
              </w:rPr>
            </w:pPr>
            <w:r w:rsidRPr="00166772">
              <w:rPr>
                <w:rFonts w:ascii="Arial" w:hAnsi="Arial" w:cs="Arial"/>
                <w:b/>
                <w:sz w:val="20"/>
                <w:szCs w:val="20"/>
              </w:rPr>
              <w:t>Overall</w:t>
            </w:r>
          </w:p>
        </w:tc>
        <w:tc>
          <w:tcPr>
            <w:tcW w:w="567" w:type="dxa"/>
            <w:tcBorders>
              <w:top w:val="single" w:sz="12" w:space="0" w:color="auto"/>
              <w:left w:val="nil"/>
              <w:bottom w:val="single" w:sz="12" w:space="0" w:color="auto"/>
              <w:right w:val="nil"/>
            </w:tcBorders>
            <w:vAlign w:val="center"/>
          </w:tcPr>
          <w:p w14:paraId="53138FE3" w14:textId="777870D4" w:rsidR="004F6245" w:rsidRPr="00166772" w:rsidRDefault="004F6245" w:rsidP="00947FD0">
            <w:pPr>
              <w:jc w:val="center"/>
              <w:rPr>
                <w:rFonts w:ascii="Arial" w:hAnsi="Arial" w:cs="Arial"/>
                <w:b/>
                <w:sz w:val="20"/>
                <w:szCs w:val="20"/>
              </w:rPr>
            </w:pPr>
            <w:r w:rsidRPr="00166772">
              <w:rPr>
                <w:rFonts w:ascii="Arial" w:hAnsi="Arial" w:cs="Arial"/>
                <w:b/>
                <w:sz w:val="20"/>
                <w:szCs w:val="20"/>
              </w:rPr>
              <w:t>14</w:t>
            </w:r>
          </w:p>
        </w:tc>
        <w:tc>
          <w:tcPr>
            <w:tcW w:w="2127" w:type="dxa"/>
            <w:tcBorders>
              <w:top w:val="single" w:sz="12" w:space="0" w:color="auto"/>
              <w:left w:val="nil"/>
              <w:bottom w:val="single" w:sz="12" w:space="0" w:color="auto"/>
              <w:right w:val="nil"/>
            </w:tcBorders>
            <w:shd w:val="clear" w:color="auto" w:fill="auto"/>
            <w:vAlign w:val="center"/>
          </w:tcPr>
          <w:p w14:paraId="3083CFE2" w14:textId="628D63AF" w:rsidR="004F6245" w:rsidRPr="00166772" w:rsidRDefault="004F6245" w:rsidP="00947FD0">
            <w:pPr>
              <w:jc w:val="center"/>
              <w:rPr>
                <w:rFonts w:ascii="Arial" w:hAnsi="Arial" w:cs="Arial"/>
                <w:b/>
                <w:sz w:val="20"/>
                <w:szCs w:val="20"/>
              </w:rPr>
            </w:pPr>
            <w:r w:rsidRPr="00166772">
              <w:rPr>
                <w:rFonts w:ascii="Arial" w:hAnsi="Arial" w:cs="Arial"/>
                <w:b/>
                <w:sz w:val="20"/>
                <w:szCs w:val="20"/>
              </w:rPr>
              <w:t>1.28 (1.02 – 1.62)</w:t>
            </w:r>
          </w:p>
        </w:tc>
        <w:tc>
          <w:tcPr>
            <w:tcW w:w="850" w:type="dxa"/>
            <w:tcBorders>
              <w:top w:val="single" w:sz="12" w:space="0" w:color="auto"/>
              <w:left w:val="nil"/>
              <w:bottom w:val="single" w:sz="12" w:space="0" w:color="auto"/>
              <w:right w:val="nil"/>
            </w:tcBorders>
            <w:vAlign w:val="center"/>
          </w:tcPr>
          <w:p w14:paraId="4BCAD177" w14:textId="6536155A" w:rsidR="004F6245" w:rsidRPr="004F6245" w:rsidRDefault="004F6245" w:rsidP="00947FD0">
            <w:pPr>
              <w:jc w:val="center"/>
              <w:rPr>
                <w:rFonts w:ascii="Arial" w:hAnsi="Arial" w:cs="Arial"/>
                <w:b/>
                <w:sz w:val="20"/>
                <w:szCs w:val="20"/>
              </w:rPr>
            </w:pPr>
            <w:r w:rsidRPr="00166772">
              <w:rPr>
                <w:rFonts w:ascii="Arial" w:hAnsi="Arial" w:cs="Arial"/>
                <w:b/>
                <w:sz w:val="20"/>
                <w:szCs w:val="20"/>
              </w:rPr>
              <w:t>70.6%</w:t>
            </w:r>
          </w:p>
        </w:tc>
        <w:tc>
          <w:tcPr>
            <w:tcW w:w="2268" w:type="dxa"/>
            <w:tcBorders>
              <w:top w:val="single" w:sz="12" w:space="0" w:color="auto"/>
              <w:left w:val="nil"/>
              <w:bottom w:val="single" w:sz="12" w:space="0" w:color="auto"/>
              <w:right w:val="nil"/>
            </w:tcBorders>
            <w:shd w:val="clear" w:color="auto" w:fill="auto"/>
            <w:vAlign w:val="center"/>
          </w:tcPr>
          <w:p w14:paraId="3ED29D32" w14:textId="793D751F" w:rsidR="004F6245" w:rsidRPr="00947FD0" w:rsidRDefault="004F6245" w:rsidP="00947FD0">
            <w:pPr>
              <w:jc w:val="center"/>
              <w:rPr>
                <w:rFonts w:ascii="Arial" w:hAnsi="Arial" w:cs="Arial"/>
                <w:b/>
                <w:sz w:val="20"/>
                <w:szCs w:val="20"/>
              </w:rPr>
            </w:pPr>
          </w:p>
        </w:tc>
        <w:tc>
          <w:tcPr>
            <w:tcW w:w="1843" w:type="dxa"/>
            <w:tcBorders>
              <w:top w:val="single" w:sz="12" w:space="0" w:color="auto"/>
              <w:left w:val="nil"/>
              <w:bottom w:val="single" w:sz="12" w:space="0" w:color="auto"/>
              <w:right w:val="nil"/>
            </w:tcBorders>
            <w:vAlign w:val="center"/>
          </w:tcPr>
          <w:p w14:paraId="30E54E46" w14:textId="0B246368" w:rsidR="004F6245" w:rsidRPr="00947FD0" w:rsidRDefault="004F6245" w:rsidP="00947FD0">
            <w:pPr>
              <w:jc w:val="center"/>
              <w:rPr>
                <w:rFonts w:ascii="Arial" w:hAnsi="Arial" w:cs="Arial"/>
                <w:b/>
                <w:sz w:val="20"/>
                <w:szCs w:val="20"/>
              </w:rPr>
            </w:pPr>
          </w:p>
        </w:tc>
      </w:tr>
    </w:tbl>
    <w:p w14:paraId="30942A19" w14:textId="77777777" w:rsidR="0073069E" w:rsidRPr="00D52614" w:rsidRDefault="0073069E" w:rsidP="005E3605">
      <w:pPr>
        <w:widowControl w:val="0"/>
        <w:tabs>
          <w:tab w:val="left" w:pos="220"/>
          <w:tab w:val="left" w:pos="720"/>
        </w:tabs>
        <w:autoSpaceDE w:val="0"/>
        <w:autoSpaceDN w:val="0"/>
        <w:adjustRightInd w:val="0"/>
        <w:spacing w:before="120"/>
        <w:rPr>
          <w:rFonts w:ascii="Arial" w:hAnsi="Arial" w:cs="Arial"/>
          <w:b/>
          <w:sz w:val="26"/>
          <w:szCs w:val="26"/>
        </w:rPr>
      </w:pPr>
    </w:p>
    <w:p w14:paraId="3F1FDB85" w14:textId="77777777" w:rsidR="0073069E" w:rsidRPr="00D52614" w:rsidRDefault="0073069E" w:rsidP="005E3605">
      <w:pPr>
        <w:widowControl w:val="0"/>
        <w:tabs>
          <w:tab w:val="left" w:pos="220"/>
          <w:tab w:val="left" w:pos="720"/>
        </w:tabs>
        <w:autoSpaceDE w:val="0"/>
        <w:autoSpaceDN w:val="0"/>
        <w:adjustRightInd w:val="0"/>
        <w:spacing w:before="120"/>
        <w:rPr>
          <w:rFonts w:ascii="Arial" w:hAnsi="Arial" w:cs="Arial"/>
          <w:b/>
          <w:sz w:val="26"/>
          <w:szCs w:val="26"/>
        </w:rPr>
      </w:pPr>
    </w:p>
    <w:p w14:paraId="4435605F" w14:textId="77777777" w:rsidR="0073069E" w:rsidRPr="00D52614" w:rsidRDefault="0073069E" w:rsidP="005E3605">
      <w:pPr>
        <w:widowControl w:val="0"/>
        <w:tabs>
          <w:tab w:val="left" w:pos="220"/>
          <w:tab w:val="left" w:pos="720"/>
        </w:tabs>
        <w:autoSpaceDE w:val="0"/>
        <w:autoSpaceDN w:val="0"/>
        <w:adjustRightInd w:val="0"/>
        <w:spacing w:before="120" w:line="480" w:lineRule="auto"/>
        <w:jc w:val="both"/>
        <w:rPr>
          <w:rFonts w:ascii="Arial" w:hAnsi="Arial" w:cs="Arial"/>
          <w:color w:val="262626"/>
        </w:rPr>
      </w:pPr>
    </w:p>
    <w:p w14:paraId="4EBEFB4C" w14:textId="77777777" w:rsidR="005E3605" w:rsidRDefault="005E3605"/>
    <w:sectPr w:rsidR="005E3605" w:rsidSect="005E3605">
      <w:pgSz w:w="11900" w:h="16840"/>
      <w:pgMar w:top="1134" w:right="1021" w:bottom="1134"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F34123" w16cid:durableId="20B4EB85"/>
  <w16cid:commentId w16cid:paraId="7547C291" w16cid:durableId="20B4EBC4"/>
  <w16cid:commentId w16cid:paraId="42BFD71B" w16cid:durableId="20B4EDA1"/>
  <w16cid:commentId w16cid:paraId="43F3BADC" w16cid:durableId="20B4EC3A"/>
  <w16cid:commentId w16cid:paraId="119CA576" w16cid:durableId="20B4EC80"/>
  <w16cid:commentId w16cid:paraId="70F506AA" w16cid:durableId="20B4EDEE"/>
  <w16cid:commentId w16cid:paraId="57E34A56" w16cid:durableId="20B4EE49"/>
  <w16cid:commentId w16cid:paraId="10CEF67D" w16cid:durableId="20B4EF02"/>
  <w16cid:commentId w16cid:paraId="6EF0E3AB" w16cid:durableId="20B4EFDE"/>
  <w16cid:commentId w16cid:paraId="72DDAF40" w16cid:durableId="20B4F11B"/>
  <w16cid:commentId w16cid:paraId="5C4AD519" w16cid:durableId="20B4F125"/>
  <w16cid:commentId w16cid:paraId="080A5463" w16cid:durableId="20B4F775"/>
  <w16cid:commentId w16cid:paraId="6C0F9612" w16cid:durableId="20B4F1C4"/>
  <w16cid:commentId w16cid:paraId="04F245DF" w16cid:durableId="20B4F33D"/>
  <w16cid:commentId w16cid:paraId="7DDBE4AF" w16cid:durableId="20B4F3F6"/>
  <w16cid:commentId w16cid:paraId="7FDCF4A2" w16cid:durableId="20B4F489"/>
  <w16cid:commentId w16cid:paraId="3F7F066C" w16cid:durableId="20B4F4C4"/>
  <w16cid:commentId w16cid:paraId="76D5A634" w16cid:durableId="20B4F892"/>
  <w16cid:commentId w16cid:paraId="6D00178B" w16cid:durableId="20B4FDFC"/>
  <w16cid:commentId w16cid:paraId="1B41B8C7" w16cid:durableId="20B4FB5E"/>
  <w16cid:commentId w16cid:paraId="4690D77E" w16cid:durableId="20B4FBFD"/>
  <w16cid:commentId w16cid:paraId="51C0B4AB" w16cid:durableId="20B4FCF8"/>
  <w16cid:commentId w16cid:paraId="1FC0C925" w16cid:durableId="20B4FD20"/>
  <w16cid:commentId w16cid:paraId="6E5EEC3A" w16cid:durableId="20B4FD3E"/>
  <w16cid:commentId w16cid:paraId="05399986" w16cid:durableId="20B4FE1B"/>
  <w16cid:commentId w16cid:paraId="1D8FEC98" w16cid:durableId="20B5000A"/>
  <w16cid:commentId w16cid:paraId="36F6D836" w16cid:durableId="20B5009E"/>
  <w16cid:commentId w16cid:paraId="61D4845B" w16cid:durableId="20B500E4"/>
  <w16cid:commentId w16cid:paraId="691283A8" w16cid:durableId="20B5047D"/>
  <w16cid:commentId w16cid:paraId="355DC6A7" w16cid:durableId="20B4FB1B"/>
  <w16cid:commentId w16cid:paraId="11AC92A3" w16cid:durableId="20B4FB12"/>
  <w16cid:commentId w16cid:paraId="5D329C14" w16cid:durableId="20B4FB0D"/>
  <w16cid:commentId w16cid:paraId="6ABC6E18" w16cid:durableId="20B4FB05"/>
  <w16cid:commentId w16cid:paraId="52DE39C3" w16cid:durableId="20B4FAFD"/>
  <w16cid:commentId w16cid:paraId="16C60FD7" w16cid:durableId="20B4FAF3"/>
  <w16cid:commentId w16cid:paraId="01BBA33B" w16cid:durableId="20B4FAE4"/>
  <w16cid:commentId w16cid:paraId="6A74DB5E" w16cid:durableId="20B4FAD9"/>
  <w16cid:commentId w16cid:paraId="55028FB5" w16cid:durableId="20B4FACF"/>
  <w16cid:commentId w16cid:paraId="61F500F6" w16cid:durableId="20B4F324"/>
  <w16cid:commentId w16cid:paraId="765C07F3" w16cid:durableId="20B4FABC"/>
  <w16cid:commentId w16cid:paraId="5DD1C2F9" w16cid:durableId="20B4FAB2"/>
  <w16cid:commentId w16cid:paraId="4659B6B7" w16cid:durableId="20B4FA7C"/>
  <w16cid:commentId w16cid:paraId="4700011B" w16cid:durableId="20B4FA87"/>
  <w16cid:commentId w16cid:paraId="18AA5355" w16cid:durableId="20B4FA90"/>
  <w16cid:commentId w16cid:paraId="626496AC" w16cid:durableId="20B4FAA5"/>
  <w16cid:commentId w16cid:paraId="6B10E3CA" w16cid:durableId="20B4FA98"/>
  <w16cid:commentId w16cid:paraId="5EC9B30F" w16cid:durableId="20B4FA4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908BE" w14:textId="77777777" w:rsidR="009F73DD" w:rsidRDefault="009F73DD">
      <w:r>
        <w:separator/>
      </w:r>
    </w:p>
  </w:endnote>
  <w:endnote w:type="continuationSeparator" w:id="0">
    <w:p w14:paraId="5D112A87" w14:textId="77777777" w:rsidR="009F73DD" w:rsidRDefault="009F7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imes">
    <w:altName w:val="Sylfae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2BFD0" w14:textId="77777777" w:rsidR="009F73DD" w:rsidRDefault="009F73DD" w:rsidP="005E3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C56807" w14:textId="77777777" w:rsidR="009F73DD" w:rsidRDefault="009F73DD" w:rsidP="001667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07F4B" w14:textId="4727F101" w:rsidR="009F73DD" w:rsidRDefault="009F73DD" w:rsidP="005E3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1232">
      <w:rPr>
        <w:rStyle w:val="PageNumber"/>
        <w:noProof/>
      </w:rPr>
      <w:t>1</w:t>
    </w:r>
    <w:r>
      <w:rPr>
        <w:rStyle w:val="PageNumber"/>
      </w:rPr>
      <w:fldChar w:fldCharType="end"/>
    </w:r>
  </w:p>
  <w:p w14:paraId="26002C9A" w14:textId="77777777" w:rsidR="009F73DD" w:rsidRDefault="009F73DD" w:rsidP="005E360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F4184" w14:textId="77777777" w:rsidR="00166772" w:rsidRDefault="00166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B63D6" w14:textId="77777777" w:rsidR="009F73DD" w:rsidRDefault="009F73DD">
      <w:r>
        <w:separator/>
      </w:r>
    </w:p>
  </w:footnote>
  <w:footnote w:type="continuationSeparator" w:id="0">
    <w:p w14:paraId="22F1B853" w14:textId="77777777" w:rsidR="009F73DD" w:rsidRDefault="009F7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3032B" w14:textId="77777777" w:rsidR="00166772" w:rsidRDefault="001667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2695499"/>
      <w:docPartObj>
        <w:docPartGallery w:val="Watermarks"/>
        <w:docPartUnique/>
      </w:docPartObj>
    </w:sdtPr>
    <w:sdtEndPr/>
    <w:sdtContent>
      <w:p w14:paraId="68368334" w14:textId="5CCE25EA" w:rsidR="00166772" w:rsidRDefault="00861232">
        <w:pPr>
          <w:pStyle w:val="Header"/>
        </w:pPr>
        <w:r>
          <w:rPr>
            <w:noProof/>
            <w:lang w:val="en-US"/>
          </w:rPr>
          <w:pict w14:anchorId="5DA4BD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8799970" o:spid="_x0000_s2049" type="#_x0000_t136" style="position:absolute;margin-left:0;margin-top:0;width:529.85pt;height:105.95pt;rotation:315;z-index:-251658752;mso-position-horizontal:center;mso-position-horizontal-relative:margin;mso-position-vertical:center;mso-position-vertical-relative:margin" o:allowincell="f" fillcolor="silver" stroked="f">
              <v:fill opacity=".5"/>
              <v:textpath style="font-family:&quot;Calibri&quot;;font-size:1pt" string="ACCEPTED VERSION"/>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55A52" w14:textId="77777777" w:rsidR="00166772" w:rsidRDefault="001667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B3E05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F91C61"/>
    <w:multiLevelType w:val="hybridMultilevel"/>
    <w:tmpl w:val="C6EA7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F2557B"/>
    <w:multiLevelType w:val="hybridMultilevel"/>
    <w:tmpl w:val="EBB4E188"/>
    <w:lvl w:ilvl="0" w:tplc="4F3E85E4">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F27AC0"/>
    <w:multiLevelType w:val="hybridMultilevel"/>
    <w:tmpl w:val="ACFA9BD6"/>
    <w:lvl w:ilvl="0" w:tplc="A336EB48">
      <w:start w:val="20"/>
      <w:numFmt w:val="bullet"/>
      <w:lvlText w:val="–"/>
      <w:lvlJc w:val="left"/>
      <w:pPr>
        <w:ind w:left="360" w:hanging="360"/>
      </w:pPr>
      <w:rPr>
        <w:rFonts w:ascii="Cambria" w:eastAsia="MS Mincho" w:hAnsi="Cambria"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C9C549C"/>
    <w:multiLevelType w:val="hybridMultilevel"/>
    <w:tmpl w:val="55E00488"/>
    <w:lvl w:ilvl="0" w:tplc="E9784444">
      <w:numFmt w:val="bullet"/>
      <w:lvlText w:val="-"/>
      <w:lvlJc w:val="left"/>
      <w:pPr>
        <w:ind w:left="420" w:hanging="360"/>
      </w:pPr>
      <w:rPr>
        <w:rFonts w:ascii="Arial" w:eastAsia="MS Mincho"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4E9A348D"/>
    <w:multiLevelType w:val="hybridMultilevel"/>
    <w:tmpl w:val="FBF824A6"/>
    <w:lvl w:ilvl="0" w:tplc="03D8C49A">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0B614B8"/>
    <w:multiLevelType w:val="hybridMultilevel"/>
    <w:tmpl w:val="04A44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624C93"/>
    <w:multiLevelType w:val="hybridMultilevel"/>
    <w:tmpl w:val="B9EE89F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1036A6"/>
    <w:multiLevelType w:val="hybridMultilevel"/>
    <w:tmpl w:val="42845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D1A2A37"/>
    <w:multiLevelType w:val="hybridMultilevel"/>
    <w:tmpl w:val="A76449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10"/>
  </w:num>
  <w:num w:numId="4">
    <w:abstractNumId w:val="4"/>
  </w:num>
  <w:num w:numId="5">
    <w:abstractNumId w:val="6"/>
  </w:num>
  <w:num w:numId="6">
    <w:abstractNumId w:val="0"/>
  </w:num>
  <w:num w:numId="7">
    <w:abstractNumId w:val="3"/>
  </w:num>
  <w:num w:numId="8">
    <w:abstractNumId w:val="5"/>
  </w:num>
  <w:num w:numId="9">
    <w:abstractNumId w:val="2"/>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1&lt;/Suspended&gt;&lt;/ENInstantFormat&gt;"/>
  </w:docVars>
  <w:rsids>
    <w:rsidRoot w:val="0073069E"/>
    <w:rsid w:val="00090E13"/>
    <w:rsid w:val="00094C53"/>
    <w:rsid w:val="000A1C4B"/>
    <w:rsid w:val="000A67CC"/>
    <w:rsid w:val="000B215D"/>
    <w:rsid w:val="000F3B93"/>
    <w:rsid w:val="000F4A54"/>
    <w:rsid w:val="001131A9"/>
    <w:rsid w:val="00166772"/>
    <w:rsid w:val="00181957"/>
    <w:rsid w:val="00190D84"/>
    <w:rsid w:val="001B414C"/>
    <w:rsid w:val="001C4D13"/>
    <w:rsid w:val="001E7B64"/>
    <w:rsid w:val="0021378B"/>
    <w:rsid w:val="00216343"/>
    <w:rsid w:val="00216B85"/>
    <w:rsid w:val="00227511"/>
    <w:rsid w:val="002329FB"/>
    <w:rsid w:val="00256ECB"/>
    <w:rsid w:val="002620AF"/>
    <w:rsid w:val="00262FEC"/>
    <w:rsid w:val="002716B7"/>
    <w:rsid w:val="00272E21"/>
    <w:rsid w:val="002D429C"/>
    <w:rsid w:val="002E1ADF"/>
    <w:rsid w:val="00312E06"/>
    <w:rsid w:val="003254A0"/>
    <w:rsid w:val="0032770F"/>
    <w:rsid w:val="00333410"/>
    <w:rsid w:val="00371066"/>
    <w:rsid w:val="0039450A"/>
    <w:rsid w:val="003B0A1A"/>
    <w:rsid w:val="00402989"/>
    <w:rsid w:val="004573B1"/>
    <w:rsid w:val="00486A7D"/>
    <w:rsid w:val="00496138"/>
    <w:rsid w:val="004971DB"/>
    <w:rsid w:val="004979ED"/>
    <w:rsid w:val="004B0DE0"/>
    <w:rsid w:val="004C28E9"/>
    <w:rsid w:val="004D4B61"/>
    <w:rsid w:val="004F6245"/>
    <w:rsid w:val="005121B8"/>
    <w:rsid w:val="00526254"/>
    <w:rsid w:val="00535782"/>
    <w:rsid w:val="0056045B"/>
    <w:rsid w:val="00581E12"/>
    <w:rsid w:val="00587042"/>
    <w:rsid w:val="005D1E2D"/>
    <w:rsid w:val="005E3605"/>
    <w:rsid w:val="00622C1B"/>
    <w:rsid w:val="00627345"/>
    <w:rsid w:val="00645EB3"/>
    <w:rsid w:val="00662DB2"/>
    <w:rsid w:val="0067625A"/>
    <w:rsid w:val="00686242"/>
    <w:rsid w:val="006D2FA6"/>
    <w:rsid w:val="006E5314"/>
    <w:rsid w:val="007032CC"/>
    <w:rsid w:val="00703892"/>
    <w:rsid w:val="0073069E"/>
    <w:rsid w:val="00777770"/>
    <w:rsid w:val="0078665E"/>
    <w:rsid w:val="007A5470"/>
    <w:rsid w:val="007E126D"/>
    <w:rsid w:val="00834C7C"/>
    <w:rsid w:val="00861232"/>
    <w:rsid w:val="008B53D6"/>
    <w:rsid w:val="008F04E6"/>
    <w:rsid w:val="0090129C"/>
    <w:rsid w:val="009014FD"/>
    <w:rsid w:val="00906DE0"/>
    <w:rsid w:val="00915FD6"/>
    <w:rsid w:val="00946909"/>
    <w:rsid w:val="00947FD0"/>
    <w:rsid w:val="009711B0"/>
    <w:rsid w:val="009874BC"/>
    <w:rsid w:val="009B24F5"/>
    <w:rsid w:val="009B6E38"/>
    <w:rsid w:val="009C7600"/>
    <w:rsid w:val="009D3048"/>
    <w:rsid w:val="009D5B12"/>
    <w:rsid w:val="009F73DD"/>
    <w:rsid w:val="00A3629C"/>
    <w:rsid w:val="00A4467E"/>
    <w:rsid w:val="00A73BDA"/>
    <w:rsid w:val="00A8636B"/>
    <w:rsid w:val="00AB554B"/>
    <w:rsid w:val="00AC517F"/>
    <w:rsid w:val="00AC7611"/>
    <w:rsid w:val="00AE21D2"/>
    <w:rsid w:val="00B34DB6"/>
    <w:rsid w:val="00B363F8"/>
    <w:rsid w:val="00B441E0"/>
    <w:rsid w:val="00B46BB9"/>
    <w:rsid w:val="00B47ED0"/>
    <w:rsid w:val="00B54B4D"/>
    <w:rsid w:val="00B55B55"/>
    <w:rsid w:val="00B578E4"/>
    <w:rsid w:val="00B668EA"/>
    <w:rsid w:val="00B937DE"/>
    <w:rsid w:val="00BB7098"/>
    <w:rsid w:val="00BC6218"/>
    <w:rsid w:val="00BD45EE"/>
    <w:rsid w:val="00BD6EBA"/>
    <w:rsid w:val="00C25C45"/>
    <w:rsid w:val="00C37892"/>
    <w:rsid w:val="00C52C5F"/>
    <w:rsid w:val="00C54BC2"/>
    <w:rsid w:val="00C6527C"/>
    <w:rsid w:val="00C83EDF"/>
    <w:rsid w:val="00C869F1"/>
    <w:rsid w:val="00CD5EC2"/>
    <w:rsid w:val="00D36E96"/>
    <w:rsid w:val="00D615E9"/>
    <w:rsid w:val="00D86A72"/>
    <w:rsid w:val="00D87193"/>
    <w:rsid w:val="00DB186D"/>
    <w:rsid w:val="00DB33B4"/>
    <w:rsid w:val="00DC7751"/>
    <w:rsid w:val="00DD1408"/>
    <w:rsid w:val="00DD2E12"/>
    <w:rsid w:val="00DE1F3D"/>
    <w:rsid w:val="00DF1EFF"/>
    <w:rsid w:val="00E00A40"/>
    <w:rsid w:val="00E05800"/>
    <w:rsid w:val="00E06A82"/>
    <w:rsid w:val="00E27AFF"/>
    <w:rsid w:val="00E36BAA"/>
    <w:rsid w:val="00E420E5"/>
    <w:rsid w:val="00E75C2D"/>
    <w:rsid w:val="00E96E8E"/>
    <w:rsid w:val="00ED3DA7"/>
    <w:rsid w:val="00ED6441"/>
    <w:rsid w:val="00FE363D"/>
    <w:rsid w:val="00FF3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EB61145"/>
  <w15:docId w15:val="{4FF7FDE9-5906-AA44-AFDD-D7258CA5A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69E"/>
    <w:rPr>
      <w:rFonts w:ascii="Cambria" w:eastAsia="MS Mincho" w:hAnsi="Cambria" w:cs="Times New Roman"/>
      <w:lang w:val="en-AU"/>
    </w:rPr>
  </w:style>
  <w:style w:type="paragraph" w:styleId="Heading1">
    <w:name w:val="heading 1"/>
    <w:aliases w:val="HEADING 1"/>
    <w:basedOn w:val="Header"/>
    <w:next w:val="Normal"/>
    <w:link w:val="Heading1Char"/>
    <w:uiPriority w:val="9"/>
    <w:qFormat/>
    <w:rsid w:val="0073069E"/>
    <w:pPr>
      <w:keepNext/>
      <w:keepLines/>
      <w:tabs>
        <w:tab w:val="clear" w:pos="4320"/>
        <w:tab w:val="clear" w:pos="8640"/>
        <w:tab w:val="center" w:pos="4513"/>
        <w:tab w:val="right" w:pos="9026"/>
      </w:tabs>
      <w:spacing w:before="480" w:line="480" w:lineRule="auto"/>
      <w:outlineLvl w:val="0"/>
    </w:pPr>
    <w:rPr>
      <w:rFonts w:eastAsia="MS Gothic"/>
      <w:b/>
      <w:bCs/>
      <w:color w:val="000000"/>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
    <w:rsid w:val="0073069E"/>
    <w:rPr>
      <w:rFonts w:ascii="Cambria" w:eastAsia="MS Gothic" w:hAnsi="Cambria" w:cs="Times New Roman"/>
      <w:b/>
      <w:bCs/>
      <w:color w:val="000000"/>
      <w:sz w:val="26"/>
      <w:szCs w:val="32"/>
      <w:lang w:val="en-AU"/>
    </w:rPr>
  </w:style>
  <w:style w:type="paragraph" w:styleId="Header">
    <w:name w:val="header"/>
    <w:basedOn w:val="Normal"/>
    <w:link w:val="HeaderChar"/>
    <w:uiPriority w:val="99"/>
    <w:unhideWhenUsed/>
    <w:rsid w:val="0073069E"/>
    <w:pPr>
      <w:tabs>
        <w:tab w:val="center" w:pos="4320"/>
        <w:tab w:val="right" w:pos="8640"/>
      </w:tabs>
    </w:pPr>
  </w:style>
  <w:style w:type="character" w:customStyle="1" w:styleId="HeaderChar">
    <w:name w:val="Header Char"/>
    <w:link w:val="Header"/>
    <w:uiPriority w:val="99"/>
    <w:rsid w:val="0073069E"/>
    <w:rPr>
      <w:rFonts w:ascii="Cambria" w:eastAsia="MS Mincho" w:hAnsi="Cambria" w:cs="Times New Roman"/>
      <w:lang w:val="en-AU"/>
    </w:rPr>
  </w:style>
  <w:style w:type="paragraph" w:styleId="TOC1">
    <w:name w:val="toc 1"/>
    <w:basedOn w:val="Normal"/>
    <w:next w:val="Normal"/>
    <w:uiPriority w:val="39"/>
    <w:unhideWhenUsed/>
    <w:qFormat/>
    <w:rsid w:val="0073069E"/>
    <w:pPr>
      <w:spacing w:before="120"/>
    </w:pPr>
    <w:rPr>
      <w:b/>
      <w:bCs/>
      <w:sz w:val="26"/>
      <w:szCs w:val="26"/>
    </w:rPr>
  </w:style>
  <w:style w:type="paragraph" w:styleId="Title">
    <w:name w:val="Title"/>
    <w:basedOn w:val="Normal"/>
    <w:next w:val="Normal"/>
    <w:link w:val="TitleChar"/>
    <w:uiPriority w:val="10"/>
    <w:qFormat/>
    <w:rsid w:val="0073069E"/>
    <w:pPr>
      <w:pBdr>
        <w:bottom w:val="single" w:sz="8" w:space="4" w:color="4F81BD"/>
      </w:pBdr>
      <w:spacing w:after="300"/>
      <w:contextualSpacing/>
    </w:pPr>
    <w:rPr>
      <w:rFonts w:eastAsia="MS Gothic"/>
      <w:b/>
      <w:color w:val="000000"/>
      <w:spacing w:val="5"/>
      <w:kern w:val="28"/>
      <w:sz w:val="26"/>
      <w:szCs w:val="52"/>
    </w:rPr>
  </w:style>
  <w:style w:type="character" w:customStyle="1" w:styleId="TitleChar">
    <w:name w:val="Title Char"/>
    <w:link w:val="Title"/>
    <w:uiPriority w:val="10"/>
    <w:rsid w:val="0073069E"/>
    <w:rPr>
      <w:rFonts w:ascii="Cambria" w:eastAsia="MS Gothic" w:hAnsi="Cambria" w:cs="Times New Roman"/>
      <w:b/>
      <w:color w:val="000000"/>
      <w:spacing w:val="5"/>
      <w:kern w:val="28"/>
      <w:sz w:val="26"/>
      <w:szCs w:val="52"/>
      <w:lang w:val="en-AU"/>
    </w:rPr>
  </w:style>
  <w:style w:type="character" w:styleId="CommentReference">
    <w:name w:val="annotation reference"/>
    <w:semiHidden/>
    <w:unhideWhenUsed/>
    <w:rsid w:val="0073069E"/>
    <w:rPr>
      <w:sz w:val="18"/>
      <w:szCs w:val="18"/>
    </w:rPr>
  </w:style>
  <w:style w:type="paragraph" w:styleId="CommentText">
    <w:name w:val="annotation text"/>
    <w:basedOn w:val="Normal"/>
    <w:link w:val="CommentTextChar"/>
    <w:unhideWhenUsed/>
    <w:rsid w:val="0073069E"/>
  </w:style>
  <w:style w:type="character" w:customStyle="1" w:styleId="CommentTextChar">
    <w:name w:val="Comment Text Char"/>
    <w:link w:val="CommentText"/>
    <w:rsid w:val="0073069E"/>
    <w:rPr>
      <w:rFonts w:ascii="Cambria" w:eastAsia="MS Mincho" w:hAnsi="Cambria" w:cs="Times New Roman"/>
      <w:lang w:val="en-AU"/>
    </w:rPr>
  </w:style>
  <w:style w:type="paragraph" w:styleId="CommentSubject">
    <w:name w:val="annotation subject"/>
    <w:basedOn w:val="CommentText"/>
    <w:next w:val="CommentText"/>
    <w:link w:val="CommentSubjectChar"/>
    <w:uiPriority w:val="99"/>
    <w:semiHidden/>
    <w:unhideWhenUsed/>
    <w:rsid w:val="0073069E"/>
    <w:rPr>
      <w:b/>
      <w:bCs/>
      <w:sz w:val="20"/>
      <w:szCs w:val="20"/>
    </w:rPr>
  </w:style>
  <w:style w:type="character" w:customStyle="1" w:styleId="CommentSubjectChar">
    <w:name w:val="Comment Subject Char"/>
    <w:link w:val="CommentSubject"/>
    <w:uiPriority w:val="99"/>
    <w:semiHidden/>
    <w:rsid w:val="0073069E"/>
    <w:rPr>
      <w:rFonts w:ascii="Cambria" w:eastAsia="MS Mincho" w:hAnsi="Cambria" w:cs="Times New Roman"/>
      <w:b/>
      <w:bCs/>
      <w:sz w:val="20"/>
      <w:szCs w:val="20"/>
      <w:lang w:val="en-AU"/>
    </w:rPr>
  </w:style>
  <w:style w:type="paragraph" w:customStyle="1" w:styleId="LightList-Accent31">
    <w:name w:val="Light List - Accent 31"/>
    <w:hidden/>
    <w:uiPriority w:val="99"/>
    <w:semiHidden/>
    <w:rsid w:val="0073069E"/>
    <w:rPr>
      <w:rFonts w:ascii="Cambria" w:eastAsia="MS Mincho" w:hAnsi="Cambria" w:cs="Times New Roman"/>
      <w:lang w:val="en-AU"/>
    </w:rPr>
  </w:style>
  <w:style w:type="paragraph" w:styleId="BalloonText">
    <w:name w:val="Balloon Text"/>
    <w:basedOn w:val="Normal"/>
    <w:link w:val="BalloonTextChar"/>
    <w:uiPriority w:val="99"/>
    <w:semiHidden/>
    <w:unhideWhenUsed/>
    <w:rsid w:val="0073069E"/>
    <w:rPr>
      <w:rFonts w:ascii="Lucida Grande" w:hAnsi="Lucida Grande" w:cs="Lucida Grande"/>
      <w:sz w:val="18"/>
      <w:szCs w:val="18"/>
    </w:rPr>
  </w:style>
  <w:style w:type="character" w:customStyle="1" w:styleId="BalloonTextChar">
    <w:name w:val="Balloon Text Char"/>
    <w:link w:val="BalloonText"/>
    <w:uiPriority w:val="99"/>
    <w:semiHidden/>
    <w:rsid w:val="0073069E"/>
    <w:rPr>
      <w:rFonts w:ascii="Lucida Grande" w:eastAsia="MS Mincho" w:hAnsi="Lucida Grande" w:cs="Lucida Grande"/>
      <w:sz w:val="18"/>
      <w:szCs w:val="18"/>
      <w:lang w:val="en-AU"/>
    </w:rPr>
  </w:style>
  <w:style w:type="paragraph" w:customStyle="1" w:styleId="LightGrid-Accent31">
    <w:name w:val="Light Grid - Accent 31"/>
    <w:basedOn w:val="Normal"/>
    <w:uiPriority w:val="34"/>
    <w:qFormat/>
    <w:rsid w:val="0073069E"/>
    <w:pPr>
      <w:ind w:left="720"/>
      <w:contextualSpacing/>
    </w:pPr>
  </w:style>
  <w:style w:type="paragraph" w:styleId="NormalWeb">
    <w:name w:val="Normal (Web)"/>
    <w:basedOn w:val="Normal"/>
    <w:uiPriority w:val="99"/>
    <w:unhideWhenUsed/>
    <w:rsid w:val="0073069E"/>
    <w:pPr>
      <w:spacing w:before="100" w:beforeAutospacing="1" w:after="100" w:afterAutospacing="1"/>
    </w:pPr>
    <w:rPr>
      <w:rFonts w:ascii="Times" w:hAnsi="Times"/>
      <w:sz w:val="20"/>
      <w:szCs w:val="20"/>
    </w:rPr>
  </w:style>
  <w:style w:type="paragraph" w:customStyle="1" w:styleId="EndNoteBibliographyTitle">
    <w:name w:val="EndNote Bibliography Title"/>
    <w:basedOn w:val="Normal"/>
    <w:rsid w:val="0073069E"/>
    <w:pPr>
      <w:jc w:val="center"/>
    </w:pPr>
    <w:rPr>
      <w:rFonts w:ascii="Arial" w:hAnsi="Arial" w:cs="Arial"/>
      <w:lang w:val="en-US"/>
    </w:rPr>
  </w:style>
  <w:style w:type="paragraph" w:customStyle="1" w:styleId="EndNoteBibliography">
    <w:name w:val="EndNote Bibliography"/>
    <w:basedOn w:val="Normal"/>
    <w:rsid w:val="0073069E"/>
    <w:pPr>
      <w:jc w:val="both"/>
    </w:pPr>
    <w:rPr>
      <w:rFonts w:ascii="Arial" w:hAnsi="Arial" w:cs="Arial"/>
      <w:lang w:val="en-US"/>
    </w:rPr>
  </w:style>
  <w:style w:type="character" w:styleId="Hyperlink">
    <w:name w:val="Hyperlink"/>
    <w:uiPriority w:val="99"/>
    <w:unhideWhenUsed/>
    <w:rsid w:val="0073069E"/>
    <w:rPr>
      <w:color w:val="0000FF"/>
      <w:u w:val="single"/>
    </w:rPr>
  </w:style>
  <w:style w:type="paragraph" w:customStyle="1" w:styleId="MediumList2-Accent21">
    <w:name w:val="Medium List 2 - Accent 21"/>
    <w:hidden/>
    <w:uiPriority w:val="99"/>
    <w:semiHidden/>
    <w:rsid w:val="0073069E"/>
    <w:rPr>
      <w:rFonts w:ascii="Cambria" w:eastAsia="MS Mincho" w:hAnsi="Cambria" w:cs="Times New Roman"/>
      <w:lang w:val="en-AU"/>
    </w:rPr>
  </w:style>
  <w:style w:type="paragraph" w:styleId="Footer">
    <w:name w:val="footer"/>
    <w:basedOn w:val="Normal"/>
    <w:link w:val="FooterChar"/>
    <w:uiPriority w:val="99"/>
    <w:unhideWhenUsed/>
    <w:rsid w:val="0073069E"/>
    <w:pPr>
      <w:tabs>
        <w:tab w:val="center" w:pos="4320"/>
        <w:tab w:val="right" w:pos="8640"/>
      </w:tabs>
    </w:pPr>
  </w:style>
  <w:style w:type="character" w:customStyle="1" w:styleId="FooterChar">
    <w:name w:val="Footer Char"/>
    <w:link w:val="Footer"/>
    <w:uiPriority w:val="99"/>
    <w:rsid w:val="0073069E"/>
    <w:rPr>
      <w:rFonts w:ascii="Cambria" w:eastAsia="MS Mincho" w:hAnsi="Cambria" w:cs="Times New Roman"/>
      <w:lang w:val="en-AU"/>
    </w:rPr>
  </w:style>
  <w:style w:type="character" w:styleId="PageNumber">
    <w:name w:val="page number"/>
    <w:uiPriority w:val="99"/>
    <w:semiHidden/>
    <w:unhideWhenUsed/>
    <w:rsid w:val="0073069E"/>
  </w:style>
  <w:style w:type="paragraph" w:styleId="ListParagraph">
    <w:name w:val="List Paragraph"/>
    <w:basedOn w:val="Normal"/>
    <w:uiPriority w:val="34"/>
    <w:qFormat/>
    <w:rsid w:val="0073069E"/>
    <w:pPr>
      <w:ind w:left="720"/>
      <w:contextualSpacing/>
    </w:pPr>
  </w:style>
  <w:style w:type="paragraph" w:styleId="Revision">
    <w:name w:val="Revision"/>
    <w:hidden/>
    <w:uiPriority w:val="99"/>
    <w:semiHidden/>
    <w:rsid w:val="0073069E"/>
    <w:rPr>
      <w:rFonts w:ascii="Cambria" w:eastAsia="MS Mincho" w:hAnsi="Cambria" w:cs="Times New Roman"/>
      <w:lang w:val="en-AU"/>
    </w:rPr>
  </w:style>
  <w:style w:type="character" w:customStyle="1" w:styleId="UnresolvedMention1">
    <w:name w:val="Unresolved Mention1"/>
    <w:basedOn w:val="DefaultParagraphFont"/>
    <w:uiPriority w:val="99"/>
    <w:semiHidden/>
    <w:unhideWhenUsed/>
    <w:rsid w:val="0073069E"/>
    <w:rPr>
      <w:color w:val="808080"/>
      <w:shd w:val="clear" w:color="auto" w:fill="E6E6E6"/>
    </w:rPr>
  </w:style>
  <w:style w:type="character" w:styleId="Emphasis">
    <w:name w:val="Emphasis"/>
    <w:basedOn w:val="DefaultParagraphFont"/>
    <w:uiPriority w:val="20"/>
    <w:qFormat/>
    <w:rsid w:val="0073069E"/>
    <w:rPr>
      <w:i/>
      <w:iCs/>
    </w:rPr>
  </w:style>
  <w:style w:type="character" w:customStyle="1" w:styleId="UnresolvedMention2">
    <w:name w:val="Unresolved Mention2"/>
    <w:basedOn w:val="DefaultParagraphFont"/>
    <w:uiPriority w:val="99"/>
    <w:semiHidden/>
    <w:unhideWhenUsed/>
    <w:rsid w:val="0073069E"/>
    <w:rPr>
      <w:color w:val="808080"/>
      <w:shd w:val="clear" w:color="auto" w:fill="E6E6E6"/>
    </w:rPr>
  </w:style>
  <w:style w:type="character" w:customStyle="1" w:styleId="UnresolvedMention3">
    <w:name w:val="Unresolved Mention3"/>
    <w:basedOn w:val="DefaultParagraphFont"/>
    <w:uiPriority w:val="99"/>
    <w:semiHidden/>
    <w:unhideWhenUsed/>
    <w:rsid w:val="0073069E"/>
    <w:rPr>
      <w:color w:val="808080"/>
      <w:shd w:val="clear" w:color="auto" w:fill="E6E6E6"/>
    </w:rPr>
  </w:style>
  <w:style w:type="character" w:styleId="LineNumber">
    <w:name w:val="line number"/>
    <w:basedOn w:val="DefaultParagraphFont"/>
    <w:uiPriority w:val="99"/>
    <w:semiHidden/>
    <w:unhideWhenUsed/>
    <w:rsid w:val="0073069E"/>
  </w:style>
  <w:style w:type="character" w:customStyle="1" w:styleId="UnresolvedMention4">
    <w:name w:val="Unresolved Mention4"/>
    <w:basedOn w:val="DefaultParagraphFont"/>
    <w:uiPriority w:val="99"/>
    <w:semiHidden/>
    <w:unhideWhenUsed/>
    <w:rsid w:val="0073069E"/>
    <w:rPr>
      <w:color w:val="808080"/>
      <w:shd w:val="clear" w:color="auto" w:fill="E6E6E6"/>
    </w:rPr>
  </w:style>
  <w:style w:type="paragraph" w:customStyle="1" w:styleId="Authors">
    <w:name w:val="Authors"/>
    <w:rsid w:val="00861232"/>
    <w:pPr>
      <w:spacing w:before="240"/>
    </w:pPr>
    <w:rPr>
      <w:rFonts w:ascii="Arial" w:eastAsia="Times New Roman" w:hAnsi="Arial"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C152C-2C55-46BC-A359-CA06CB205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27</Pages>
  <Words>5768</Words>
  <Characters>32880</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APHA</Company>
  <LinksUpToDate>false</LinksUpToDate>
  <CharactersWithSpaces>38571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Torquati, Luciana</dc:creator>
  <cp:lastModifiedBy>Torquati, Luciana</cp:lastModifiedBy>
  <cp:revision>22</cp:revision>
  <dcterms:created xsi:type="dcterms:W3CDTF">2019-06-19T07:20:00Z</dcterms:created>
  <dcterms:modified xsi:type="dcterms:W3CDTF">2019-09-11T09:08:00Z</dcterms:modified>
</cp:coreProperties>
</file>