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C5" w:rsidRPr="00BA142E" w:rsidRDefault="000D53C0" w:rsidP="00BA142E">
      <w:pPr>
        <w:spacing w:after="0" w:line="360" w:lineRule="auto"/>
        <w:jc w:val="center"/>
        <w:rPr>
          <w:rFonts w:ascii="Times New Roman" w:hAnsi="Times New Roman" w:cs="Times New Roman"/>
          <w:b/>
          <w:sz w:val="18"/>
        </w:rPr>
      </w:pPr>
      <w:r>
        <w:rPr>
          <w:rFonts w:ascii="Times New Roman" w:hAnsi="Times New Roman" w:cs="Times New Roman"/>
          <w:b/>
          <w:sz w:val="18"/>
        </w:rPr>
        <w:t>PROSPECT THEORY AND TERRORIST CHOICE</w:t>
      </w:r>
    </w:p>
    <w:p w:rsidR="00BA142E" w:rsidRDefault="00BA142E" w:rsidP="00BA142E">
      <w:pPr>
        <w:spacing w:after="0" w:line="360" w:lineRule="auto"/>
        <w:jc w:val="center"/>
        <w:rPr>
          <w:rFonts w:ascii="Times New Roman" w:hAnsi="Times New Roman" w:cs="Times New Roman"/>
          <w:sz w:val="20"/>
        </w:rPr>
      </w:pPr>
    </w:p>
    <w:p w:rsidR="000D53C0" w:rsidRPr="000D53C0" w:rsidRDefault="000D53C0" w:rsidP="00BA142E">
      <w:pPr>
        <w:spacing w:after="0" w:line="360" w:lineRule="auto"/>
        <w:jc w:val="center"/>
        <w:rPr>
          <w:rFonts w:ascii="Times New Roman" w:hAnsi="Times New Roman" w:cs="Times New Roman"/>
          <w:b/>
          <w:sz w:val="20"/>
        </w:rPr>
      </w:pPr>
      <w:r>
        <w:rPr>
          <w:rFonts w:ascii="Times New Roman" w:hAnsi="Times New Roman" w:cs="Times New Roman"/>
          <w:b/>
          <w:sz w:val="20"/>
        </w:rPr>
        <w:t>PETER J. PHILLIPS</w:t>
      </w:r>
      <w:r w:rsidR="00834E58" w:rsidRPr="000D53C0">
        <w:rPr>
          <w:rStyle w:val="FootnoteReference"/>
          <w:rFonts w:ascii="Times New Roman" w:hAnsi="Times New Roman" w:cs="Times New Roman"/>
          <w:b/>
          <w:sz w:val="20"/>
        </w:rPr>
        <w:footnoteReference w:customMarkFollows="1" w:id="1"/>
        <w:sym w:font="Symbol" w:char="F02A"/>
      </w:r>
      <w:r>
        <w:rPr>
          <w:rFonts w:ascii="Times New Roman" w:hAnsi="Times New Roman" w:cs="Times New Roman"/>
          <w:b/>
          <w:sz w:val="20"/>
        </w:rPr>
        <w:t xml:space="preserve"> and</w:t>
      </w:r>
      <w:r w:rsidRPr="000D53C0">
        <w:rPr>
          <w:rFonts w:ascii="Times New Roman" w:hAnsi="Times New Roman" w:cs="Times New Roman"/>
          <w:b/>
          <w:sz w:val="20"/>
        </w:rPr>
        <w:t xml:space="preserve"> GABRIELA POHL</w:t>
      </w:r>
    </w:p>
    <w:p w:rsidR="000D53C0" w:rsidRPr="000D53C0" w:rsidRDefault="000D53C0" w:rsidP="00BA142E">
      <w:pPr>
        <w:spacing w:after="0" w:line="360" w:lineRule="auto"/>
        <w:jc w:val="center"/>
        <w:rPr>
          <w:rFonts w:ascii="Times New Roman" w:eastAsia="Times New Roman" w:hAnsi="Times New Roman" w:cs="Times New Roman"/>
          <w:i/>
          <w:sz w:val="20"/>
          <w:szCs w:val="20"/>
          <w:lang w:bidi="en-US"/>
        </w:rPr>
      </w:pPr>
      <w:r w:rsidRPr="000D53C0">
        <w:rPr>
          <w:rFonts w:ascii="Times New Roman" w:eastAsia="Times New Roman" w:hAnsi="Times New Roman" w:cs="Times New Roman"/>
          <w:i/>
          <w:sz w:val="20"/>
          <w:szCs w:val="20"/>
          <w:lang w:bidi="en-US"/>
        </w:rPr>
        <w:t>University of Southern Queensland</w:t>
      </w:r>
    </w:p>
    <w:p w:rsidR="00BA142E" w:rsidRDefault="00BA142E" w:rsidP="00BA142E">
      <w:pPr>
        <w:spacing w:after="0" w:line="360" w:lineRule="auto"/>
        <w:jc w:val="center"/>
        <w:rPr>
          <w:rFonts w:ascii="Times New Roman" w:eastAsia="Times New Roman" w:hAnsi="Times New Roman" w:cs="Times New Roman"/>
          <w:sz w:val="20"/>
          <w:szCs w:val="20"/>
          <w:lang w:bidi="en-US"/>
        </w:rPr>
      </w:pPr>
    </w:p>
    <w:p w:rsidR="0015029D" w:rsidRPr="00BA142E" w:rsidRDefault="0015029D" w:rsidP="00BA142E">
      <w:pPr>
        <w:spacing w:after="0" w:line="360" w:lineRule="auto"/>
        <w:jc w:val="center"/>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Submitted No</w:t>
      </w:r>
      <w:r w:rsidR="00B13347">
        <w:rPr>
          <w:rFonts w:ascii="Times New Roman" w:eastAsia="Times New Roman" w:hAnsi="Times New Roman" w:cs="Times New Roman"/>
          <w:sz w:val="20"/>
          <w:szCs w:val="20"/>
          <w:lang w:bidi="en-US"/>
        </w:rPr>
        <w:t>vember 2012;</w:t>
      </w:r>
      <w:r w:rsidR="00880DD1">
        <w:rPr>
          <w:rFonts w:ascii="Times New Roman" w:eastAsia="Times New Roman" w:hAnsi="Times New Roman" w:cs="Times New Roman"/>
          <w:sz w:val="20"/>
          <w:szCs w:val="20"/>
          <w:lang w:bidi="en-US"/>
        </w:rPr>
        <w:t xml:space="preserve"> accepted March 2014</w:t>
      </w:r>
    </w:p>
    <w:p w:rsidR="002D785F" w:rsidRDefault="002D785F" w:rsidP="002D785F">
      <w:pPr>
        <w:spacing w:after="0" w:line="240" w:lineRule="auto"/>
        <w:ind w:right="1134"/>
        <w:jc w:val="both"/>
        <w:rPr>
          <w:rFonts w:ascii="Times New Roman" w:eastAsia="Times New Roman" w:hAnsi="Times New Roman" w:cs="Times New Roman"/>
          <w:sz w:val="18"/>
          <w:szCs w:val="24"/>
          <w:lang w:bidi="en-US"/>
        </w:rPr>
      </w:pPr>
    </w:p>
    <w:p w:rsidR="00BA142E" w:rsidRDefault="003E3655" w:rsidP="002D785F">
      <w:pPr>
        <w:spacing w:after="0" w:line="240" w:lineRule="auto"/>
        <w:jc w:val="both"/>
        <w:rPr>
          <w:rFonts w:ascii="Times New Roman" w:eastAsia="Times New Roman" w:hAnsi="Times New Roman" w:cs="Times New Roman"/>
          <w:sz w:val="18"/>
          <w:szCs w:val="24"/>
          <w:lang w:bidi="en-US"/>
        </w:rPr>
      </w:pPr>
      <w:r>
        <w:rPr>
          <w:rFonts w:ascii="Times New Roman" w:eastAsia="Times New Roman" w:hAnsi="Times New Roman" w:cs="Times New Roman"/>
          <w:sz w:val="18"/>
          <w:szCs w:val="24"/>
          <w:lang w:bidi="en-US"/>
        </w:rPr>
        <w:t>We study terrorist</w:t>
      </w:r>
      <w:r w:rsidR="00BA142E">
        <w:rPr>
          <w:rFonts w:ascii="Times New Roman" w:eastAsia="Times New Roman" w:hAnsi="Times New Roman" w:cs="Times New Roman"/>
          <w:sz w:val="18"/>
          <w:szCs w:val="24"/>
          <w:lang w:bidi="en-US"/>
        </w:rPr>
        <w:t xml:space="preserve"> choice</w:t>
      </w:r>
      <w:r w:rsidR="002958EA">
        <w:rPr>
          <w:rFonts w:ascii="Times New Roman" w:eastAsia="Times New Roman" w:hAnsi="Times New Roman" w:cs="Times New Roman"/>
          <w:sz w:val="18"/>
          <w:szCs w:val="24"/>
          <w:lang w:bidi="en-US"/>
        </w:rPr>
        <w:t xml:space="preserve"> from the perspective of economics and psychology</w:t>
      </w:r>
      <w:r w:rsidR="00BA142E">
        <w:rPr>
          <w:rFonts w:ascii="Times New Roman" w:eastAsia="Times New Roman" w:hAnsi="Times New Roman" w:cs="Times New Roman"/>
          <w:sz w:val="18"/>
          <w:szCs w:val="24"/>
          <w:lang w:bidi="en-US"/>
        </w:rPr>
        <w:t xml:space="preserve">. </w:t>
      </w:r>
      <w:r w:rsidR="00BA142E" w:rsidRPr="00BA142E">
        <w:rPr>
          <w:rFonts w:ascii="Times New Roman" w:eastAsia="Times New Roman" w:hAnsi="Times New Roman" w:cs="Times New Roman"/>
          <w:sz w:val="18"/>
          <w:szCs w:val="24"/>
          <w:lang w:bidi="en-US"/>
        </w:rPr>
        <w:t xml:space="preserve">Using RAND-MIPT data about the injuries and fatalities inflicted by different terrorist attack methods, we compute sets of preference orderings </w:t>
      </w:r>
      <w:r>
        <w:rPr>
          <w:rFonts w:ascii="Times New Roman" w:eastAsia="Times New Roman" w:hAnsi="Times New Roman" w:cs="Times New Roman"/>
          <w:sz w:val="18"/>
          <w:szCs w:val="24"/>
          <w:lang w:bidi="en-US"/>
        </w:rPr>
        <w:t xml:space="preserve">over </w:t>
      </w:r>
      <w:r w:rsidR="004B0136">
        <w:rPr>
          <w:rFonts w:ascii="Times New Roman" w:eastAsia="Times New Roman" w:hAnsi="Times New Roman" w:cs="Times New Roman"/>
          <w:sz w:val="18"/>
          <w:szCs w:val="24"/>
          <w:lang w:bidi="en-US"/>
        </w:rPr>
        <w:t>the</w:t>
      </w:r>
      <w:r>
        <w:rPr>
          <w:rFonts w:ascii="Times New Roman" w:eastAsia="Times New Roman" w:hAnsi="Times New Roman" w:cs="Times New Roman"/>
          <w:sz w:val="18"/>
          <w:szCs w:val="24"/>
          <w:lang w:bidi="en-US"/>
        </w:rPr>
        <w:t xml:space="preserve"> attack methods </w:t>
      </w:r>
      <w:r w:rsidR="00BA142E" w:rsidRPr="00BA142E">
        <w:rPr>
          <w:rFonts w:ascii="Times New Roman" w:eastAsia="Times New Roman" w:hAnsi="Times New Roman" w:cs="Times New Roman"/>
          <w:sz w:val="18"/>
          <w:szCs w:val="24"/>
          <w:lang w:bidi="en-US"/>
        </w:rPr>
        <w:t xml:space="preserve">using </w:t>
      </w:r>
      <w:r w:rsidR="00880DD1">
        <w:rPr>
          <w:rFonts w:ascii="Times New Roman" w:eastAsia="Times New Roman" w:hAnsi="Times New Roman" w:cs="Times New Roman"/>
          <w:sz w:val="18"/>
          <w:szCs w:val="24"/>
          <w:lang w:bidi="en-US"/>
        </w:rPr>
        <w:t>prospect theory</w:t>
      </w:r>
      <w:r w:rsidR="00BA142E" w:rsidRPr="00BA142E">
        <w:rPr>
          <w:rFonts w:ascii="Times New Roman" w:eastAsia="Times New Roman" w:hAnsi="Times New Roman" w:cs="Times New Roman"/>
          <w:sz w:val="18"/>
          <w:szCs w:val="24"/>
          <w:lang w:bidi="en-US"/>
        </w:rPr>
        <w:t>.</w:t>
      </w:r>
      <w:r w:rsidR="00BA142E">
        <w:rPr>
          <w:rFonts w:ascii="Times New Roman" w:eastAsia="Times New Roman" w:hAnsi="Times New Roman" w:cs="Times New Roman"/>
          <w:sz w:val="18"/>
          <w:szCs w:val="24"/>
          <w:lang w:bidi="en-US"/>
        </w:rPr>
        <w:t xml:space="preserve"> This incorporates </w:t>
      </w:r>
      <w:r w:rsidR="00BA142E" w:rsidRPr="00BA142E">
        <w:rPr>
          <w:rFonts w:ascii="Times New Roman" w:eastAsia="Times New Roman" w:hAnsi="Times New Roman" w:cs="Times New Roman"/>
          <w:sz w:val="18"/>
          <w:szCs w:val="24"/>
          <w:lang w:bidi="en-US"/>
        </w:rPr>
        <w:t>reference point dependence, risk seeking in the domain of losses, risk aversion in the domain of gains, non-linear preferences and loss aversion</w:t>
      </w:r>
      <w:r w:rsidR="00BA142E">
        <w:rPr>
          <w:rFonts w:ascii="Times New Roman" w:eastAsia="Times New Roman" w:hAnsi="Times New Roman" w:cs="Times New Roman"/>
          <w:sz w:val="18"/>
          <w:szCs w:val="24"/>
          <w:lang w:bidi="en-US"/>
        </w:rPr>
        <w:t xml:space="preserve"> into an analysis of terrorist behaviour. </w:t>
      </w:r>
      <w:r w:rsidR="00BA142E" w:rsidRPr="00BA142E">
        <w:rPr>
          <w:rFonts w:ascii="Times New Roman" w:eastAsia="Times New Roman" w:hAnsi="Times New Roman" w:cs="Times New Roman"/>
          <w:sz w:val="18"/>
          <w:szCs w:val="24"/>
          <w:lang w:bidi="en-US"/>
        </w:rPr>
        <w:t>We pay particular attention to the importance of a reference point</w:t>
      </w:r>
      <w:r w:rsidR="00BA142E">
        <w:rPr>
          <w:rFonts w:ascii="Times New Roman" w:eastAsia="Times New Roman" w:hAnsi="Times New Roman" w:cs="Times New Roman"/>
          <w:sz w:val="18"/>
          <w:szCs w:val="24"/>
          <w:lang w:bidi="en-US"/>
        </w:rPr>
        <w:t xml:space="preserve"> in the context of ‘copycat’ acts of violence</w:t>
      </w:r>
      <w:r w:rsidR="00BA142E" w:rsidRPr="00BA142E">
        <w:rPr>
          <w:rFonts w:ascii="Times New Roman" w:eastAsia="Times New Roman" w:hAnsi="Times New Roman" w:cs="Times New Roman"/>
          <w:sz w:val="18"/>
          <w:szCs w:val="24"/>
          <w:lang w:bidi="en-US"/>
        </w:rPr>
        <w:t xml:space="preserve"> and the influence of loss aversion on </w:t>
      </w:r>
      <w:r>
        <w:rPr>
          <w:rFonts w:ascii="Times New Roman" w:eastAsia="Times New Roman" w:hAnsi="Times New Roman" w:cs="Times New Roman"/>
          <w:sz w:val="18"/>
          <w:szCs w:val="24"/>
          <w:lang w:bidi="en-US"/>
        </w:rPr>
        <w:t>the</w:t>
      </w:r>
      <w:r w:rsidR="00EF3619">
        <w:rPr>
          <w:rFonts w:ascii="Times New Roman" w:eastAsia="Times New Roman" w:hAnsi="Times New Roman" w:cs="Times New Roman"/>
          <w:sz w:val="18"/>
          <w:szCs w:val="24"/>
          <w:lang w:bidi="en-US"/>
        </w:rPr>
        <w:t xml:space="preserve"> </w:t>
      </w:r>
      <w:r>
        <w:rPr>
          <w:rFonts w:ascii="Times New Roman" w:eastAsia="Times New Roman" w:hAnsi="Times New Roman" w:cs="Times New Roman"/>
          <w:sz w:val="18"/>
          <w:szCs w:val="24"/>
          <w:lang w:bidi="en-US"/>
        </w:rPr>
        <w:t>choice of attack method</w:t>
      </w:r>
      <w:r w:rsidR="00BA142E" w:rsidRPr="00BA142E">
        <w:rPr>
          <w:rFonts w:ascii="Times New Roman" w:eastAsia="Times New Roman" w:hAnsi="Times New Roman" w:cs="Times New Roman"/>
          <w:sz w:val="18"/>
          <w:szCs w:val="24"/>
          <w:lang w:bidi="en-US"/>
        </w:rPr>
        <w:t>.</w:t>
      </w:r>
      <w:r w:rsidR="003F4470">
        <w:rPr>
          <w:rFonts w:ascii="Times New Roman" w:eastAsia="Times New Roman" w:hAnsi="Times New Roman" w:cs="Times New Roman"/>
          <w:sz w:val="18"/>
          <w:szCs w:val="24"/>
          <w:lang w:bidi="en-US"/>
        </w:rPr>
        <w:t xml:space="preserve"> Our results provide an indication of the types of attack methods that would be chosen by a terrorist whose decision-making process is described by prospect theory</w:t>
      </w:r>
      <w:r w:rsidR="00EF3619">
        <w:rPr>
          <w:rFonts w:ascii="Times New Roman" w:eastAsia="Times New Roman" w:hAnsi="Times New Roman" w:cs="Times New Roman"/>
          <w:sz w:val="18"/>
          <w:szCs w:val="24"/>
          <w:lang w:bidi="en-US"/>
        </w:rPr>
        <w:t xml:space="preserve"> and who might, for example, seek to emulate or surpass the actions of a predecessor</w:t>
      </w:r>
      <w:r w:rsidR="003F4470">
        <w:rPr>
          <w:rFonts w:ascii="Times New Roman" w:eastAsia="Times New Roman" w:hAnsi="Times New Roman" w:cs="Times New Roman"/>
          <w:sz w:val="18"/>
          <w:szCs w:val="24"/>
          <w:lang w:bidi="en-US"/>
        </w:rPr>
        <w:t>.</w:t>
      </w:r>
    </w:p>
    <w:p w:rsidR="002D785F" w:rsidRDefault="002D785F" w:rsidP="002D785F">
      <w:pPr>
        <w:spacing w:after="0" w:line="240" w:lineRule="auto"/>
        <w:ind w:right="1134"/>
        <w:jc w:val="both"/>
        <w:rPr>
          <w:rFonts w:ascii="Times New Roman" w:eastAsia="Times New Roman" w:hAnsi="Times New Roman" w:cs="Times New Roman"/>
          <w:sz w:val="18"/>
          <w:szCs w:val="24"/>
          <w:lang w:bidi="en-US"/>
        </w:rPr>
      </w:pPr>
    </w:p>
    <w:p w:rsidR="002D785F" w:rsidRDefault="002D785F" w:rsidP="002D785F">
      <w:pPr>
        <w:spacing w:after="0" w:line="240" w:lineRule="auto"/>
        <w:ind w:right="1134"/>
        <w:jc w:val="both"/>
        <w:rPr>
          <w:rFonts w:ascii="Times New Roman" w:eastAsia="Times New Roman" w:hAnsi="Times New Roman" w:cs="Times New Roman"/>
          <w:sz w:val="18"/>
          <w:szCs w:val="24"/>
          <w:lang w:bidi="en-US"/>
        </w:rPr>
      </w:pPr>
      <w:r>
        <w:rPr>
          <w:rFonts w:ascii="Times New Roman" w:eastAsia="Times New Roman" w:hAnsi="Times New Roman" w:cs="Times New Roman"/>
          <w:i/>
          <w:sz w:val="18"/>
          <w:szCs w:val="24"/>
          <w:lang w:bidi="en-US"/>
        </w:rPr>
        <w:t>JEL classification c</w:t>
      </w:r>
      <w:r w:rsidR="0015029D" w:rsidRPr="0015029D">
        <w:rPr>
          <w:rFonts w:ascii="Times New Roman" w:eastAsia="Times New Roman" w:hAnsi="Times New Roman" w:cs="Times New Roman"/>
          <w:i/>
          <w:sz w:val="18"/>
          <w:szCs w:val="24"/>
          <w:lang w:bidi="en-US"/>
        </w:rPr>
        <w:t xml:space="preserve">odes: </w:t>
      </w:r>
      <w:r w:rsidR="0015029D">
        <w:rPr>
          <w:rFonts w:ascii="Times New Roman" w:eastAsia="Times New Roman" w:hAnsi="Times New Roman" w:cs="Times New Roman"/>
          <w:sz w:val="18"/>
          <w:szCs w:val="24"/>
          <w:lang w:bidi="en-US"/>
        </w:rPr>
        <w:t>D</w:t>
      </w:r>
      <w:r>
        <w:rPr>
          <w:rFonts w:ascii="Times New Roman" w:eastAsia="Times New Roman" w:hAnsi="Times New Roman" w:cs="Times New Roman"/>
          <w:sz w:val="18"/>
          <w:szCs w:val="24"/>
          <w:lang w:bidi="en-US"/>
        </w:rPr>
        <w:t>03, D</w:t>
      </w:r>
      <w:r w:rsidR="0015029D">
        <w:rPr>
          <w:rFonts w:ascii="Times New Roman" w:eastAsia="Times New Roman" w:hAnsi="Times New Roman" w:cs="Times New Roman"/>
          <w:sz w:val="18"/>
          <w:szCs w:val="24"/>
          <w:lang w:bidi="en-US"/>
        </w:rPr>
        <w:t>74, H56</w:t>
      </w:r>
      <w:r>
        <w:rPr>
          <w:rFonts w:ascii="Times New Roman" w:eastAsia="Times New Roman" w:hAnsi="Times New Roman" w:cs="Times New Roman"/>
          <w:sz w:val="18"/>
          <w:szCs w:val="24"/>
          <w:lang w:bidi="en-US"/>
        </w:rPr>
        <w:t>, K42</w:t>
      </w:r>
    </w:p>
    <w:p w:rsidR="00BA142E" w:rsidRPr="002D785F" w:rsidRDefault="002D785F" w:rsidP="002D785F">
      <w:pPr>
        <w:spacing w:after="0" w:line="240" w:lineRule="auto"/>
        <w:ind w:right="1134"/>
        <w:jc w:val="both"/>
        <w:rPr>
          <w:rFonts w:ascii="Times New Roman" w:eastAsia="Times New Roman" w:hAnsi="Times New Roman" w:cs="Times New Roman"/>
          <w:sz w:val="18"/>
          <w:szCs w:val="24"/>
          <w:lang w:bidi="en-US"/>
        </w:rPr>
      </w:pPr>
      <w:r>
        <w:rPr>
          <w:rFonts w:ascii="Times New Roman" w:eastAsia="Times New Roman" w:hAnsi="Times New Roman" w:cs="Times New Roman"/>
          <w:i/>
          <w:sz w:val="18"/>
          <w:szCs w:val="24"/>
          <w:lang w:bidi="en-US"/>
        </w:rPr>
        <w:t>Key w</w:t>
      </w:r>
      <w:r w:rsidR="00BA142E" w:rsidRPr="002D785F">
        <w:rPr>
          <w:rFonts w:ascii="Times New Roman" w:eastAsia="Times New Roman" w:hAnsi="Times New Roman" w:cs="Times New Roman"/>
          <w:i/>
          <w:sz w:val="18"/>
          <w:szCs w:val="24"/>
          <w:lang w:bidi="en-US"/>
        </w:rPr>
        <w:t>ords:</w:t>
      </w:r>
      <w:r>
        <w:rPr>
          <w:rFonts w:ascii="Times New Roman" w:eastAsia="Times New Roman" w:hAnsi="Times New Roman" w:cs="Times New Roman"/>
          <w:sz w:val="18"/>
          <w:szCs w:val="24"/>
          <w:lang w:bidi="en-US"/>
        </w:rPr>
        <w:t xml:space="preserve"> p</w:t>
      </w:r>
      <w:r w:rsidR="00BA142E" w:rsidRPr="00BA142E">
        <w:rPr>
          <w:rFonts w:ascii="Times New Roman" w:eastAsia="Times New Roman" w:hAnsi="Times New Roman" w:cs="Times New Roman"/>
          <w:sz w:val="18"/>
          <w:szCs w:val="24"/>
          <w:lang w:bidi="en-US"/>
        </w:rPr>
        <w:t>rospec</w:t>
      </w:r>
      <w:r>
        <w:rPr>
          <w:rFonts w:ascii="Times New Roman" w:eastAsia="Times New Roman" w:hAnsi="Times New Roman" w:cs="Times New Roman"/>
          <w:sz w:val="18"/>
          <w:szCs w:val="24"/>
          <w:lang w:bidi="en-US"/>
        </w:rPr>
        <w:t>t theory, terrorism, terrorist choice, copycat acts</w:t>
      </w:r>
    </w:p>
    <w:p w:rsidR="00EF3619" w:rsidRDefault="00EF3619" w:rsidP="0040227B">
      <w:pPr>
        <w:spacing w:after="0" w:line="480" w:lineRule="auto"/>
        <w:jc w:val="both"/>
        <w:rPr>
          <w:rFonts w:ascii="Times New Roman" w:hAnsi="Times New Roman" w:cs="Times New Roman"/>
          <w:sz w:val="20"/>
        </w:rPr>
      </w:pPr>
    </w:p>
    <w:p w:rsidR="0057028A" w:rsidRPr="0040227B" w:rsidRDefault="002D785F" w:rsidP="0040227B">
      <w:pPr>
        <w:spacing w:after="0" w:line="480" w:lineRule="auto"/>
        <w:jc w:val="both"/>
        <w:rPr>
          <w:rFonts w:ascii="Times New Roman" w:hAnsi="Times New Roman" w:cs="Times New Roman"/>
          <w:b/>
          <w:sz w:val="20"/>
          <w:szCs w:val="20"/>
        </w:rPr>
      </w:pPr>
      <w:r w:rsidRPr="0040227B">
        <w:rPr>
          <w:rFonts w:ascii="Times New Roman" w:hAnsi="Times New Roman" w:cs="Times New Roman"/>
          <w:b/>
          <w:sz w:val="20"/>
          <w:szCs w:val="20"/>
        </w:rPr>
        <w:t>I</w:t>
      </w:r>
      <w:r w:rsidR="0057028A" w:rsidRPr="0040227B">
        <w:rPr>
          <w:rFonts w:ascii="Times New Roman" w:hAnsi="Times New Roman" w:cs="Times New Roman"/>
          <w:b/>
          <w:sz w:val="20"/>
          <w:szCs w:val="20"/>
        </w:rPr>
        <w:t>. Introduction</w:t>
      </w:r>
    </w:p>
    <w:p w:rsidR="0057028A" w:rsidRPr="0040227B" w:rsidRDefault="0057028A" w:rsidP="0040227B">
      <w:pPr>
        <w:spacing w:after="0" w:line="480" w:lineRule="auto"/>
        <w:jc w:val="both"/>
        <w:rPr>
          <w:rFonts w:ascii="Times New Roman" w:hAnsi="Times New Roman" w:cs="Times New Roman"/>
          <w:sz w:val="20"/>
          <w:szCs w:val="20"/>
        </w:rPr>
      </w:pPr>
    </w:p>
    <w:p w:rsidR="00B415B9" w:rsidRPr="0040227B" w:rsidRDefault="00AB584F" w:rsidP="0040227B">
      <w:pPr>
        <w:spacing w:after="0" w:line="480" w:lineRule="auto"/>
        <w:jc w:val="both"/>
        <w:rPr>
          <w:rFonts w:ascii="Times New Roman" w:eastAsia="Times New Roman" w:hAnsi="Times New Roman" w:cs="Times New Roman"/>
          <w:sz w:val="20"/>
          <w:szCs w:val="20"/>
          <w:lang w:bidi="en-US"/>
        </w:rPr>
      </w:pPr>
      <w:r w:rsidRPr="0040227B">
        <w:rPr>
          <w:rFonts w:ascii="Times New Roman" w:hAnsi="Times New Roman" w:cs="Times New Roman"/>
          <w:sz w:val="20"/>
          <w:szCs w:val="20"/>
        </w:rPr>
        <w:t>‘Terrorism studies’ is a multidisciplinar</w:t>
      </w:r>
      <w:r w:rsidR="008E7C93" w:rsidRPr="0040227B">
        <w:rPr>
          <w:rFonts w:ascii="Times New Roman" w:hAnsi="Times New Roman" w:cs="Times New Roman"/>
          <w:sz w:val="20"/>
          <w:szCs w:val="20"/>
        </w:rPr>
        <w:t>y research program encompassing economics</w:t>
      </w:r>
      <w:r w:rsidRPr="0040227B">
        <w:rPr>
          <w:rFonts w:ascii="Times New Roman" w:eastAsia="Times New Roman" w:hAnsi="Times New Roman" w:cs="Times New Roman"/>
          <w:sz w:val="20"/>
          <w:szCs w:val="20"/>
          <w:lang w:bidi="en-US"/>
        </w:rPr>
        <w:t xml:space="preserve"> (</w:t>
      </w:r>
      <w:proofErr w:type="spellStart"/>
      <w:r w:rsidRPr="0040227B">
        <w:rPr>
          <w:rFonts w:ascii="Times New Roman" w:eastAsia="Times New Roman" w:hAnsi="Times New Roman" w:cs="Times New Roman"/>
          <w:sz w:val="20"/>
          <w:szCs w:val="20"/>
          <w:lang w:bidi="en-US"/>
        </w:rPr>
        <w:t>Landes</w:t>
      </w:r>
      <w:proofErr w:type="spellEnd"/>
      <w:r w:rsidRPr="0040227B">
        <w:rPr>
          <w:rFonts w:ascii="Times New Roman" w:eastAsia="Times New Roman" w:hAnsi="Times New Roman" w:cs="Times New Roman"/>
          <w:sz w:val="20"/>
          <w:szCs w:val="20"/>
          <w:lang w:bidi="en-US"/>
        </w:rPr>
        <w:t xml:space="preserve"> 1978, Sandler et al. 1983, </w:t>
      </w:r>
      <w:proofErr w:type="spellStart"/>
      <w:r w:rsidRPr="0040227B">
        <w:rPr>
          <w:rFonts w:ascii="Times New Roman" w:eastAsia="Times New Roman" w:hAnsi="Times New Roman" w:cs="Times New Roman"/>
          <w:sz w:val="20"/>
          <w:szCs w:val="20"/>
          <w:lang w:bidi="en-US"/>
        </w:rPr>
        <w:t>Im</w:t>
      </w:r>
      <w:proofErr w:type="spellEnd"/>
      <w:r w:rsidRPr="0040227B">
        <w:rPr>
          <w:rFonts w:ascii="Times New Roman" w:eastAsia="Times New Roman" w:hAnsi="Times New Roman" w:cs="Times New Roman"/>
          <w:sz w:val="20"/>
          <w:szCs w:val="20"/>
          <w:lang w:bidi="en-US"/>
        </w:rPr>
        <w:t xml:space="preserve"> et al. 1987, Enders et al. 1992, Enders and Sandler 2002, Frey and </w:t>
      </w:r>
      <w:proofErr w:type="spellStart"/>
      <w:r w:rsidRPr="0040227B">
        <w:rPr>
          <w:rFonts w:ascii="Times New Roman" w:eastAsia="Times New Roman" w:hAnsi="Times New Roman" w:cs="Times New Roman"/>
          <w:sz w:val="20"/>
          <w:szCs w:val="20"/>
          <w:lang w:bidi="en-US"/>
        </w:rPr>
        <w:t>Leuchinger</w:t>
      </w:r>
      <w:proofErr w:type="spellEnd"/>
      <w:r w:rsidRPr="0040227B">
        <w:rPr>
          <w:rFonts w:ascii="Times New Roman" w:eastAsia="Times New Roman" w:hAnsi="Times New Roman" w:cs="Times New Roman"/>
          <w:sz w:val="20"/>
          <w:szCs w:val="20"/>
          <w:lang w:bidi="en-US"/>
        </w:rPr>
        <w:t xml:space="preserve"> 2003, Sandler and Arce 2003, Sandler and Enders 2004, </w:t>
      </w:r>
      <w:proofErr w:type="spellStart"/>
      <w:r w:rsidRPr="0040227B">
        <w:rPr>
          <w:rFonts w:ascii="Times New Roman" w:eastAsia="Times New Roman" w:hAnsi="Times New Roman" w:cs="Times New Roman"/>
          <w:sz w:val="20"/>
          <w:szCs w:val="20"/>
          <w:lang w:bidi="en-US"/>
        </w:rPr>
        <w:t>Siqueira</w:t>
      </w:r>
      <w:proofErr w:type="spellEnd"/>
      <w:r w:rsidRPr="0040227B">
        <w:rPr>
          <w:rFonts w:ascii="Times New Roman" w:eastAsia="Times New Roman" w:hAnsi="Times New Roman" w:cs="Times New Roman"/>
          <w:sz w:val="20"/>
          <w:szCs w:val="20"/>
          <w:lang w:bidi="en-US"/>
        </w:rPr>
        <w:t xml:space="preserve"> and Sandler 2006, </w:t>
      </w:r>
      <w:r w:rsidR="00E41A3B" w:rsidRPr="0040227B">
        <w:rPr>
          <w:rFonts w:ascii="Times New Roman" w:hAnsi="Times New Roman" w:cs="Times New Roman"/>
          <w:sz w:val="20"/>
          <w:szCs w:val="20"/>
        </w:rPr>
        <w:t xml:space="preserve">Barros, </w:t>
      </w:r>
      <w:proofErr w:type="spellStart"/>
      <w:r w:rsidR="00E41A3B" w:rsidRPr="0040227B">
        <w:rPr>
          <w:rFonts w:ascii="Times New Roman" w:hAnsi="Times New Roman" w:cs="Times New Roman"/>
          <w:sz w:val="20"/>
          <w:szCs w:val="20"/>
        </w:rPr>
        <w:t>Proenca</w:t>
      </w:r>
      <w:proofErr w:type="spellEnd"/>
      <w:r w:rsidR="00E41A3B" w:rsidRPr="0040227B">
        <w:rPr>
          <w:rFonts w:ascii="Times New Roman" w:hAnsi="Times New Roman" w:cs="Times New Roman"/>
          <w:sz w:val="20"/>
          <w:szCs w:val="20"/>
        </w:rPr>
        <w:t xml:space="preserve">, </w:t>
      </w:r>
      <w:proofErr w:type="spellStart"/>
      <w:r w:rsidR="00E41A3B" w:rsidRPr="0040227B">
        <w:rPr>
          <w:rFonts w:ascii="Times New Roman" w:hAnsi="Times New Roman" w:cs="Times New Roman"/>
          <w:sz w:val="20"/>
          <w:szCs w:val="20"/>
        </w:rPr>
        <w:t>Faria</w:t>
      </w:r>
      <w:proofErr w:type="spellEnd"/>
      <w:r w:rsidR="00E41A3B" w:rsidRPr="0040227B">
        <w:rPr>
          <w:rFonts w:ascii="Times New Roman" w:hAnsi="Times New Roman" w:cs="Times New Roman"/>
          <w:sz w:val="20"/>
          <w:szCs w:val="20"/>
        </w:rPr>
        <w:t xml:space="preserve"> and Gil-Alana 2007, </w:t>
      </w:r>
      <w:proofErr w:type="spellStart"/>
      <w:r w:rsidRPr="0040227B">
        <w:rPr>
          <w:rFonts w:ascii="Times New Roman" w:eastAsia="Times New Roman" w:hAnsi="Times New Roman" w:cs="Times New Roman"/>
          <w:sz w:val="20"/>
          <w:szCs w:val="20"/>
          <w:lang w:bidi="en-US"/>
        </w:rPr>
        <w:t>Llussa</w:t>
      </w:r>
      <w:proofErr w:type="spellEnd"/>
      <w:r w:rsidRPr="0040227B">
        <w:rPr>
          <w:rFonts w:ascii="Times New Roman" w:eastAsia="Times New Roman" w:hAnsi="Times New Roman" w:cs="Times New Roman"/>
          <w:sz w:val="20"/>
          <w:szCs w:val="20"/>
          <w:lang w:bidi="en-US"/>
        </w:rPr>
        <w:t xml:space="preserve"> and Tavares 2008, Phillips 2009, </w:t>
      </w:r>
      <w:r w:rsidR="00E41A3B" w:rsidRPr="0040227B">
        <w:rPr>
          <w:rFonts w:ascii="Times New Roman" w:hAnsi="Times New Roman" w:cs="Times New Roman"/>
          <w:sz w:val="20"/>
          <w:szCs w:val="20"/>
        </w:rPr>
        <w:t xml:space="preserve">Brandt and Sandler 2010, </w:t>
      </w:r>
      <w:r w:rsidRPr="0040227B">
        <w:rPr>
          <w:rFonts w:ascii="Times New Roman" w:eastAsia="Times New Roman" w:hAnsi="Times New Roman" w:cs="Times New Roman"/>
          <w:sz w:val="20"/>
          <w:szCs w:val="20"/>
          <w:lang w:bidi="en-US"/>
        </w:rPr>
        <w:t xml:space="preserve">Schneider et al. 2010, </w:t>
      </w:r>
      <w:proofErr w:type="spellStart"/>
      <w:r w:rsidRPr="0040227B">
        <w:rPr>
          <w:rFonts w:ascii="Times New Roman" w:eastAsia="Times New Roman" w:hAnsi="Times New Roman" w:cs="Times New Roman"/>
          <w:sz w:val="20"/>
          <w:szCs w:val="20"/>
          <w:lang w:bidi="en-US"/>
        </w:rPr>
        <w:t>Kollias</w:t>
      </w:r>
      <w:proofErr w:type="spellEnd"/>
      <w:r w:rsidRPr="0040227B">
        <w:rPr>
          <w:rFonts w:ascii="Times New Roman" w:eastAsia="Times New Roman" w:hAnsi="Times New Roman" w:cs="Times New Roman"/>
          <w:sz w:val="20"/>
          <w:szCs w:val="20"/>
          <w:lang w:bidi="en-US"/>
        </w:rPr>
        <w:t xml:space="preserve"> et al. 2011; Freytag et al. 2011 </w:t>
      </w:r>
      <w:proofErr w:type="spellStart"/>
      <w:r w:rsidRPr="0040227B">
        <w:rPr>
          <w:rFonts w:ascii="Times New Roman" w:eastAsia="Times New Roman" w:hAnsi="Times New Roman" w:cs="Times New Roman"/>
          <w:sz w:val="20"/>
          <w:szCs w:val="20"/>
          <w:lang w:bidi="en-US"/>
        </w:rPr>
        <w:t>Kis-Katos</w:t>
      </w:r>
      <w:proofErr w:type="spellEnd"/>
      <w:r w:rsidRPr="0040227B">
        <w:rPr>
          <w:rFonts w:ascii="Times New Roman" w:eastAsia="Times New Roman" w:hAnsi="Times New Roman" w:cs="Times New Roman"/>
          <w:sz w:val="20"/>
          <w:szCs w:val="20"/>
          <w:lang w:bidi="en-US"/>
        </w:rPr>
        <w:t xml:space="preserve"> et al. 2011</w:t>
      </w:r>
      <w:r w:rsidR="00E41A3B" w:rsidRPr="0040227B">
        <w:rPr>
          <w:rFonts w:ascii="Times New Roman" w:eastAsia="Times New Roman" w:hAnsi="Times New Roman" w:cs="Times New Roman"/>
          <w:sz w:val="20"/>
          <w:szCs w:val="20"/>
          <w:lang w:bidi="en-US"/>
        </w:rPr>
        <w:t>,</w:t>
      </w:r>
      <w:r w:rsidR="00E41A3B" w:rsidRPr="0040227B">
        <w:rPr>
          <w:rFonts w:ascii="Times New Roman" w:hAnsi="Times New Roman" w:cs="Times New Roman"/>
          <w:sz w:val="20"/>
          <w:szCs w:val="20"/>
        </w:rPr>
        <w:t xml:space="preserve"> </w:t>
      </w:r>
      <w:proofErr w:type="spellStart"/>
      <w:r w:rsidR="00E41A3B" w:rsidRPr="0040227B">
        <w:rPr>
          <w:rFonts w:ascii="Times New Roman" w:hAnsi="Times New Roman" w:cs="Times New Roman"/>
          <w:sz w:val="20"/>
          <w:szCs w:val="20"/>
        </w:rPr>
        <w:t>Santifort</w:t>
      </w:r>
      <w:proofErr w:type="spellEnd"/>
      <w:r w:rsidR="00E41A3B" w:rsidRPr="0040227B">
        <w:rPr>
          <w:rFonts w:ascii="Times New Roman" w:hAnsi="Times New Roman" w:cs="Times New Roman"/>
          <w:sz w:val="20"/>
          <w:szCs w:val="20"/>
        </w:rPr>
        <w:t>, Sandler and Brandt 2013</w:t>
      </w:r>
      <w:r w:rsidRPr="0040227B">
        <w:rPr>
          <w:rFonts w:ascii="Times New Roman" w:eastAsia="Times New Roman" w:hAnsi="Times New Roman" w:cs="Times New Roman"/>
          <w:sz w:val="20"/>
          <w:szCs w:val="20"/>
          <w:lang w:bidi="en-US"/>
        </w:rPr>
        <w:t xml:space="preserve">), </w:t>
      </w:r>
      <w:r w:rsidR="008E7C93" w:rsidRPr="0040227B">
        <w:rPr>
          <w:rFonts w:ascii="Times New Roman" w:eastAsia="Times New Roman" w:hAnsi="Times New Roman" w:cs="Times New Roman"/>
          <w:sz w:val="20"/>
          <w:szCs w:val="20"/>
          <w:lang w:bidi="en-US"/>
        </w:rPr>
        <w:t>psychology</w:t>
      </w:r>
      <w:r w:rsidRPr="0040227B">
        <w:rPr>
          <w:rFonts w:ascii="Times New Roman" w:eastAsia="Times New Roman" w:hAnsi="Times New Roman" w:cs="Times New Roman"/>
          <w:sz w:val="20"/>
          <w:szCs w:val="20"/>
          <w:lang w:bidi="en-US"/>
        </w:rPr>
        <w:t xml:space="preserve"> (</w:t>
      </w:r>
      <w:proofErr w:type="spellStart"/>
      <w:r w:rsidR="00E41A3B" w:rsidRPr="0040227B">
        <w:rPr>
          <w:rFonts w:ascii="Times New Roman" w:eastAsia="Times New Roman" w:hAnsi="Times New Roman" w:cs="Times New Roman"/>
          <w:sz w:val="20"/>
          <w:szCs w:val="20"/>
          <w:lang w:bidi="en-US"/>
        </w:rPr>
        <w:t>Victoroff</w:t>
      </w:r>
      <w:proofErr w:type="spellEnd"/>
      <w:r w:rsidR="00E41A3B" w:rsidRPr="0040227B">
        <w:rPr>
          <w:rFonts w:ascii="Times New Roman" w:eastAsia="Times New Roman" w:hAnsi="Times New Roman" w:cs="Times New Roman"/>
          <w:sz w:val="20"/>
          <w:szCs w:val="20"/>
          <w:lang w:bidi="en-US"/>
        </w:rPr>
        <w:t xml:space="preserve"> 2005</w:t>
      </w:r>
      <w:r w:rsidR="008E7C93" w:rsidRPr="0040227B">
        <w:rPr>
          <w:rFonts w:ascii="Times New Roman" w:eastAsia="Times New Roman" w:hAnsi="Times New Roman" w:cs="Times New Roman"/>
          <w:sz w:val="20"/>
          <w:szCs w:val="20"/>
          <w:lang w:bidi="en-US"/>
        </w:rPr>
        <w:t>), sociology</w:t>
      </w:r>
      <w:r w:rsidRPr="0040227B">
        <w:rPr>
          <w:rFonts w:ascii="Times New Roman" w:eastAsia="Times New Roman" w:hAnsi="Times New Roman" w:cs="Times New Roman"/>
          <w:sz w:val="20"/>
          <w:szCs w:val="20"/>
          <w:lang w:bidi="en-US"/>
        </w:rPr>
        <w:t xml:space="preserve"> (Turk 2004), </w:t>
      </w:r>
      <w:r w:rsidR="008E7C93" w:rsidRPr="0040227B">
        <w:rPr>
          <w:rFonts w:ascii="Times New Roman" w:eastAsia="Times New Roman" w:hAnsi="Times New Roman" w:cs="Times New Roman"/>
          <w:sz w:val="20"/>
          <w:szCs w:val="20"/>
          <w:lang w:bidi="en-US"/>
        </w:rPr>
        <w:t>critical studies</w:t>
      </w:r>
      <w:r w:rsidRPr="0040227B">
        <w:rPr>
          <w:rFonts w:ascii="Times New Roman" w:eastAsia="Times New Roman" w:hAnsi="Times New Roman" w:cs="Times New Roman"/>
          <w:sz w:val="20"/>
          <w:szCs w:val="20"/>
          <w:lang w:bidi="en-US"/>
        </w:rPr>
        <w:t xml:space="preserve"> (Jarvis 2009) and </w:t>
      </w:r>
      <w:r w:rsidR="008E7C93" w:rsidRPr="0040227B">
        <w:rPr>
          <w:rFonts w:ascii="Times New Roman" w:eastAsia="Times New Roman" w:hAnsi="Times New Roman" w:cs="Times New Roman"/>
          <w:sz w:val="20"/>
          <w:szCs w:val="20"/>
          <w:lang w:bidi="en-US"/>
        </w:rPr>
        <w:t>political science</w:t>
      </w:r>
      <w:r w:rsidRPr="0040227B">
        <w:rPr>
          <w:rFonts w:ascii="Times New Roman" w:eastAsia="Times New Roman" w:hAnsi="Times New Roman" w:cs="Times New Roman"/>
          <w:sz w:val="20"/>
          <w:szCs w:val="20"/>
          <w:lang w:bidi="en-US"/>
        </w:rPr>
        <w:t xml:space="preserve"> (</w:t>
      </w:r>
      <w:r w:rsidR="00E41A3B" w:rsidRPr="0040227B">
        <w:rPr>
          <w:rFonts w:ascii="Times New Roman" w:eastAsia="Times New Roman" w:hAnsi="Times New Roman" w:cs="Times New Roman"/>
          <w:sz w:val="20"/>
          <w:szCs w:val="20"/>
          <w:lang w:bidi="en-US"/>
        </w:rPr>
        <w:t xml:space="preserve">Crenshaw 1981, </w:t>
      </w:r>
      <w:proofErr w:type="spellStart"/>
      <w:r w:rsidR="00E41A3B" w:rsidRPr="0040227B">
        <w:rPr>
          <w:rFonts w:ascii="Times New Roman" w:eastAsia="Times New Roman" w:hAnsi="Times New Roman" w:cs="Times New Roman"/>
          <w:sz w:val="20"/>
          <w:szCs w:val="20"/>
          <w:lang w:bidi="en-US"/>
        </w:rPr>
        <w:t>Pape</w:t>
      </w:r>
      <w:proofErr w:type="spellEnd"/>
      <w:r w:rsidR="00E41A3B" w:rsidRPr="0040227B">
        <w:rPr>
          <w:rFonts w:ascii="Times New Roman" w:eastAsia="Times New Roman" w:hAnsi="Times New Roman" w:cs="Times New Roman"/>
          <w:sz w:val="20"/>
          <w:szCs w:val="20"/>
          <w:lang w:bidi="en-US"/>
        </w:rPr>
        <w:t xml:space="preserve"> 2003 and 2005, </w:t>
      </w:r>
      <w:r w:rsidRPr="0040227B">
        <w:rPr>
          <w:rFonts w:ascii="Times New Roman" w:eastAsia="Times New Roman" w:hAnsi="Times New Roman" w:cs="Times New Roman"/>
          <w:sz w:val="20"/>
          <w:szCs w:val="20"/>
          <w:lang w:bidi="en-US"/>
        </w:rPr>
        <w:t>Cronin 2006, H</w:t>
      </w:r>
      <w:r w:rsidR="00E41A3B" w:rsidRPr="0040227B">
        <w:rPr>
          <w:rFonts w:ascii="Times New Roman" w:eastAsia="Times New Roman" w:hAnsi="Times New Roman" w:cs="Times New Roman"/>
          <w:sz w:val="20"/>
          <w:szCs w:val="20"/>
          <w:lang w:bidi="en-US"/>
        </w:rPr>
        <w:t xml:space="preserve">offman 2006 and </w:t>
      </w:r>
      <w:proofErr w:type="spellStart"/>
      <w:r w:rsidR="00E41A3B" w:rsidRPr="0040227B">
        <w:rPr>
          <w:rFonts w:ascii="Times New Roman" w:eastAsia="Times New Roman" w:hAnsi="Times New Roman" w:cs="Times New Roman"/>
          <w:sz w:val="20"/>
          <w:szCs w:val="20"/>
          <w:lang w:bidi="en-US"/>
        </w:rPr>
        <w:t>Abrahms</w:t>
      </w:r>
      <w:proofErr w:type="spellEnd"/>
      <w:r w:rsidR="00E41A3B" w:rsidRPr="0040227B">
        <w:rPr>
          <w:rFonts w:ascii="Times New Roman" w:eastAsia="Times New Roman" w:hAnsi="Times New Roman" w:cs="Times New Roman"/>
          <w:sz w:val="20"/>
          <w:szCs w:val="20"/>
          <w:lang w:bidi="en-US"/>
        </w:rPr>
        <w:t xml:space="preserve"> 2006, 2008, 2011</w:t>
      </w:r>
      <w:r w:rsidRPr="0040227B">
        <w:rPr>
          <w:rFonts w:ascii="Times New Roman" w:eastAsia="Times New Roman" w:hAnsi="Times New Roman" w:cs="Times New Roman"/>
          <w:sz w:val="20"/>
          <w:szCs w:val="20"/>
          <w:lang w:bidi="en-US"/>
        </w:rPr>
        <w:t xml:space="preserve">). </w:t>
      </w:r>
      <w:r w:rsidR="00E41A3B" w:rsidRPr="0040227B">
        <w:rPr>
          <w:rFonts w:ascii="Times New Roman" w:eastAsia="Times New Roman" w:hAnsi="Times New Roman" w:cs="Times New Roman"/>
          <w:sz w:val="20"/>
          <w:szCs w:val="20"/>
          <w:lang w:bidi="en-US"/>
        </w:rPr>
        <w:t xml:space="preserve">Recent surveys of the economic analysis of terrorism have been undertaken by </w:t>
      </w:r>
      <w:proofErr w:type="spellStart"/>
      <w:r w:rsidR="00E41A3B" w:rsidRPr="0040227B">
        <w:rPr>
          <w:rFonts w:ascii="Times New Roman" w:eastAsia="Times New Roman" w:hAnsi="Times New Roman" w:cs="Times New Roman"/>
          <w:sz w:val="20"/>
          <w:szCs w:val="20"/>
          <w:lang w:bidi="en-US"/>
        </w:rPr>
        <w:t>Intriligator</w:t>
      </w:r>
      <w:proofErr w:type="spellEnd"/>
      <w:r w:rsidR="00E41A3B" w:rsidRPr="0040227B">
        <w:rPr>
          <w:rFonts w:ascii="Times New Roman" w:eastAsia="Times New Roman" w:hAnsi="Times New Roman" w:cs="Times New Roman"/>
          <w:sz w:val="20"/>
          <w:szCs w:val="20"/>
          <w:lang w:bidi="en-US"/>
        </w:rPr>
        <w:t xml:space="preserve"> (2010) and Sandler (2011).</w:t>
      </w:r>
      <w:r w:rsidR="009B391C" w:rsidRPr="0040227B">
        <w:rPr>
          <w:rFonts w:ascii="Times New Roman" w:eastAsia="Times New Roman" w:hAnsi="Times New Roman" w:cs="Times New Roman"/>
          <w:sz w:val="20"/>
          <w:szCs w:val="20"/>
          <w:lang w:bidi="en-US"/>
        </w:rPr>
        <w:t xml:space="preserve"> The theoretical foundations of the economic analysis of terrorist behaviour can be found in the applications of expected utility theory to criminal behaviour in work undertaken by Becker (1968) and Ehrlich (1973).</w:t>
      </w:r>
    </w:p>
    <w:p w:rsidR="00B415B9" w:rsidRPr="0040227B" w:rsidRDefault="00B415B9" w:rsidP="0040227B">
      <w:pPr>
        <w:spacing w:after="0" w:line="480" w:lineRule="auto"/>
        <w:jc w:val="both"/>
        <w:rPr>
          <w:rFonts w:ascii="Times New Roman" w:eastAsia="Times New Roman" w:hAnsi="Times New Roman" w:cs="Times New Roman"/>
          <w:sz w:val="20"/>
          <w:szCs w:val="20"/>
          <w:lang w:bidi="en-US"/>
        </w:rPr>
      </w:pPr>
    </w:p>
    <w:p w:rsidR="00867D50" w:rsidRPr="0040227B" w:rsidRDefault="008469B9" w:rsidP="0040227B">
      <w:pPr>
        <w:spacing w:after="0" w:line="48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 xml:space="preserve">Kahneman and Tversky </w:t>
      </w:r>
      <w:r w:rsidRPr="0040227B">
        <w:rPr>
          <w:rFonts w:ascii="Times New Roman" w:eastAsia="Times New Roman" w:hAnsi="Times New Roman" w:cs="Times New Roman"/>
          <w:sz w:val="20"/>
          <w:szCs w:val="20"/>
          <w:lang w:bidi="en-US"/>
        </w:rPr>
        <w:t xml:space="preserve">(1979; 1992) </w:t>
      </w:r>
      <w:r w:rsidR="00FD5D99">
        <w:rPr>
          <w:rFonts w:ascii="Times New Roman" w:eastAsia="Times New Roman" w:hAnsi="Times New Roman" w:cs="Times New Roman"/>
          <w:sz w:val="20"/>
          <w:szCs w:val="20"/>
          <w:lang w:bidi="en-US"/>
        </w:rPr>
        <w:t xml:space="preserve">challenged expected utility theory but their prospect theory </w:t>
      </w:r>
      <w:r w:rsidR="00867D50" w:rsidRPr="0040227B">
        <w:rPr>
          <w:rFonts w:ascii="Times New Roman" w:eastAsia="Times New Roman" w:hAnsi="Times New Roman" w:cs="Times New Roman"/>
          <w:sz w:val="20"/>
          <w:szCs w:val="20"/>
          <w:lang w:bidi="en-US"/>
        </w:rPr>
        <w:t xml:space="preserve">has not been widely applied </w:t>
      </w:r>
      <w:r w:rsidR="009B391C" w:rsidRPr="0040227B">
        <w:rPr>
          <w:rFonts w:ascii="Times New Roman" w:eastAsia="Times New Roman" w:hAnsi="Times New Roman" w:cs="Times New Roman"/>
          <w:sz w:val="20"/>
          <w:szCs w:val="20"/>
          <w:lang w:bidi="en-US"/>
        </w:rPr>
        <w:t>t</w:t>
      </w:r>
      <w:r w:rsidR="00785C20">
        <w:rPr>
          <w:rFonts w:ascii="Times New Roman" w:eastAsia="Times New Roman" w:hAnsi="Times New Roman" w:cs="Times New Roman"/>
          <w:sz w:val="20"/>
          <w:szCs w:val="20"/>
          <w:lang w:bidi="en-US"/>
        </w:rPr>
        <w:t xml:space="preserve">o the analysis of </w:t>
      </w:r>
      <w:r w:rsidR="009B391C" w:rsidRPr="0040227B">
        <w:rPr>
          <w:rFonts w:ascii="Times New Roman" w:eastAsia="Times New Roman" w:hAnsi="Times New Roman" w:cs="Times New Roman"/>
          <w:sz w:val="20"/>
          <w:szCs w:val="20"/>
          <w:lang w:bidi="en-US"/>
        </w:rPr>
        <w:t>terrorist behaviour</w:t>
      </w:r>
      <w:r w:rsidR="00867D50" w:rsidRPr="0040227B">
        <w:rPr>
          <w:rFonts w:ascii="Times New Roman" w:eastAsia="Times New Roman" w:hAnsi="Times New Roman" w:cs="Times New Roman"/>
          <w:sz w:val="20"/>
          <w:szCs w:val="20"/>
          <w:lang w:bidi="en-US"/>
        </w:rPr>
        <w:t xml:space="preserve">. </w:t>
      </w:r>
      <w:r w:rsidR="00880DD1">
        <w:rPr>
          <w:rFonts w:ascii="Times New Roman" w:eastAsia="Times New Roman" w:hAnsi="Times New Roman" w:cs="Times New Roman"/>
          <w:sz w:val="20"/>
          <w:szCs w:val="20"/>
          <w:lang w:bidi="en-US"/>
        </w:rPr>
        <w:t>Butler</w:t>
      </w:r>
      <w:r w:rsidR="0080143B" w:rsidRPr="0040227B">
        <w:rPr>
          <w:rFonts w:ascii="Times New Roman" w:eastAsia="Times New Roman" w:hAnsi="Times New Roman" w:cs="Times New Roman"/>
          <w:sz w:val="20"/>
          <w:szCs w:val="20"/>
          <w:lang w:bidi="en-US"/>
        </w:rPr>
        <w:t xml:space="preserve"> (2007)</w:t>
      </w:r>
      <w:r w:rsidR="00880DD1">
        <w:rPr>
          <w:rFonts w:ascii="Times New Roman" w:eastAsia="Times New Roman" w:hAnsi="Times New Roman" w:cs="Times New Roman"/>
          <w:sz w:val="20"/>
          <w:szCs w:val="20"/>
          <w:lang w:bidi="en-US"/>
        </w:rPr>
        <w:t xml:space="preserve"> studies</w:t>
      </w:r>
      <w:r w:rsidR="00275325" w:rsidRPr="0040227B">
        <w:rPr>
          <w:rFonts w:ascii="Times New Roman" w:eastAsia="Times New Roman" w:hAnsi="Times New Roman" w:cs="Times New Roman"/>
          <w:sz w:val="20"/>
          <w:szCs w:val="20"/>
          <w:lang w:bidi="en-US"/>
        </w:rPr>
        <w:t xml:space="preserve"> coercive bargaining in the domain of international relations represents one of the few formal analyses</w:t>
      </w:r>
      <w:r w:rsidR="003C72E9" w:rsidRPr="0040227B">
        <w:rPr>
          <w:rFonts w:ascii="Times New Roman" w:eastAsia="Times New Roman" w:hAnsi="Times New Roman" w:cs="Times New Roman"/>
          <w:sz w:val="20"/>
          <w:szCs w:val="20"/>
          <w:lang w:bidi="en-US"/>
        </w:rPr>
        <w:t xml:space="preserve"> to use prospect theory</w:t>
      </w:r>
      <w:r w:rsidR="00275325" w:rsidRPr="0040227B">
        <w:rPr>
          <w:rFonts w:ascii="Times New Roman" w:eastAsia="Times New Roman" w:hAnsi="Times New Roman" w:cs="Times New Roman"/>
          <w:sz w:val="20"/>
          <w:szCs w:val="20"/>
          <w:lang w:bidi="en-US"/>
        </w:rPr>
        <w:t xml:space="preserve"> in a field that </w:t>
      </w:r>
      <w:r w:rsidR="003C72E9" w:rsidRPr="0040227B">
        <w:rPr>
          <w:rFonts w:ascii="Times New Roman" w:eastAsia="Times New Roman" w:hAnsi="Times New Roman" w:cs="Times New Roman"/>
          <w:sz w:val="20"/>
          <w:szCs w:val="20"/>
          <w:lang w:bidi="en-US"/>
        </w:rPr>
        <w:t>broadly</w:t>
      </w:r>
      <w:r w:rsidR="00275325" w:rsidRPr="0040227B">
        <w:rPr>
          <w:rFonts w:ascii="Times New Roman" w:eastAsia="Times New Roman" w:hAnsi="Times New Roman" w:cs="Times New Roman"/>
          <w:sz w:val="20"/>
          <w:szCs w:val="20"/>
          <w:lang w:bidi="en-US"/>
        </w:rPr>
        <w:t xml:space="preserve"> </w:t>
      </w:r>
      <w:r w:rsidR="00275325" w:rsidRPr="0040227B">
        <w:rPr>
          <w:rFonts w:ascii="Times New Roman" w:eastAsia="Times New Roman" w:hAnsi="Times New Roman" w:cs="Times New Roman"/>
          <w:sz w:val="20"/>
          <w:szCs w:val="20"/>
          <w:lang w:bidi="en-US"/>
        </w:rPr>
        <w:lastRenderedPageBreak/>
        <w:t>encompass</w:t>
      </w:r>
      <w:r w:rsidR="003C72E9" w:rsidRPr="0040227B">
        <w:rPr>
          <w:rFonts w:ascii="Times New Roman" w:eastAsia="Times New Roman" w:hAnsi="Times New Roman" w:cs="Times New Roman"/>
          <w:sz w:val="20"/>
          <w:szCs w:val="20"/>
          <w:lang w:bidi="en-US"/>
        </w:rPr>
        <w:t>es</w:t>
      </w:r>
      <w:r w:rsidR="00275325" w:rsidRPr="0040227B">
        <w:rPr>
          <w:rFonts w:ascii="Times New Roman" w:eastAsia="Times New Roman" w:hAnsi="Times New Roman" w:cs="Times New Roman"/>
          <w:sz w:val="20"/>
          <w:szCs w:val="20"/>
          <w:lang w:bidi="en-US"/>
        </w:rPr>
        <w:t xml:space="preserve"> the types of problems that motivate the present paper. </w:t>
      </w:r>
      <w:r w:rsidR="0080143B" w:rsidRPr="0040227B">
        <w:rPr>
          <w:rFonts w:ascii="Times New Roman" w:eastAsia="Times New Roman" w:hAnsi="Times New Roman" w:cs="Times New Roman"/>
          <w:sz w:val="20"/>
          <w:szCs w:val="20"/>
          <w:lang w:bidi="en-US"/>
        </w:rPr>
        <w:t>Prospect theory may yield alternative results from the standard models that have been applied in particu</w:t>
      </w:r>
      <w:r>
        <w:rPr>
          <w:rFonts w:ascii="Times New Roman" w:eastAsia="Times New Roman" w:hAnsi="Times New Roman" w:cs="Times New Roman"/>
          <w:sz w:val="20"/>
          <w:szCs w:val="20"/>
          <w:lang w:bidi="en-US"/>
        </w:rPr>
        <w:t>lar cases. This is supported by the</w:t>
      </w:r>
      <w:r w:rsidR="0080143B" w:rsidRPr="0040227B">
        <w:rPr>
          <w:rFonts w:ascii="Times New Roman" w:hAnsi="Times New Roman" w:cs="Times New Roman"/>
          <w:sz w:val="20"/>
          <w:szCs w:val="20"/>
        </w:rPr>
        <w:t xml:space="preserve"> finding of</w:t>
      </w:r>
      <w:r w:rsidR="00275325" w:rsidRPr="0040227B">
        <w:rPr>
          <w:rFonts w:ascii="Times New Roman" w:hAnsi="Times New Roman" w:cs="Times New Roman"/>
          <w:sz w:val="20"/>
          <w:szCs w:val="20"/>
        </w:rPr>
        <w:t xml:space="preserve"> important qualifications to the conclusions that are reached </w:t>
      </w:r>
      <w:r w:rsidR="003C72E9" w:rsidRPr="0040227B">
        <w:rPr>
          <w:rFonts w:ascii="Times New Roman" w:hAnsi="Times New Roman" w:cs="Times New Roman"/>
          <w:sz w:val="20"/>
          <w:szCs w:val="20"/>
        </w:rPr>
        <w:t>when</w:t>
      </w:r>
      <w:r w:rsidR="00275325" w:rsidRPr="0040227B">
        <w:rPr>
          <w:rFonts w:ascii="Times New Roman" w:hAnsi="Times New Roman" w:cs="Times New Roman"/>
          <w:sz w:val="20"/>
          <w:szCs w:val="20"/>
        </w:rPr>
        <w:t xml:space="preserve"> strategic bargaining problems </w:t>
      </w:r>
      <w:r w:rsidR="003C72E9" w:rsidRPr="0040227B">
        <w:rPr>
          <w:rFonts w:ascii="Times New Roman" w:hAnsi="Times New Roman" w:cs="Times New Roman"/>
          <w:sz w:val="20"/>
          <w:szCs w:val="20"/>
        </w:rPr>
        <w:t xml:space="preserve">are approached </w:t>
      </w:r>
      <w:r w:rsidR="00275325" w:rsidRPr="0040227B">
        <w:rPr>
          <w:rFonts w:ascii="Times New Roman" w:hAnsi="Times New Roman" w:cs="Times New Roman"/>
          <w:sz w:val="20"/>
          <w:szCs w:val="20"/>
        </w:rPr>
        <w:t>from an expected value m</w:t>
      </w:r>
      <w:r w:rsidR="00880DD1">
        <w:rPr>
          <w:rFonts w:ascii="Times New Roman" w:hAnsi="Times New Roman" w:cs="Times New Roman"/>
          <w:sz w:val="20"/>
          <w:szCs w:val="20"/>
        </w:rPr>
        <w:t>aximisation perspective—</w:t>
      </w:r>
      <w:r>
        <w:rPr>
          <w:rFonts w:ascii="Times New Roman" w:hAnsi="Times New Roman" w:cs="Times New Roman"/>
          <w:sz w:val="20"/>
          <w:szCs w:val="20"/>
        </w:rPr>
        <w:t xml:space="preserve">such as </w:t>
      </w:r>
      <w:r w:rsidR="00880DD1">
        <w:rPr>
          <w:rFonts w:ascii="Times New Roman" w:hAnsi="Times New Roman" w:cs="Times New Roman"/>
          <w:sz w:val="20"/>
          <w:szCs w:val="20"/>
        </w:rPr>
        <w:t xml:space="preserve">the model presented by </w:t>
      </w:r>
      <w:proofErr w:type="spellStart"/>
      <w:r w:rsidR="00880DD1">
        <w:rPr>
          <w:rFonts w:ascii="Times New Roman" w:hAnsi="Times New Roman" w:cs="Times New Roman"/>
          <w:sz w:val="20"/>
          <w:szCs w:val="20"/>
        </w:rPr>
        <w:t>Fearon</w:t>
      </w:r>
      <w:proofErr w:type="spellEnd"/>
      <w:r w:rsidR="00880DD1">
        <w:rPr>
          <w:rFonts w:ascii="Times New Roman" w:hAnsi="Times New Roman" w:cs="Times New Roman"/>
          <w:sz w:val="20"/>
          <w:szCs w:val="20"/>
        </w:rPr>
        <w:t xml:space="preserve"> (1995)</w:t>
      </w:r>
      <w:r w:rsidR="00275325" w:rsidRPr="0040227B">
        <w:rPr>
          <w:rFonts w:ascii="Times New Roman" w:hAnsi="Times New Roman" w:cs="Times New Roman"/>
          <w:sz w:val="20"/>
          <w:szCs w:val="20"/>
        </w:rPr>
        <w:t>—ra</w:t>
      </w:r>
      <w:r w:rsidR="000D6966" w:rsidRPr="0040227B">
        <w:rPr>
          <w:rFonts w:ascii="Times New Roman" w:hAnsi="Times New Roman" w:cs="Times New Roman"/>
          <w:sz w:val="20"/>
          <w:szCs w:val="20"/>
        </w:rPr>
        <w:t>ther than a prospect theory</w:t>
      </w:r>
      <w:r w:rsidR="00275325" w:rsidRPr="0040227B">
        <w:rPr>
          <w:rFonts w:ascii="Times New Roman" w:hAnsi="Times New Roman" w:cs="Times New Roman"/>
          <w:sz w:val="20"/>
          <w:szCs w:val="20"/>
        </w:rPr>
        <w:t xml:space="preserve"> perspective</w:t>
      </w:r>
      <w:r w:rsidR="00275325" w:rsidRPr="0040227B">
        <w:rPr>
          <w:rStyle w:val="FootnoteReference"/>
          <w:rFonts w:ascii="Times New Roman" w:hAnsi="Times New Roman" w:cs="Times New Roman"/>
          <w:sz w:val="20"/>
          <w:szCs w:val="20"/>
        </w:rPr>
        <w:footnoteReference w:id="2"/>
      </w:r>
      <w:r>
        <w:rPr>
          <w:rFonts w:ascii="Times New Roman" w:hAnsi="Times New Roman" w:cs="Times New Roman"/>
          <w:sz w:val="20"/>
          <w:szCs w:val="20"/>
        </w:rPr>
        <w:t xml:space="preserve"> (Butler 2007)</w:t>
      </w:r>
      <w:r w:rsidR="00275325" w:rsidRPr="0040227B">
        <w:rPr>
          <w:rFonts w:ascii="Times New Roman" w:hAnsi="Times New Roman" w:cs="Times New Roman"/>
          <w:sz w:val="20"/>
          <w:szCs w:val="20"/>
        </w:rPr>
        <w:t>.</w:t>
      </w:r>
      <w:r w:rsidR="003C72E9" w:rsidRPr="0040227B">
        <w:rPr>
          <w:rFonts w:ascii="Times New Roman" w:hAnsi="Times New Roman" w:cs="Times New Roman"/>
          <w:sz w:val="20"/>
          <w:szCs w:val="20"/>
        </w:rPr>
        <w:t xml:space="preserve"> Part o</w:t>
      </w:r>
      <w:r w:rsidR="00880DD1">
        <w:rPr>
          <w:rFonts w:ascii="Times New Roman" w:hAnsi="Times New Roman" w:cs="Times New Roman"/>
          <w:sz w:val="20"/>
          <w:szCs w:val="20"/>
        </w:rPr>
        <w:t>f the justification Butler</w:t>
      </w:r>
      <w:r w:rsidR="003C72E9" w:rsidRPr="0040227B">
        <w:rPr>
          <w:rFonts w:ascii="Times New Roman" w:hAnsi="Times New Roman" w:cs="Times New Roman"/>
          <w:sz w:val="20"/>
          <w:szCs w:val="20"/>
        </w:rPr>
        <w:t xml:space="preserve"> (2007) </w:t>
      </w:r>
      <w:r w:rsidR="00880DD1">
        <w:rPr>
          <w:rFonts w:ascii="Times New Roman" w:hAnsi="Times New Roman" w:cs="Times New Roman"/>
          <w:sz w:val="20"/>
          <w:szCs w:val="20"/>
        </w:rPr>
        <w:t xml:space="preserve">provides for his </w:t>
      </w:r>
      <w:r w:rsidR="003C72E9" w:rsidRPr="0040227B">
        <w:rPr>
          <w:rFonts w:ascii="Times New Roman" w:hAnsi="Times New Roman" w:cs="Times New Roman"/>
          <w:sz w:val="20"/>
          <w:szCs w:val="20"/>
        </w:rPr>
        <w:t xml:space="preserve">study is the paucity of applications </w:t>
      </w:r>
      <w:r w:rsidR="009B391C" w:rsidRPr="0040227B">
        <w:rPr>
          <w:rFonts w:ascii="Times New Roman" w:hAnsi="Times New Roman" w:cs="Times New Roman"/>
          <w:sz w:val="20"/>
          <w:szCs w:val="20"/>
        </w:rPr>
        <w:t xml:space="preserve">of prospect theory </w:t>
      </w:r>
      <w:r w:rsidR="003C72E9" w:rsidRPr="0040227B">
        <w:rPr>
          <w:rFonts w:ascii="Times New Roman" w:hAnsi="Times New Roman" w:cs="Times New Roman"/>
          <w:sz w:val="20"/>
          <w:szCs w:val="20"/>
        </w:rPr>
        <w:t xml:space="preserve">to international conflict and the tendency of existing applications to draw </w:t>
      </w:r>
      <w:r w:rsidR="009B391C" w:rsidRPr="0040227B">
        <w:rPr>
          <w:rFonts w:ascii="Times New Roman" w:hAnsi="Times New Roman" w:cs="Times New Roman"/>
          <w:sz w:val="20"/>
          <w:szCs w:val="20"/>
        </w:rPr>
        <w:t xml:space="preserve">on </w:t>
      </w:r>
      <w:r w:rsidR="003C72E9" w:rsidRPr="0040227B">
        <w:rPr>
          <w:rFonts w:ascii="Times New Roman" w:hAnsi="Times New Roman" w:cs="Times New Roman"/>
          <w:sz w:val="20"/>
          <w:szCs w:val="20"/>
        </w:rPr>
        <w:t xml:space="preserve">just one or two </w:t>
      </w:r>
      <w:r>
        <w:rPr>
          <w:rFonts w:ascii="Times New Roman" w:hAnsi="Times New Roman" w:cs="Times New Roman"/>
          <w:sz w:val="20"/>
          <w:szCs w:val="20"/>
        </w:rPr>
        <w:t>prospect theoretical concepts</w:t>
      </w:r>
      <w:r w:rsidRPr="0040227B">
        <w:rPr>
          <w:rFonts w:ascii="Times New Roman" w:hAnsi="Times New Roman" w:cs="Times New Roman"/>
          <w:sz w:val="20"/>
          <w:szCs w:val="20"/>
        </w:rPr>
        <w:t xml:space="preserve"> </w:t>
      </w:r>
      <w:r w:rsidR="00EC277F" w:rsidRPr="0040227B">
        <w:rPr>
          <w:rFonts w:ascii="Times New Roman" w:hAnsi="Times New Roman" w:cs="Times New Roman"/>
          <w:sz w:val="20"/>
          <w:szCs w:val="20"/>
        </w:rPr>
        <w:t>rather than develop</w:t>
      </w:r>
      <w:r>
        <w:rPr>
          <w:rFonts w:ascii="Times New Roman" w:hAnsi="Times New Roman" w:cs="Times New Roman"/>
          <w:sz w:val="20"/>
          <w:szCs w:val="20"/>
        </w:rPr>
        <w:t xml:space="preserve">ing a more complete application of the theory. </w:t>
      </w:r>
      <w:r w:rsidR="003C72E9" w:rsidRPr="0040227B">
        <w:rPr>
          <w:rFonts w:ascii="Times New Roman" w:hAnsi="Times New Roman" w:cs="Times New Roman"/>
          <w:sz w:val="20"/>
          <w:szCs w:val="20"/>
        </w:rPr>
        <w:t xml:space="preserve">  </w:t>
      </w:r>
    </w:p>
    <w:p w:rsidR="003D78D7" w:rsidRPr="0040227B" w:rsidRDefault="003D78D7" w:rsidP="0040227B">
      <w:pPr>
        <w:spacing w:after="0" w:line="480" w:lineRule="auto"/>
        <w:jc w:val="both"/>
        <w:rPr>
          <w:rFonts w:ascii="Times New Roman" w:eastAsia="Times New Roman" w:hAnsi="Times New Roman" w:cs="Times New Roman"/>
          <w:sz w:val="20"/>
          <w:szCs w:val="20"/>
          <w:lang w:bidi="en-US"/>
        </w:rPr>
      </w:pPr>
    </w:p>
    <w:p w:rsidR="003D78D7" w:rsidRPr="0040227B" w:rsidRDefault="002958EA" w:rsidP="0040227B">
      <w:pPr>
        <w:spacing w:after="0" w:line="480" w:lineRule="auto"/>
        <w:jc w:val="both"/>
        <w:rPr>
          <w:rFonts w:ascii="Times New Roman" w:eastAsia="Times New Roman" w:hAnsi="Times New Roman" w:cs="Times New Roman"/>
          <w:sz w:val="20"/>
          <w:szCs w:val="20"/>
          <w:lang w:bidi="en-US"/>
        </w:rPr>
      </w:pPr>
      <w:r w:rsidRPr="0040227B">
        <w:rPr>
          <w:rFonts w:ascii="Times New Roman" w:eastAsia="Times New Roman" w:hAnsi="Times New Roman" w:cs="Times New Roman"/>
          <w:sz w:val="20"/>
          <w:szCs w:val="20"/>
          <w:lang w:bidi="en-US"/>
        </w:rPr>
        <w:t>Similarly</w:t>
      </w:r>
      <w:r w:rsidR="009B17B4" w:rsidRPr="0040227B">
        <w:rPr>
          <w:rFonts w:ascii="Times New Roman" w:eastAsia="Times New Roman" w:hAnsi="Times New Roman" w:cs="Times New Roman"/>
          <w:sz w:val="20"/>
          <w:szCs w:val="20"/>
          <w:lang w:bidi="en-US"/>
        </w:rPr>
        <w:t>, the</w:t>
      </w:r>
      <w:r w:rsidR="003D78D7" w:rsidRPr="0040227B">
        <w:rPr>
          <w:rFonts w:ascii="Times New Roman" w:eastAsia="Times New Roman" w:hAnsi="Times New Roman" w:cs="Times New Roman"/>
          <w:sz w:val="20"/>
          <w:szCs w:val="20"/>
          <w:lang w:bidi="en-US"/>
        </w:rPr>
        <w:t xml:space="preserve"> economic analysis of terrorist behaviour has only occasionally drawn upon</w:t>
      </w:r>
      <w:r w:rsidR="0062540A" w:rsidRPr="0040227B">
        <w:rPr>
          <w:rFonts w:ascii="Times New Roman" w:eastAsia="Times New Roman" w:hAnsi="Times New Roman" w:cs="Times New Roman"/>
          <w:sz w:val="20"/>
          <w:szCs w:val="20"/>
          <w:lang w:bidi="en-US"/>
        </w:rPr>
        <w:t xml:space="preserve"> prospect </w:t>
      </w:r>
      <w:r w:rsidR="000D6966" w:rsidRPr="0040227B">
        <w:rPr>
          <w:rFonts w:ascii="Times New Roman" w:eastAsia="Times New Roman" w:hAnsi="Times New Roman" w:cs="Times New Roman"/>
          <w:sz w:val="20"/>
          <w:szCs w:val="20"/>
          <w:lang w:bidi="en-US"/>
        </w:rPr>
        <w:t xml:space="preserve">theory </w:t>
      </w:r>
      <w:r w:rsidR="003D78D7" w:rsidRPr="0040227B">
        <w:rPr>
          <w:rFonts w:ascii="Times New Roman" w:eastAsia="Times New Roman" w:hAnsi="Times New Roman" w:cs="Times New Roman"/>
          <w:sz w:val="20"/>
          <w:szCs w:val="20"/>
          <w:lang w:bidi="en-US"/>
        </w:rPr>
        <w:t>concepts such as loss aversion and ha</w:t>
      </w:r>
      <w:r w:rsidR="00C836A8" w:rsidRPr="0040227B">
        <w:rPr>
          <w:rFonts w:ascii="Times New Roman" w:eastAsia="Times New Roman" w:hAnsi="Times New Roman" w:cs="Times New Roman"/>
          <w:sz w:val="20"/>
          <w:szCs w:val="20"/>
          <w:lang w:bidi="en-US"/>
        </w:rPr>
        <w:t>s</w:t>
      </w:r>
      <w:r w:rsidR="003D78D7" w:rsidRPr="0040227B">
        <w:rPr>
          <w:rFonts w:ascii="Times New Roman" w:eastAsia="Times New Roman" w:hAnsi="Times New Roman" w:cs="Times New Roman"/>
          <w:sz w:val="20"/>
          <w:szCs w:val="20"/>
          <w:lang w:bidi="en-US"/>
        </w:rPr>
        <w:t xml:space="preserve"> not </w:t>
      </w:r>
      <w:r w:rsidR="00C836A8" w:rsidRPr="0040227B">
        <w:rPr>
          <w:rFonts w:ascii="Times New Roman" w:eastAsia="Times New Roman" w:hAnsi="Times New Roman" w:cs="Times New Roman"/>
          <w:sz w:val="20"/>
          <w:szCs w:val="20"/>
          <w:lang w:bidi="en-US"/>
        </w:rPr>
        <w:t>fully worked out ‘</w:t>
      </w:r>
      <w:r w:rsidR="003D78D7" w:rsidRPr="0040227B">
        <w:rPr>
          <w:rFonts w:ascii="Times New Roman" w:eastAsia="Times New Roman" w:hAnsi="Times New Roman" w:cs="Times New Roman"/>
          <w:sz w:val="20"/>
          <w:szCs w:val="20"/>
          <w:lang w:bidi="en-US"/>
        </w:rPr>
        <w:t>prospect values</w:t>
      </w:r>
      <w:r w:rsidR="00C836A8" w:rsidRPr="0040227B">
        <w:rPr>
          <w:rFonts w:ascii="Times New Roman" w:eastAsia="Times New Roman" w:hAnsi="Times New Roman" w:cs="Times New Roman"/>
          <w:sz w:val="20"/>
          <w:szCs w:val="20"/>
          <w:lang w:bidi="en-US"/>
        </w:rPr>
        <w:t>’</w:t>
      </w:r>
      <w:r w:rsidR="003D78D7" w:rsidRPr="0040227B">
        <w:rPr>
          <w:rFonts w:ascii="Times New Roman" w:eastAsia="Times New Roman" w:hAnsi="Times New Roman" w:cs="Times New Roman"/>
          <w:sz w:val="20"/>
          <w:szCs w:val="20"/>
          <w:lang w:bidi="en-US"/>
        </w:rPr>
        <w:t xml:space="preserve"> associated with different terrorist choices and the implications of those values for</w:t>
      </w:r>
      <w:r w:rsidR="00BA7849">
        <w:rPr>
          <w:rFonts w:ascii="Times New Roman" w:eastAsia="Times New Roman" w:hAnsi="Times New Roman" w:cs="Times New Roman"/>
          <w:sz w:val="20"/>
          <w:szCs w:val="20"/>
          <w:lang w:bidi="en-US"/>
        </w:rPr>
        <w:t xml:space="preserve"> the outcomes of the terrorist</w:t>
      </w:r>
      <w:r w:rsidR="003D78D7" w:rsidRPr="0040227B">
        <w:rPr>
          <w:rFonts w:ascii="Times New Roman" w:eastAsia="Times New Roman" w:hAnsi="Times New Roman" w:cs="Times New Roman"/>
          <w:sz w:val="20"/>
          <w:szCs w:val="20"/>
          <w:lang w:bidi="en-US"/>
        </w:rPr>
        <w:t xml:space="preserve"> decision-making process. </w:t>
      </w:r>
      <w:r w:rsidR="00EC28A7" w:rsidRPr="0040227B">
        <w:rPr>
          <w:rFonts w:ascii="Times New Roman" w:eastAsia="Times New Roman" w:hAnsi="Times New Roman" w:cs="Times New Roman"/>
          <w:sz w:val="20"/>
          <w:szCs w:val="20"/>
          <w:lang w:bidi="en-US"/>
        </w:rPr>
        <w:t>Although the utilisation of prospect theory to generate alternative sets of results</w:t>
      </w:r>
      <w:r w:rsidR="009B391C" w:rsidRPr="0040227B">
        <w:rPr>
          <w:rFonts w:ascii="Times New Roman" w:eastAsia="Times New Roman" w:hAnsi="Times New Roman" w:cs="Times New Roman"/>
          <w:sz w:val="20"/>
          <w:szCs w:val="20"/>
          <w:lang w:bidi="en-US"/>
        </w:rPr>
        <w:t xml:space="preserve"> </w:t>
      </w:r>
      <w:r w:rsidR="00EC28A7" w:rsidRPr="0040227B">
        <w:rPr>
          <w:rFonts w:ascii="Times New Roman" w:eastAsia="Times New Roman" w:hAnsi="Times New Roman" w:cs="Times New Roman"/>
          <w:sz w:val="20"/>
          <w:szCs w:val="20"/>
          <w:lang w:bidi="en-US"/>
        </w:rPr>
        <w:t xml:space="preserve">that complement those obtained by orthodox approaches represents an important step, the primary advantage of an application of prospect theory to terrorist choice would appear to lie in </w:t>
      </w:r>
      <w:r w:rsidR="00F21A25" w:rsidRPr="0040227B">
        <w:rPr>
          <w:rFonts w:ascii="Times New Roman" w:eastAsia="Times New Roman" w:hAnsi="Times New Roman" w:cs="Times New Roman"/>
          <w:sz w:val="20"/>
          <w:szCs w:val="20"/>
          <w:lang w:bidi="en-US"/>
        </w:rPr>
        <w:t xml:space="preserve">the development of new insights into </w:t>
      </w:r>
      <w:r w:rsidR="00EC28A7" w:rsidRPr="0040227B">
        <w:rPr>
          <w:rFonts w:ascii="Times New Roman" w:eastAsia="Times New Roman" w:hAnsi="Times New Roman" w:cs="Times New Roman"/>
          <w:sz w:val="20"/>
          <w:szCs w:val="20"/>
          <w:lang w:bidi="en-US"/>
        </w:rPr>
        <w:t xml:space="preserve">those aspects of terrorist behaviour where there is a correspondence between </w:t>
      </w:r>
      <w:r w:rsidR="008469B9">
        <w:rPr>
          <w:rFonts w:ascii="Times New Roman" w:eastAsia="Times New Roman" w:hAnsi="Times New Roman" w:cs="Times New Roman"/>
          <w:sz w:val="20"/>
          <w:szCs w:val="20"/>
          <w:lang w:bidi="en-US"/>
        </w:rPr>
        <w:t>the structure of terrorist</w:t>
      </w:r>
      <w:r w:rsidR="00F21A25" w:rsidRPr="0040227B">
        <w:rPr>
          <w:rFonts w:ascii="Times New Roman" w:eastAsia="Times New Roman" w:hAnsi="Times New Roman" w:cs="Times New Roman"/>
          <w:sz w:val="20"/>
          <w:szCs w:val="20"/>
          <w:lang w:bidi="en-US"/>
        </w:rPr>
        <w:t xml:space="preserve"> </w:t>
      </w:r>
      <w:r w:rsidR="00EC28A7" w:rsidRPr="0040227B">
        <w:rPr>
          <w:rFonts w:ascii="Times New Roman" w:eastAsia="Times New Roman" w:hAnsi="Times New Roman" w:cs="Times New Roman"/>
          <w:sz w:val="20"/>
          <w:szCs w:val="20"/>
          <w:lang w:bidi="en-US"/>
        </w:rPr>
        <w:t>decision-making</w:t>
      </w:r>
      <w:r w:rsidR="00F21A25" w:rsidRPr="0040227B">
        <w:rPr>
          <w:rFonts w:ascii="Times New Roman" w:eastAsia="Times New Roman" w:hAnsi="Times New Roman" w:cs="Times New Roman"/>
          <w:sz w:val="20"/>
          <w:szCs w:val="20"/>
          <w:lang w:bidi="en-US"/>
        </w:rPr>
        <w:t xml:space="preserve"> and</w:t>
      </w:r>
      <w:r w:rsidR="009B17B4" w:rsidRPr="0040227B">
        <w:rPr>
          <w:rFonts w:ascii="Times New Roman" w:eastAsia="Times New Roman" w:hAnsi="Times New Roman" w:cs="Times New Roman"/>
          <w:sz w:val="20"/>
          <w:szCs w:val="20"/>
          <w:lang w:bidi="en-US"/>
        </w:rPr>
        <w:t xml:space="preserve"> the </w:t>
      </w:r>
      <w:r w:rsidR="009B391C" w:rsidRPr="0040227B">
        <w:rPr>
          <w:rFonts w:ascii="Times New Roman" w:eastAsia="Times New Roman" w:hAnsi="Times New Roman" w:cs="Times New Roman"/>
          <w:sz w:val="20"/>
          <w:szCs w:val="20"/>
          <w:lang w:bidi="en-US"/>
        </w:rPr>
        <w:t>structure</w:t>
      </w:r>
      <w:r w:rsidR="009B17B4" w:rsidRPr="0040227B">
        <w:rPr>
          <w:rFonts w:ascii="Times New Roman" w:eastAsia="Times New Roman" w:hAnsi="Times New Roman" w:cs="Times New Roman"/>
          <w:sz w:val="20"/>
          <w:szCs w:val="20"/>
          <w:lang w:bidi="en-US"/>
        </w:rPr>
        <w:t xml:space="preserve"> of</w:t>
      </w:r>
      <w:r w:rsidR="00F21A25" w:rsidRPr="0040227B">
        <w:rPr>
          <w:rFonts w:ascii="Times New Roman" w:eastAsia="Times New Roman" w:hAnsi="Times New Roman" w:cs="Times New Roman"/>
          <w:sz w:val="20"/>
          <w:szCs w:val="20"/>
          <w:lang w:bidi="en-US"/>
        </w:rPr>
        <w:t xml:space="preserve"> prospect theory</w:t>
      </w:r>
      <w:r w:rsidR="00EC28A7" w:rsidRPr="0040227B">
        <w:rPr>
          <w:rFonts w:ascii="Times New Roman" w:eastAsia="Times New Roman" w:hAnsi="Times New Roman" w:cs="Times New Roman"/>
          <w:sz w:val="20"/>
          <w:szCs w:val="20"/>
          <w:lang w:bidi="en-US"/>
        </w:rPr>
        <w:t>.</w:t>
      </w:r>
      <w:r w:rsidR="00F21A25" w:rsidRPr="0040227B">
        <w:rPr>
          <w:rFonts w:ascii="Times New Roman" w:eastAsia="Times New Roman" w:hAnsi="Times New Roman" w:cs="Times New Roman"/>
          <w:sz w:val="20"/>
          <w:szCs w:val="20"/>
          <w:lang w:bidi="en-US"/>
        </w:rPr>
        <w:t xml:space="preserve"> For example,</w:t>
      </w:r>
      <w:r w:rsidR="00D20DFC" w:rsidRPr="0040227B">
        <w:rPr>
          <w:rFonts w:ascii="Times New Roman" w:eastAsia="Times New Roman" w:hAnsi="Times New Roman" w:cs="Times New Roman"/>
          <w:sz w:val="20"/>
          <w:szCs w:val="20"/>
          <w:lang w:bidi="en-US"/>
        </w:rPr>
        <w:t xml:space="preserve"> if a terrorist knows that a ransom of $10 million was recently paid for the release of hostages, he may feel as though he has made a loss when he is offered $1 million for the release of his hostages.</w:t>
      </w:r>
      <w:r w:rsidR="00F21A25" w:rsidRPr="0040227B">
        <w:rPr>
          <w:rFonts w:ascii="Times New Roman" w:eastAsia="Times New Roman" w:hAnsi="Times New Roman" w:cs="Times New Roman"/>
          <w:sz w:val="20"/>
          <w:szCs w:val="20"/>
          <w:lang w:bidi="en-US"/>
        </w:rPr>
        <w:t xml:space="preserve"> </w:t>
      </w:r>
      <w:r w:rsidR="00D20DFC" w:rsidRPr="0040227B">
        <w:rPr>
          <w:rFonts w:ascii="Times New Roman" w:eastAsia="Times New Roman" w:hAnsi="Times New Roman" w:cs="Times New Roman"/>
          <w:sz w:val="20"/>
          <w:szCs w:val="20"/>
          <w:lang w:bidi="en-US"/>
        </w:rPr>
        <w:t xml:space="preserve">In scenarios </w:t>
      </w:r>
      <w:r w:rsidR="00497BA1" w:rsidRPr="0040227B">
        <w:rPr>
          <w:rFonts w:ascii="Times New Roman" w:eastAsia="Times New Roman" w:hAnsi="Times New Roman" w:cs="Times New Roman"/>
          <w:sz w:val="20"/>
          <w:szCs w:val="20"/>
          <w:lang w:bidi="en-US"/>
        </w:rPr>
        <w:t xml:space="preserve">such as this </w:t>
      </w:r>
      <w:r w:rsidR="00D20DFC" w:rsidRPr="0040227B">
        <w:rPr>
          <w:rFonts w:ascii="Times New Roman" w:eastAsia="Times New Roman" w:hAnsi="Times New Roman" w:cs="Times New Roman"/>
          <w:sz w:val="20"/>
          <w:szCs w:val="20"/>
          <w:lang w:bidi="en-US"/>
        </w:rPr>
        <w:t xml:space="preserve">where </w:t>
      </w:r>
      <w:r w:rsidR="008469B9">
        <w:rPr>
          <w:rFonts w:ascii="Times New Roman" w:eastAsia="Times New Roman" w:hAnsi="Times New Roman" w:cs="Times New Roman"/>
          <w:sz w:val="20"/>
          <w:szCs w:val="20"/>
          <w:lang w:bidi="en-US"/>
        </w:rPr>
        <w:t>a</w:t>
      </w:r>
      <w:r w:rsidR="00F21A25" w:rsidRPr="0040227B">
        <w:rPr>
          <w:rFonts w:ascii="Times New Roman" w:eastAsia="Times New Roman" w:hAnsi="Times New Roman" w:cs="Times New Roman"/>
          <w:sz w:val="20"/>
          <w:szCs w:val="20"/>
          <w:lang w:bidi="en-US"/>
        </w:rPr>
        <w:t xml:space="preserve"> reference point is important, it is by an application of prospect theory that we might learn more about </w:t>
      </w:r>
      <w:r w:rsidR="008469B9">
        <w:rPr>
          <w:rFonts w:ascii="Times New Roman" w:eastAsia="Times New Roman" w:hAnsi="Times New Roman" w:cs="Times New Roman"/>
          <w:sz w:val="20"/>
          <w:szCs w:val="20"/>
          <w:lang w:bidi="en-US"/>
        </w:rPr>
        <w:t>terrorist decision-making</w:t>
      </w:r>
      <w:r w:rsidR="00F21A25" w:rsidRPr="0040227B">
        <w:rPr>
          <w:rFonts w:ascii="Times New Roman" w:eastAsia="Times New Roman" w:hAnsi="Times New Roman" w:cs="Times New Roman"/>
          <w:sz w:val="20"/>
          <w:szCs w:val="20"/>
          <w:lang w:bidi="en-US"/>
        </w:rPr>
        <w:t xml:space="preserve">. </w:t>
      </w:r>
    </w:p>
    <w:p w:rsidR="003D78D7" w:rsidRPr="0040227B" w:rsidRDefault="003D78D7" w:rsidP="0040227B">
      <w:pPr>
        <w:spacing w:after="0" w:line="480" w:lineRule="auto"/>
        <w:jc w:val="both"/>
        <w:rPr>
          <w:rFonts w:ascii="Times New Roman" w:eastAsia="Times New Roman" w:hAnsi="Times New Roman" w:cs="Times New Roman"/>
          <w:sz w:val="20"/>
          <w:szCs w:val="20"/>
          <w:lang w:bidi="en-US"/>
        </w:rPr>
      </w:pPr>
    </w:p>
    <w:p w:rsidR="006D3F5E" w:rsidRPr="0040227B" w:rsidRDefault="009B17B4" w:rsidP="0040227B">
      <w:pPr>
        <w:spacing w:after="0" w:line="480" w:lineRule="auto"/>
        <w:jc w:val="both"/>
        <w:rPr>
          <w:rFonts w:ascii="Times New Roman" w:eastAsia="Times New Roman" w:hAnsi="Times New Roman" w:cs="Times New Roman"/>
          <w:sz w:val="20"/>
          <w:szCs w:val="20"/>
          <w:lang w:bidi="en-US"/>
        </w:rPr>
      </w:pPr>
      <w:r w:rsidRPr="0040227B">
        <w:rPr>
          <w:rFonts w:ascii="Times New Roman" w:eastAsia="Times New Roman" w:hAnsi="Times New Roman" w:cs="Times New Roman"/>
          <w:sz w:val="20"/>
          <w:szCs w:val="20"/>
          <w:lang w:bidi="en-US"/>
        </w:rPr>
        <w:t>Our application of prospect t</w:t>
      </w:r>
      <w:r w:rsidR="008469B9">
        <w:rPr>
          <w:rFonts w:ascii="Times New Roman" w:eastAsia="Times New Roman" w:hAnsi="Times New Roman" w:cs="Times New Roman"/>
          <w:sz w:val="20"/>
          <w:szCs w:val="20"/>
          <w:lang w:bidi="en-US"/>
        </w:rPr>
        <w:t xml:space="preserve">heory focuses on the </w:t>
      </w:r>
      <w:r w:rsidRPr="0040227B">
        <w:rPr>
          <w:rFonts w:ascii="Times New Roman" w:eastAsia="Times New Roman" w:hAnsi="Times New Roman" w:cs="Times New Roman"/>
          <w:sz w:val="20"/>
          <w:szCs w:val="20"/>
          <w:lang w:bidi="en-US"/>
        </w:rPr>
        <w:t xml:space="preserve">choice of attack method </w:t>
      </w:r>
      <w:r w:rsidR="006D3F5E" w:rsidRPr="0040227B">
        <w:rPr>
          <w:rFonts w:ascii="Times New Roman" w:eastAsia="Times New Roman" w:hAnsi="Times New Roman" w:cs="Times New Roman"/>
          <w:sz w:val="20"/>
          <w:szCs w:val="20"/>
          <w:lang w:bidi="en-US"/>
        </w:rPr>
        <w:t>with reference points centred on the</w:t>
      </w:r>
      <w:r w:rsidRPr="0040227B">
        <w:rPr>
          <w:rFonts w:ascii="Times New Roman" w:eastAsia="Times New Roman" w:hAnsi="Times New Roman" w:cs="Times New Roman"/>
          <w:sz w:val="20"/>
          <w:szCs w:val="20"/>
          <w:lang w:bidi="en-US"/>
        </w:rPr>
        <w:t xml:space="preserve"> injuries and fatalities that are expected to result when that attack method is used in an act of terrorism. </w:t>
      </w:r>
      <w:r w:rsidR="001D5322" w:rsidRPr="0040227B">
        <w:rPr>
          <w:rFonts w:ascii="Times New Roman" w:eastAsia="Times New Roman" w:hAnsi="Times New Roman" w:cs="Times New Roman"/>
          <w:sz w:val="20"/>
          <w:szCs w:val="20"/>
          <w:lang w:bidi="en-US"/>
        </w:rPr>
        <w:t xml:space="preserve">This application allows us to compute a set of preference orderings over the different attack method categories identified by the RAND-MIPT database. In contrast to preference orderings that might be constructed on the basis of a full expected utility theory or mean-variance expected utility theory, the orderings that we construct over the RAND-MIPT attack method categories are evaluations based on a prospect value computed on the basis of expected gains and losses from particular reference points. </w:t>
      </w:r>
      <w:r w:rsidR="004B0136" w:rsidRPr="0040227B">
        <w:rPr>
          <w:rFonts w:ascii="Times New Roman" w:eastAsia="Times New Roman" w:hAnsi="Times New Roman" w:cs="Times New Roman"/>
          <w:sz w:val="20"/>
          <w:szCs w:val="20"/>
          <w:lang w:bidi="en-US"/>
        </w:rPr>
        <w:t>W</w:t>
      </w:r>
      <w:r w:rsidR="001D5322" w:rsidRPr="0040227B">
        <w:rPr>
          <w:rFonts w:ascii="Times New Roman" w:eastAsia="Times New Roman" w:hAnsi="Times New Roman" w:cs="Times New Roman"/>
          <w:sz w:val="20"/>
          <w:szCs w:val="20"/>
          <w:lang w:bidi="en-US"/>
        </w:rPr>
        <w:t xml:space="preserve">e have chosen to apply the analysis to a </w:t>
      </w:r>
      <w:r w:rsidR="001D5322" w:rsidRPr="0040227B">
        <w:rPr>
          <w:rFonts w:ascii="Times New Roman" w:eastAsia="Times New Roman" w:hAnsi="Times New Roman" w:cs="Times New Roman"/>
          <w:sz w:val="20"/>
          <w:szCs w:val="20"/>
          <w:lang w:bidi="en-US"/>
        </w:rPr>
        <w:lastRenderedPageBreak/>
        <w:t xml:space="preserve">particular </w:t>
      </w:r>
      <w:r w:rsidR="00033C6C" w:rsidRPr="0040227B">
        <w:rPr>
          <w:rFonts w:ascii="Times New Roman" w:eastAsia="Times New Roman" w:hAnsi="Times New Roman" w:cs="Times New Roman"/>
          <w:sz w:val="20"/>
          <w:szCs w:val="20"/>
          <w:lang w:bidi="en-US"/>
        </w:rPr>
        <w:t xml:space="preserve">type </w:t>
      </w:r>
      <w:r w:rsidR="001D5322" w:rsidRPr="0040227B">
        <w:rPr>
          <w:rFonts w:ascii="Times New Roman" w:eastAsia="Times New Roman" w:hAnsi="Times New Roman" w:cs="Times New Roman"/>
          <w:sz w:val="20"/>
          <w:szCs w:val="20"/>
          <w:lang w:bidi="en-US"/>
        </w:rPr>
        <w:t xml:space="preserve">of violent behaviour. </w:t>
      </w:r>
      <w:r w:rsidR="003616A5" w:rsidRPr="0040227B">
        <w:rPr>
          <w:rFonts w:ascii="Times New Roman" w:eastAsia="Times New Roman" w:hAnsi="Times New Roman" w:cs="Times New Roman"/>
          <w:sz w:val="20"/>
          <w:szCs w:val="20"/>
          <w:lang w:bidi="en-US"/>
        </w:rPr>
        <w:t xml:space="preserve">This behaviour is ‘copycat’ acts of terrorism where the terrorist seeks to emulate or surpass the level of violence inflicted by a predecessor. </w:t>
      </w:r>
    </w:p>
    <w:p w:rsidR="003616A5" w:rsidRPr="0040227B" w:rsidRDefault="003616A5" w:rsidP="0040227B">
      <w:pPr>
        <w:spacing w:after="0" w:line="480" w:lineRule="auto"/>
        <w:jc w:val="both"/>
        <w:rPr>
          <w:rFonts w:ascii="Times New Roman" w:eastAsia="Times New Roman" w:hAnsi="Times New Roman" w:cs="Times New Roman"/>
          <w:sz w:val="20"/>
          <w:szCs w:val="20"/>
          <w:lang w:bidi="en-US"/>
        </w:rPr>
      </w:pPr>
    </w:p>
    <w:p w:rsidR="003616A5" w:rsidRPr="0040227B" w:rsidRDefault="00947802" w:rsidP="0040227B">
      <w:pPr>
        <w:spacing w:after="0" w:line="480" w:lineRule="auto"/>
        <w:jc w:val="both"/>
        <w:rPr>
          <w:rFonts w:ascii="Times New Roman" w:eastAsia="Times New Roman" w:hAnsi="Times New Roman" w:cs="Times New Roman"/>
          <w:sz w:val="20"/>
          <w:szCs w:val="20"/>
          <w:lang w:bidi="en-US"/>
        </w:rPr>
      </w:pPr>
      <w:r w:rsidRPr="0040227B">
        <w:rPr>
          <w:rFonts w:ascii="Times New Roman" w:eastAsia="Times New Roman" w:hAnsi="Times New Roman" w:cs="Times New Roman"/>
          <w:sz w:val="20"/>
          <w:szCs w:val="20"/>
          <w:lang w:bidi="en-US"/>
        </w:rPr>
        <w:t>Copycat acts of violent</w:t>
      </w:r>
      <w:r w:rsidR="00785C20">
        <w:rPr>
          <w:rFonts w:ascii="Times New Roman" w:eastAsia="Times New Roman" w:hAnsi="Times New Roman" w:cs="Times New Roman"/>
          <w:sz w:val="20"/>
          <w:szCs w:val="20"/>
          <w:lang w:bidi="en-US"/>
        </w:rPr>
        <w:t xml:space="preserve"> behaviour</w:t>
      </w:r>
      <w:r w:rsidRPr="0040227B">
        <w:rPr>
          <w:rFonts w:ascii="Times New Roman" w:eastAsia="Times New Roman" w:hAnsi="Times New Roman" w:cs="Times New Roman"/>
          <w:sz w:val="20"/>
          <w:szCs w:val="20"/>
          <w:lang w:bidi="en-US"/>
        </w:rPr>
        <w:t xml:space="preserve"> represent an important challenge to law enforcement and security agencies. For example, the stabbing murder of a British soldier in London was followed</w:t>
      </w:r>
      <w:r w:rsidR="007D6CF6" w:rsidRPr="0040227B">
        <w:rPr>
          <w:rFonts w:ascii="Times New Roman" w:eastAsia="Times New Roman" w:hAnsi="Times New Roman" w:cs="Times New Roman"/>
          <w:sz w:val="20"/>
          <w:szCs w:val="20"/>
          <w:lang w:bidi="en-US"/>
        </w:rPr>
        <w:t xml:space="preserve"> in the same week</w:t>
      </w:r>
      <w:r w:rsidRPr="0040227B">
        <w:rPr>
          <w:rFonts w:ascii="Times New Roman" w:eastAsia="Times New Roman" w:hAnsi="Times New Roman" w:cs="Times New Roman"/>
          <w:sz w:val="20"/>
          <w:szCs w:val="20"/>
          <w:lang w:bidi="en-US"/>
        </w:rPr>
        <w:t xml:space="preserve"> by a stabbing attack on a French soldier in Paris. </w:t>
      </w:r>
      <w:r w:rsidR="007D6CF6" w:rsidRPr="0040227B">
        <w:rPr>
          <w:rFonts w:ascii="Times New Roman" w:eastAsia="Times New Roman" w:hAnsi="Times New Roman" w:cs="Times New Roman"/>
          <w:sz w:val="20"/>
          <w:szCs w:val="20"/>
          <w:lang w:bidi="en-US"/>
        </w:rPr>
        <w:t xml:space="preserve">The parallels between the two attacks </w:t>
      </w:r>
      <w:r w:rsidR="00B76E4B" w:rsidRPr="0040227B">
        <w:rPr>
          <w:rFonts w:ascii="Times New Roman" w:eastAsia="Times New Roman" w:hAnsi="Times New Roman" w:cs="Times New Roman"/>
          <w:sz w:val="20"/>
          <w:szCs w:val="20"/>
          <w:lang w:bidi="en-US"/>
        </w:rPr>
        <w:t>l</w:t>
      </w:r>
      <w:r w:rsidR="007D6CF6" w:rsidRPr="0040227B">
        <w:rPr>
          <w:rFonts w:ascii="Times New Roman" w:eastAsia="Times New Roman" w:hAnsi="Times New Roman" w:cs="Times New Roman"/>
          <w:sz w:val="20"/>
          <w:szCs w:val="20"/>
          <w:lang w:bidi="en-US"/>
        </w:rPr>
        <w:t>ed French authorities to investigate the possibility that the second attack was a ‘copycat’ act of violence rather than an independently premeditated action</w:t>
      </w:r>
      <w:r w:rsidR="007D6CF6" w:rsidRPr="0040227B">
        <w:rPr>
          <w:rStyle w:val="FootnoteReference"/>
          <w:rFonts w:ascii="Times New Roman" w:eastAsia="Times New Roman" w:hAnsi="Times New Roman" w:cs="Times New Roman"/>
          <w:sz w:val="20"/>
          <w:szCs w:val="20"/>
          <w:lang w:bidi="en-US"/>
        </w:rPr>
        <w:footnoteReference w:id="3"/>
      </w:r>
      <w:r w:rsidR="007D6CF6" w:rsidRPr="0040227B">
        <w:rPr>
          <w:rFonts w:ascii="Times New Roman" w:eastAsia="Times New Roman" w:hAnsi="Times New Roman" w:cs="Times New Roman"/>
          <w:sz w:val="20"/>
          <w:szCs w:val="20"/>
          <w:lang w:bidi="en-US"/>
        </w:rPr>
        <w:t>.</w:t>
      </w:r>
      <w:r w:rsidR="00033E5C" w:rsidRPr="0040227B">
        <w:rPr>
          <w:rFonts w:ascii="Times New Roman" w:eastAsia="Times New Roman" w:hAnsi="Times New Roman" w:cs="Times New Roman"/>
          <w:sz w:val="20"/>
          <w:szCs w:val="20"/>
          <w:lang w:bidi="en-US"/>
        </w:rPr>
        <w:t xml:space="preserve"> </w:t>
      </w:r>
      <w:r w:rsidR="00F0359A" w:rsidRPr="0040227B">
        <w:rPr>
          <w:rFonts w:ascii="Times New Roman" w:eastAsia="Times New Roman" w:hAnsi="Times New Roman" w:cs="Times New Roman"/>
          <w:sz w:val="20"/>
          <w:szCs w:val="20"/>
          <w:lang w:bidi="en-US"/>
        </w:rPr>
        <w:t xml:space="preserve">This type of behaviour reaches its nadir when </w:t>
      </w:r>
      <w:r w:rsidR="002027A2" w:rsidRPr="0040227B">
        <w:rPr>
          <w:rFonts w:ascii="Times New Roman" w:eastAsia="Times New Roman" w:hAnsi="Times New Roman" w:cs="Times New Roman"/>
          <w:sz w:val="20"/>
          <w:szCs w:val="20"/>
          <w:lang w:bidi="en-US"/>
        </w:rPr>
        <w:t>the copycat seeks not just to</w:t>
      </w:r>
      <w:r w:rsidR="008E7C93" w:rsidRPr="0040227B">
        <w:rPr>
          <w:rFonts w:ascii="Times New Roman" w:eastAsia="Times New Roman" w:hAnsi="Times New Roman" w:cs="Times New Roman"/>
          <w:sz w:val="20"/>
          <w:szCs w:val="20"/>
          <w:lang w:bidi="en-US"/>
        </w:rPr>
        <w:t xml:space="preserve"> repeat</w:t>
      </w:r>
      <w:r w:rsidR="002027A2" w:rsidRPr="0040227B">
        <w:rPr>
          <w:rFonts w:ascii="Times New Roman" w:eastAsia="Times New Roman" w:hAnsi="Times New Roman" w:cs="Times New Roman"/>
          <w:sz w:val="20"/>
          <w:szCs w:val="20"/>
          <w:lang w:bidi="en-US"/>
        </w:rPr>
        <w:t xml:space="preserve"> </w:t>
      </w:r>
      <w:r w:rsidR="00F0359A" w:rsidRPr="0040227B">
        <w:rPr>
          <w:rFonts w:ascii="Times New Roman" w:eastAsia="Times New Roman" w:hAnsi="Times New Roman" w:cs="Times New Roman"/>
          <w:sz w:val="20"/>
          <w:szCs w:val="20"/>
          <w:lang w:bidi="en-US"/>
        </w:rPr>
        <w:t xml:space="preserve">the symbolism </w:t>
      </w:r>
      <w:r w:rsidR="002027A2" w:rsidRPr="0040227B">
        <w:rPr>
          <w:rFonts w:ascii="Times New Roman" w:eastAsia="Times New Roman" w:hAnsi="Times New Roman" w:cs="Times New Roman"/>
          <w:sz w:val="20"/>
          <w:szCs w:val="20"/>
          <w:lang w:bidi="en-US"/>
        </w:rPr>
        <w:t xml:space="preserve">or </w:t>
      </w:r>
      <w:r w:rsidR="00F0359A" w:rsidRPr="0040227B">
        <w:rPr>
          <w:rFonts w:ascii="Times New Roman" w:eastAsia="Times New Roman" w:hAnsi="Times New Roman" w:cs="Times New Roman"/>
          <w:sz w:val="20"/>
          <w:szCs w:val="20"/>
          <w:lang w:bidi="en-US"/>
        </w:rPr>
        <w:t xml:space="preserve">method of </w:t>
      </w:r>
      <w:r w:rsidR="002027A2" w:rsidRPr="0040227B">
        <w:rPr>
          <w:rFonts w:ascii="Times New Roman" w:eastAsia="Times New Roman" w:hAnsi="Times New Roman" w:cs="Times New Roman"/>
          <w:sz w:val="20"/>
          <w:szCs w:val="20"/>
          <w:lang w:bidi="en-US"/>
        </w:rPr>
        <w:t>a previous</w:t>
      </w:r>
      <w:r w:rsidR="00F0359A" w:rsidRPr="0040227B">
        <w:rPr>
          <w:rFonts w:ascii="Times New Roman" w:eastAsia="Times New Roman" w:hAnsi="Times New Roman" w:cs="Times New Roman"/>
          <w:sz w:val="20"/>
          <w:szCs w:val="20"/>
          <w:lang w:bidi="en-US"/>
        </w:rPr>
        <w:t xml:space="preserve"> attack </w:t>
      </w:r>
      <w:r w:rsidR="002027A2" w:rsidRPr="0040227B">
        <w:rPr>
          <w:rFonts w:ascii="Times New Roman" w:eastAsia="Times New Roman" w:hAnsi="Times New Roman" w:cs="Times New Roman"/>
          <w:sz w:val="20"/>
          <w:szCs w:val="20"/>
          <w:lang w:bidi="en-US"/>
        </w:rPr>
        <w:t>but its outcomes</w:t>
      </w:r>
      <w:r w:rsidR="00F0359A" w:rsidRPr="0040227B">
        <w:rPr>
          <w:rFonts w:ascii="Times New Roman" w:eastAsia="Times New Roman" w:hAnsi="Times New Roman" w:cs="Times New Roman"/>
          <w:sz w:val="20"/>
          <w:szCs w:val="20"/>
          <w:lang w:bidi="en-US"/>
        </w:rPr>
        <w:t xml:space="preserve">. </w:t>
      </w:r>
      <w:r w:rsidR="002027A2" w:rsidRPr="0040227B">
        <w:rPr>
          <w:rFonts w:ascii="Times New Roman" w:eastAsia="Times New Roman" w:hAnsi="Times New Roman" w:cs="Times New Roman"/>
          <w:sz w:val="20"/>
          <w:szCs w:val="20"/>
          <w:lang w:bidi="en-US"/>
        </w:rPr>
        <w:t>What is more,</w:t>
      </w:r>
      <w:r w:rsidR="00F0359A" w:rsidRPr="0040227B">
        <w:rPr>
          <w:rFonts w:ascii="Times New Roman" w:eastAsia="Times New Roman" w:hAnsi="Times New Roman" w:cs="Times New Roman"/>
          <w:sz w:val="20"/>
          <w:szCs w:val="20"/>
          <w:lang w:bidi="en-US"/>
        </w:rPr>
        <w:t xml:space="preserve"> copycat acts of violence that involve an offender attempti</w:t>
      </w:r>
      <w:r w:rsidR="002027A2" w:rsidRPr="0040227B">
        <w:rPr>
          <w:rFonts w:ascii="Times New Roman" w:eastAsia="Times New Roman" w:hAnsi="Times New Roman" w:cs="Times New Roman"/>
          <w:sz w:val="20"/>
          <w:szCs w:val="20"/>
          <w:lang w:bidi="en-US"/>
        </w:rPr>
        <w:t>ng to emulate a predecessor may be mixed with a d</w:t>
      </w:r>
      <w:r w:rsidR="008E7C93" w:rsidRPr="0040227B">
        <w:rPr>
          <w:rFonts w:ascii="Times New Roman" w:eastAsia="Times New Roman" w:hAnsi="Times New Roman" w:cs="Times New Roman"/>
          <w:sz w:val="20"/>
          <w:szCs w:val="20"/>
          <w:lang w:bidi="en-US"/>
        </w:rPr>
        <w:t xml:space="preserve">esire to exceed or surpass </w:t>
      </w:r>
      <w:r w:rsidR="002027A2" w:rsidRPr="0040227B">
        <w:rPr>
          <w:rFonts w:ascii="Times New Roman" w:eastAsia="Times New Roman" w:hAnsi="Times New Roman" w:cs="Times New Roman"/>
          <w:sz w:val="20"/>
          <w:szCs w:val="20"/>
          <w:lang w:bidi="en-US"/>
        </w:rPr>
        <w:t xml:space="preserve">the amount of human tragedy inflicted by the predecessor. </w:t>
      </w:r>
      <w:r w:rsidR="00397DEA" w:rsidRPr="0040227B">
        <w:rPr>
          <w:rFonts w:ascii="Times New Roman" w:eastAsia="Times New Roman" w:hAnsi="Times New Roman" w:cs="Times New Roman"/>
          <w:sz w:val="20"/>
          <w:szCs w:val="20"/>
          <w:lang w:bidi="en-US"/>
        </w:rPr>
        <w:t xml:space="preserve">This type of motivation has been uncovered in investigations of ‘school shootings’. </w:t>
      </w:r>
      <w:proofErr w:type="gramStart"/>
      <w:r w:rsidR="003A3FC1" w:rsidRPr="0040227B">
        <w:rPr>
          <w:rFonts w:ascii="Times New Roman" w:eastAsia="Times New Roman" w:hAnsi="Times New Roman" w:cs="Times New Roman"/>
          <w:sz w:val="20"/>
          <w:szCs w:val="20"/>
          <w:lang w:bidi="en-US"/>
        </w:rPr>
        <w:t>Robertz (2007) reports that perpetrators of ‘school shootings’ frequently “...state a desire to do it [the spree] ‘better’ than their predecessors — which generally means killing even more people.”</w:t>
      </w:r>
      <w:proofErr w:type="gramEnd"/>
      <w:r w:rsidR="003A3FC1" w:rsidRPr="0040227B">
        <w:rPr>
          <w:rFonts w:ascii="Times New Roman" w:eastAsia="Times New Roman" w:hAnsi="Times New Roman" w:cs="Times New Roman"/>
          <w:sz w:val="20"/>
          <w:szCs w:val="20"/>
          <w:lang w:bidi="en-US"/>
        </w:rPr>
        <w:t xml:space="preserve"> Our approach provides a starting point for the analysis of this type of behaviour within a terrorism context. </w:t>
      </w:r>
    </w:p>
    <w:p w:rsidR="003A3FC1" w:rsidRPr="0040227B" w:rsidRDefault="003A3FC1" w:rsidP="0040227B">
      <w:pPr>
        <w:spacing w:after="0" w:line="480" w:lineRule="auto"/>
        <w:jc w:val="both"/>
        <w:rPr>
          <w:rFonts w:ascii="Times New Roman" w:eastAsia="Times New Roman" w:hAnsi="Times New Roman" w:cs="Times New Roman"/>
          <w:sz w:val="20"/>
          <w:szCs w:val="20"/>
          <w:lang w:bidi="en-US"/>
        </w:rPr>
      </w:pPr>
    </w:p>
    <w:p w:rsidR="001C7DC2" w:rsidRPr="0040227B" w:rsidRDefault="00BC6703" w:rsidP="0040227B">
      <w:pPr>
        <w:spacing w:after="0" w:line="480" w:lineRule="auto"/>
        <w:jc w:val="both"/>
        <w:rPr>
          <w:rFonts w:ascii="Times New Roman" w:eastAsia="Times New Roman" w:hAnsi="Times New Roman" w:cs="Times New Roman"/>
          <w:sz w:val="20"/>
          <w:szCs w:val="20"/>
          <w:lang w:bidi="en-US"/>
        </w:rPr>
      </w:pPr>
      <w:r w:rsidRPr="0040227B">
        <w:rPr>
          <w:rFonts w:ascii="Times New Roman" w:eastAsia="Times New Roman" w:hAnsi="Times New Roman" w:cs="Times New Roman"/>
          <w:sz w:val="20"/>
          <w:szCs w:val="20"/>
          <w:lang w:bidi="en-US"/>
        </w:rPr>
        <w:t>Although the focus of our analysis is on the individual or lone wolf offender there</w:t>
      </w:r>
      <w:r w:rsidR="00612AD1" w:rsidRPr="0040227B">
        <w:rPr>
          <w:rFonts w:ascii="Times New Roman" w:eastAsia="Times New Roman" w:hAnsi="Times New Roman" w:cs="Times New Roman"/>
          <w:sz w:val="20"/>
          <w:szCs w:val="20"/>
          <w:lang w:bidi="en-US"/>
        </w:rPr>
        <w:t xml:space="preserve"> is evidence that</w:t>
      </w:r>
      <w:r w:rsidR="00144376" w:rsidRPr="0040227B">
        <w:rPr>
          <w:rFonts w:ascii="Times New Roman" w:eastAsia="Times New Roman" w:hAnsi="Times New Roman" w:cs="Times New Roman"/>
          <w:sz w:val="20"/>
          <w:szCs w:val="20"/>
          <w:lang w:bidi="en-US"/>
        </w:rPr>
        <w:t xml:space="preserve"> the actions and choices of terrorist</w:t>
      </w:r>
      <w:r w:rsidRPr="0040227B">
        <w:rPr>
          <w:rFonts w:ascii="Times New Roman" w:eastAsia="Times New Roman" w:hAnsi="Times New Roman" w:cs="Times New Roman"/>
          <w:sz w:val="20"/>
          <w:szCs w:val="20"/>
          <w:lang w:bidi="en-US"/>
        </w:rPr>
        <w:t xml:space="preserve"> group</w:t>
      </w:r>
      <w:r w:rsidR="00144376" w:rsidRPr="0040227B">
        <w:rPr>
          <w:rFonts w:ascii="Times New Roman" w:eastAsia="Times New Roman" w:hAnsi="Times New Roman" w:cs="Times New Roman"/>
          <w:sz w:val="20"/>
          <w:szCs w:val="20"/>
          <w:lang w:bidi="en-US"/>
        </w:rPr>
        <w:t xml:space="preserve">s </w:t>
      </w:r>
      <w:r w:rsidRPr="0040227B">
        <w:rPr>
          <w:rFonts w:ascii="Times New Roman" w:eastAsia="Times New Roman" w:hAnsi="Times New Roman" w:cs="Times New Roman"/>
          <w:sz w:val="20"/>
          <w:szCs w:val="20"/>
          <w:lang w:bidi="en-US"/>
        </w:rPr>
        <w:t>are</w:t>
      </w:r>
      <w:r w:rsidR="00144376" w:rsidRPr="0040227B">
        <w:rPr>
          <w:rFonts w:ascii="Times New Roman" w:eastAsia="Times New Roman" w:hAnsi="Times New Roman" w:cs="Times New Roman"/>
          <w:sz w:val="20"/>
          <w:szCs w:val="20"/>
          <w:lang w:bidi="en-US"/>
        </w:rPr>
        <w:t xml:space="preserve"> undertaken </w:t>
      </w:r>
      <w:r w:rsidR="00612AD1" w:rsidRPr="0040227B">
        <w:rPr>
          <w:rFonts w:ascii="Times New Roman" w:eastAsia="Times New Roman" w:hAnsi="Times New Roman" w:cs="Times New Roman"/>
          <w:sz w:val="20"/>
          <w:szCs w:val="20"/>
          <w:lang w:bidi="en-US"/>
        </w:rPr>
        <w:t>with reference to other groups’</w:t>
      </w:r>
      <w:r w:rsidR="00AE503B" w:rsidRPr="0040227B">
        <w:rPr>
          <w:rFonts w:ascii="Times New Roman" w:eastAsia="Times New Roman" w:hAnsi="Times New Roman" w:cs="Times New Roman"/>
          <w:sz w:val="20"/>
          <w:szCs w:val="20"/>
          <w:lang w:bidi="en-US"/>
        </w:rPr>
        <w:t xml:space="preserve"> actions</w:t>
      </w:r>
      <w:r w:rsidR="00612AD1" w:rsidRPr="0040227B">
        <w:rPr>
          <w:rFonts w:ascii="Times New Roman" w:eastAsia="Times New Roman" w:hAnsi="Times New Roman" w:cs="Times New Roman"/>
          <w:sz w:val="20"/>
          <w:szCs w:val="20"/>
          <w:lang w:bidi="en-US"/>
        </w:rPr>
        <w:t xml:space="preserve">. The type of </w:t>
      </w:r>
      <w:r w:rsidRPr="0040227B">
        <w:rPr>
          <w:rFonts w:ascii="Times New Roman" w:eastAsia="Times New Roman" w:hAnsi="Times New Roman" w:cs="Times New Roman"/>
          <w:sz w:val="20"/>
          <w:szCs w:val="20"/>
          <w:lang w:bidi="en-US"/>
        </w:rPr>
        <w:t xml:space="preserve">competitive </w:t>
      </w:r>
      <w:r w:rsidR="00612AD1" w:rsidRPr="0040227B">
        <w:rPr>
          <w:rFonts w:ascii="Times New Roman" w:eastAsia="Times New Roman" w:hAnsi="Times New Roman" w:cs="Times New Roman"/>
          <w:sz w:val="20"/>
          <w:szCs w:val="20"/>
          <w:lang w:bidi="en-US"/>
        </w:rPr>
        <w:t xml:space="preserve">behaviour identified by </w:t>
      </w:r>
      <w:r w:rsidR="00880DD1">
        <w:rPr>
          <w:rFonts w:ascii="Times New Roman" w:eastAsia="Times New Roman" w:hAnsi="Times New Roman" w:cs="Times New Roman"/>
          <w:sz w:val="20"/>
          <w:szCs w:val="20"/>
          <w:lang w:bidi="en-US"/>
        </w:rPr>
        <w:t>Caruso and Schneider (</w:t>
      </w:r>
      <w:r w:rsidR="00B6272B" w:rsidRPr="0040227B">
        <w:rPr>
          <w:rFonts w:ascii="Times New Roman" w:eastAsia="Times New Roman" w:hAnsi="Times New Roman" w:cs="Times New Roman"/>
          <w:sz w:val="20"/>
          <w:szCs w:val="20"/>
          <w:lang w:bidi="en-US"/>
        </w:rPr>
        <w:t>2013</w:t>
      </w:r>
      <w:r w:rsidR="00144376" w:rsidRPr="0040227B">
        <w:rPr>
          <w:rFonts w:ascii="Times New Roman" w:eastAsia="Times New Roman" w:hAnsi="Times New Roman" w:cs="Times New Roman"/>
          <w:sz w:val="20"/>
          <w:szCs w:val="20"/>
          <w:lang w:bidi="en-US"/>
        </w:rPr>
        <w:t xml:space="preserve">) </w:t>
      </w:r>
      <w:r w:rsidR="00612AD1" w:rsidRPr="0040227B">
        <w:rPr>
          <w:rFonts w:ascii="Times New Roman" w:eastAsia="Times New Roman" w:hAnsi="Times New Roman" w:cs="Times New Roman"/>
          <w:sz w:val="20"/>
          <w:szCs w:val="20"/>
          <w:lang w:bidi="en-US"/>
        </w:rPr>
        <w:t>is one example</w:t>
      </w:r>
      <w:r w:rsidR="00144376" w:rsidRPr="0040227B">
        <w:rPr>
          <w:rFonts w:ascii="Times New Roman" w:eastAsia="Times New Roman" w:hAnsi="Times New Roman" w:cs="Times New Roman"/>
          <w:sz w:val="20"/>
          <w:szCs w:val="20"/>
          <w:lang w:bidi="en-US"/>
        </w:rPr>
        <w:t xml:space="preserve">. Additional evidence </w:t>
      </w:r>
      <w:r w:rsidR="00B76E4B" w:rsidRPr="0040227B">
        <w:rPr>
          <w:rFonts w:ascii="Times New Roman" w:eastAsia="Times New Roman" w:hAnsi="Times New Roman" w:cs="Times New Roman"/>
          <w:sz w:val="20"/>
          <w:szCs w:val="20"/>
          <w:lang w:bidi="en-US"/>
        </w:rPr>
        <w:t>comes</w:t>
      </w:r>
      <w:r w:rsidR="00144376" w:rsidRPr="0040227B">
        <w:rPr>
          <w:rFonts w:ascii="Times New Roman" w:eastAsia="Times New Roman" w:hAnsi="Times New Roman" w:cs="Times New Roman"/>
          <w:sz w:val="20"/>
          <w:szCs w:val="20"/>
          <w:lang w:bidi="en-US"/>
        </w:rPr>
        <w:t xml:space="preserve"> from </w:t>
      </w:r>
      <w:r w:rsidRPr="0040227B">
        <w:rPr>
          <w:rFonts w:ascii="Times New Roman" w:eastAsia="Times New Roman" w:hAnsi="Times New Roman" w:cs="Times New Roman"/>
          <w:sz w:val="20"/>
          <w:szCs w:val="20"/>
          <w:lang w:bidi="en-US"/>
        </w:rPr>
        <w:t xml:space="preserve">the narratives </w:t>
      </w:r>
      <w:r w:rsidR="00B76E4B" w:rsidRPr="0040227B">
        <w:rPr>
          <w:rFonts w:ascii="Times New Roman" w:eastAsia="Times New Roman" w:hAnsi="Times New Roman" w:cs="Times New Roman"/>
          <w:sz w:val="20"/>
          <w:szCs w:val="20"/>
          <w:lang w:bidi="en-US"/>
        </w:rPr>
        <w:t>provided</w:t>
      </w:r>
      <w:r w:rsidRPr="0040227B">
        <w:rPr>
          <w:rFonts w:ascii="Times New Roman" w:eastAsia="Times New Roman" w:hAnsi="Times New Roman" w:cs="Times New Roman"/>
          <w:sz w:val="20"/>
          <w:szCs w:val="20"/>
          <w:lang w:bidi="en-US"/>
        </w:rPr>
        <w:t xml:space="preserve"> </w:t>
      </w:r>
      <w:r w:rsidR="00B76E4B" w:rsidRPr="0040227B">
        <w:rPr>
          <w:rFonts w:ascii="Times New Roman" w:eastAsia="Times New Roman" w:hAnsi="Times New Roman" w:cs="Times New Roman"/>
          <w:sz w:val="20"/>
          <w:szCs w:val="20"/>
          <w:lang w:bidi="en-US"/>
        </w:rPr>
        <w:t>by</w:t>
      </w:r>
      <w:r w:rsidR="00144376" w:rsidRPr="0040227B">
        <w:rPr>
          <w:rFonts w:ascii="Times New Roman" w:eastAsia="Times New Roman" w:hAnsi="Times New Roman" w:cs="Times New Roman"/>
          <w:sz w:val="20"/>
          <w:szCs w:val="20"/>
          <w:lang w:bidi="en-US"/>
        </w:rPr>
        <w:t xml:space="preserve"> </w:t>
      </w:r>
      <w:r w:rsidR="00B76E4B" w:rsidRPr="0040227B">
        <w:rPr>
          <w:rFonts w:ascii="Times New Roman" w:eastAsia="Times New Roman" w:hAnsi="Times New Roman" w:cs="Times New Roman"/>
          <w:sz w:val="20"/>
          <w:szCs w:val="20"/>
          <w:lang w:bidi="en-US"/>
        </w:rPr>
        <w:t xml:space="preserve">former </w:t>
      </w:r>
      <w:r w:rsidR="00144376" w:rsidRPr="0040227B">
        <w:rPr>
          <w:rFonts w:ascii="Times New Roman" w:eastAsia="Times New Roman" w:hAnsi="Times New Roman" w:cs="Times New Roman"/>
          <w:sz w:val="20"/>
          <w:szCs w:val="20"/>
          <w:lang w:bidi="en-US"/>
        </w:rPr>
        <w:t>terrorist group</w:t>
      </w:r>
      <w:r w:rsidRPr="0040227B">
        <w:rPr>
          <w:rFonts w:ascii="Times New Roman" w:eastAsia="Times New Roman" w:hAnsi="Times New Roman" w:cs="Times New Roman"/>
          <w:sz w:val="20"/>
          <w:szCs w:val="20"/>
          <w:lang w:bidi="en-US"/>
        </w:rPr>
        <w:t xml:space="preserve"> member</w:t>
      </w:r>
      <w:r w:rsidR="00144376" w:rsidRPr="0040227B">
        <w:rPr>
          <w:rFonts w:ascii="Times New Roman" w:eastAsia="Times New Roman" w:hAnsi="Times New Roman" w:cs="Times New Roman"/>
          <w:sz w:val="20"/>
          <w:szCs w:val="20"/>
          <w:lang w:bidi="en-US"/>
        </w:rPr>
        <w:t xml:space="preserve">s. </w:t>
      </w:r>
      <w:r w:rsidR="00AE503B" w:rsidRPr="0040227B">
        <w:rPr>
          <w:rFonts w:ascii="Times New Roman" w:eastAsia="Times New Roman" w:hAnsi="Times New Roman" w:cs="Times New Roman"/>
          <w:sz w:val="20"/>
          <w:szCs w:val="20"/>
          <w:lang w:bidi="en-US"/>
        </w:rPr>
        <w:t xml:space="preserve">For </w:t>
      </w:r>
      <w:r w:rsidR="00612AD1" w:rsidRPr="0040227B">
        <w:rPr>
          <w:rFonts w:ascii="Times New Roman" w:eastAsia="Times New Roman" w:hAnsi="Times New Roman" w:cs="Times New Roman"/>
          <w:sz w:val="20"/>
          <w:szCs w:val="20"/>
          <w:lang w:bidi="en-US"/>
        </w:rPr>
        <w:t>e</w:t>
      </w:r>
      <w:r w:rsidR="00AE503B" w:rsidRPr="0040227B">
        <w:rPr>
          <w:rFonts w:ascii="Times New Roman" w:eastAsia="Times New Roman" w:hAnsi="Times New Roman" w:cs="Times New Roman"/>
          <w:sz w:val="20"/>
          <w:szCs w:val="20"/>
          <w:lang w:bidi="en-US"/>
        </w:rPr>
        <w:t>xample, the Red Army Faction (RAF), which</w:t>
      </w:r>
      <w:r w:rsidR="00144376" w:rsidRPr="0040227B">
        <w:rPr>
          <w:rFonts w:ascii="Times New Roman" w:eastAsia="Times New Roman" w:hAnsi="Times New Roman" w:cs="Times New Roman"/>
          <w:sz w:val="20"/>
          <w:szCs w:val="20"/>
          <w:lang w:bidi="en-US"/>
        </w:rPr>
        <w:t xml:space="preserve"> was active in </w:t>
      </w:r>
      <w:r w:rsidR="00AE503B" w:rsidRPr="0040227B">
        <w:rPr>
          <w:rFonts w:ascii="Times New Roman" w:eastAsia="Times New Roman" w:hAnsi="Times New Roman" w:cs="Times New Roman"/>
          <w:sz w:val="20"/>
          <w:szCs w:val="20"/>
          <w:lang w:bidi="en-US"/>
        </w:rPr>
        <w:t xml:space="preserve">Germany in </w:t>
      </w:r>
      <w:r w:rsidR="00144376" w:rsidRPr="0040227B">
        <w:rPr>
          <w:rFonts w:ascii="Times New Roman" w:eastAsia="Times New Roman" w:hAnsi="Times New Roman" w:cs="Times New Roman"/>
          <w:sz w:val="20"/>
          <w:szCs w:val="20"/>
          <w:lang w:bidi="en-US"/>
        </w:rPr>
        <w:t>the 1970s until the early 1990s</w:t>
      </w:r>
      <w:r w:rsidR="00AE503B" w:rsidRPr="0040227B">
        <w:rPr>
          <w:rFonts w:ascii="Times New Roman" w:eastAsia="Times New Roman" w:hAnsi="Times New Roman" w:cs="Times New Roman"/>
          <w:sz w:val="20"/>
          <w:szCs w:val="20"/>
          <w:lang w:bidi="en-US"/>
        </w:rPr>
        <w:t xml:space="preserve">, </w:t>
      </w:r>
      <w:r w:rsidR="00144376" w:rsidRPr="0040227B">
        <w:rPr>
          <w:rFonts w:ascii="Times New Roman" w:eastAsia="Times New Roman" w:hAnsi="Times New Roman" w:cs="Times New Roman"/>
          <w:sz w:val="20"/>
          <w:szCs w:val="20"/>
          <w:lang w:bidi="en-US"/>
        </w:rPr>
        <w:t>operated at a similar time to the “</w:t>
      </w:r>
      <w:proofErr w:type="spellStart"/>
      <w:r w:rsidR="00144376" w:rsidRPr="0040227B">
        <w:rPr>
          <w:rFonts w:ascii="Times New Roman" w:eastAsia="Times New Roman" w:hAnsi="Times New Roman" w:cs="Times New Roman"/>
          <w:sz w:val="20"/>
          <w:szCs w:val="20"/>
          <w:lang w:bidi="en-US"/>
        </w:rPr>
        <w:t>Bewegung</w:t>
      </w:r>
      <w:proofErr w:type="spellEnd"/>
      <w:r w:rsidR="00144376" w:rsidRPr="0040227B">
        <w:rPr>
          <w:rFonts w:ascii="Times New Roman" w:eastAsia="Times New Roman" w:hAnsi="Times New Roman" w:cs="Times New Roman"/>
          <w:sz w:val="20"/>
          <w:szCs w:val="20"/>
          <w:lang w:bidi="en-US"/>
        </w:rPr>
        <w:t xml:space="preserve"> 2. </w:t>
      </w:r>
      <w:proofErr w:type="spellStart"/>
      <w:r w:rsidR="00144376" w:rsidRPr="0040227B">
        <w:rPr>
          <w:rFonts w:ascii="Times New Roman" w:eastAsia="Times New Roman" w:hAnsi="Times New Roman" w:cs="Times New Roman"/>
          <w:sz w:val="20"/>
          <w:szCs w:val="20"/>
          <w:lang w:bidi="en-US"/>
        </w:rPr>
        <w:t>Juni</w:t>
      </w:r>
      <w:proofErr w:type="spellEnd"/>
      <w:r w:rsidR="00144376" w:rsidRPr="0040227B">
        <w:rPr>
          <w:rFonts w:ascii="Times New Roman" w:eastAsia="Times New Roman" w:hAnsi="Times New Roman" w:cs="Times New Roman"/>
          <w:sz w:val="20"/>
          <w:szCs w:val="20"/>
          <w:lang w:bidi="en-US"/>
        </w:rPr>
        <w:t>” (B2J)—the Movement of the Second of June (</w:t>
      </w:r>
      <w:proofErr w:type="spellStart"/>
      <w:proofErr w:type="gramStart"/>
      <w:r w:rsidR="00144376" w:rsidRPr="0040227B">
        <w:rPr>
          <w:rFonts w:ascii="Times New Roman" w:eastAsia="Times New Roman" w:hAnsi="Times New Roman" w:cs="Times New Roman"/>
          <w:sz w:val="20"/>
          <w:szCs w:val="20"/>
          <w:lang w:bidi="en-US"/>
        </w:rPr>
        <w:t>d</w:t>
      </w:r>
      <w:r w:rsidR="00612AD1" w:rsidRPr="0040227B">
        <w:rPr>
          <w:rFonts w:ascii="Times New Roman" w:eastAsia="Times New Roman" w:hAnsi="Times New Roman" w:cs="Times New Roman"/>
          <w:sz w:val="20"/>
          <w:szCs w:val="20"/>
          <w:lang w:bidi="en-US"/>
        </w:rPr>
        <w:t>ella</w:t>
      </w:r>
      <w:proofErr w:type="spellEnd"/>
      <w:proofErr w:type="gramEnd"/>
      <w:r w:rsidR="00612AD1" w:rsidRPr="0040227B">
        <w:rPr>
          <w:rFonts w:ascii="Times New Roman" w:eastAsia="Times New Roman" w:hAnsi="Times New Roman" w:cs="Times New Roman"/>
          <w:sz w:val="20"/>
          <w:szCs w:val="20"/>
          <w:lang w:bidi="en-US"/>
        </w:rPr>
        <w:t xml:space="preserve"> </w:t>
      </w:r>
      <w:proofErr w:type="spellStart"/>
      <w:r w:rsidR="00612AD1" w:rsidRPr="0040227B">
        <w:rPr>
          <w:rFonts w:ascii="Times New Roman" w:eastAsia="Times New Roman" w:hAnsi="Times New Roman" w:cs="Times New Roman"/>
          <w:sz w:val="20"/>
          <w:szCs w:val="20"/>
          <w:lang w:bidi="en-US"/>
        </w:rPr>
        <w:t>Porta</w:t>
      </w:r>
      <w:proofErr w:type="spellEnd"/>
      <w:r w:rsidR="00612AD1" w:rsidRPr="0040227B">
        <w:rPr>
          <w:rFonts w:ascii="Times New Roman" w:eastAsia="Times New Roman" w:hAnsi="Times New Roman" w:cs="Times New Roman"/>
          <w:sz w:val="20"/>
          <w:szCs w:val="20"/>
          <w:lang w:bidi="en-US"/>
        </w:rPr>
        <w:t xml:space="preserve"> 1995, pp.99-101). The literature indicates</w:t>
      </w:r>
      <w:r w:rsidR="00144376" w:rsidRPr="0040227B">
        <w:rPr>
          <w:rFonts w:ascii="Times New Roman" w:eastAsia="Times New Roman" w:hAnsi="Times New Roman" w:cs="Times New Roman"/>
          <w:sz w:val="20"/>
          <w:szCs w:val="20"/>
          <w:lang w:bidi="en-US"/>
        </w:rPr>
        <w:t xml:space="preserve"> varying degrees of competition between the RAF and the B2J (see Baumann cited in </w:t>
      </w:r>
      <w:proofErr w:type="spellStart"/>
      <w:r w:rsidR="00144376" w:rsidRPr="0040227B">
        <w:rPr>
          <w:rFonts w:ascii="Times New Roman" w:eastAsia="Times New Roman" w:hAnsi="Times New Roman" w:cs="Times New Roman"/>
          <w:sz w:val="20"/>
          <w:szCs w:val="20"/>
          <w:lang w:bidi="en-US"/>
        </w:rPr>
        <w:t>Wunschik</w:t>
      </w:r>
      <w:proofErr w:type="spellEnd"/>
      <w:r w:rsidR="00144376" w:rsidRPr="0040227B">
        <w:rPr>
          <w:rFonts w:ascii="Times New Roman" w:eastAsia="Times New Roman" w:hAnsi="Times New Roman" w:cs="Times New Roman"/>
          <w:sz w:val="20"/>
          <w:szCs w:val="20"/>
          <w:lang w:bidi="en-US"/>
        </w:rPr>
        <w:t xml:space="preserve"> 2006 p. 542, Peters 2008 p.321, Winkler 2007 p.246, 247) and it is not surprising to find that actions by the RAF were at least partially </w:t>
      </w:r>
      <w:r w:rsidR="00612AD1" w:rsidRPr="0040227B">
        <w:rPr>
          <w:rFonts w:ascii="Times New Roman" w:eastAsia="Times New Roman" w:hAnsi="Times New Roman" w:cs="Times New Roman"/>
          <w:sz w:val="20"/>
          <w:szCs w:val="20"/>
          <w:lang w:bidi="en-US"/>
        </w:rPr>
        <w:t>‘referenced’ to</w:t>
      </w:r>
      <w:r w:rsidR="00144376" w:rsidRPr="0040227B">
        <w:rPr>
          <w:rFonts w:ascii="Times New Roman" w:eastAsia="Times New Roman" w:hAnsi="Times New Roman" w:cs="Times New Roman"/>
          <w:sz w:val="20"/>
          <w:szCs w:val="20"/>
          <w:lang w:bidi="en-US"/>
        </w:rPr>
        <w:t xml:space="preserve"> comparative actions by the B2J and other terrorist </w:t>
      </w:r>
      <w:r w:rsidRPr="0040227B">
        <w:rPr>
          <w:rFonts w:ascii="Times New Roman" w:eastAsia="Times New Roman" w:hAnsi="Times New Roman" w:cs="Times New Roman"/>
          <w:sz w:val="20"/>
          <w:szCs w:val="20"/>
          <w:lang w:bidi="en-US"/>
        </w:rPr>
        <w:t>group</w:t>
      </w:r>
      <w:r w:rsidR="00144376" w:rsidRPr="0040227B">
        <w:rPr>
          <w:rFonts w:ascii="Times New Roman" w:eastAsia="Times New Roman" w:hAnsi="Times New Roman" w:cs="Times New Roman"/>
          <w:sz w:val="20"/>
          <w:szCs w:val="20"/>
          <w:lang w:bidi="en-US"/>
        </w:rPr>
        <w:t>s. An interview conducted with Stefan Wisniewski, an acti</w:t>
      </w:r>
      <w:r w:rsidR="00AE503B" w:rsidRPr="0040227B">
        <w:rPr>
          <w:rFonts w:ascii="Times New Roman" w:eastAsia="Times New Roman" w:hAnsi="Times New Roman" w:cs="Times New Roman"/>
          <w:sz w:val="20"/>
          <w:szCs w:val="20"/>
          <w:lang w:bidi="en-US"/>
        </w:rPr>
        <w:t>ve member of the RAF, provides</w:t>
      </w:r>
      <w:r w:rsidR="00144376" w:rsidRPr="0040227B">
        <w:rPr>
          <w:rFonts w:ascii="Times New Roman" w:eastAsia="Times New Roman" w:hAnsi="Times New Roman" w:cs="Times New Roman"/>
          <w:sz w:val="20"/>
          <w:szCs w:val="20"/>
          <w:lang w:bidi="en-US"/>
        </w:rPr>
        <w:t xml:space="preserve"> insights on the salience of reference points for the choices of the RAF. In 1978, Stefan Wisniewski was charged and sentenced to life in prison for participation in the RAF kidnapping and murder of </w:t>
      </w:r>
      <w:proofErr w:type="spellStart"/>
      <w:r w:rsidR="00144376" w:rsidRPr="0040227B">
        <w:rPr>
          <w:rFonts w:ascii="Times New Roman" w:eastAsia="Times New Roman" w:hAnsi="Times New Roman" w:cs="Times New Roman"/>
          <w:sz w:val="20"/>
          <w:szCs w:val="20"/>
          <w:lang w:bidi="en-US"/>
        </w:rPr>
        <w:t>Hanns</w:t>
      </w:r>
      <w:proofErr w:type="spellEnd"/>
      <w:r w:rsidR="00144376" w:rsidRPr="0040227B">
        <w:rPr>
          <w:rFonts w:ascii="Times New Roman" w:eastAsia="Times New Roman" w:hAnsi="Times New Roman" w:cs="Times New Roman"/>
          <w:sz w:val="20"/>
          <w:szCs w:val="20"/>
          <w:lang w:bidi="en-US"/>
        </w:rPr>
        <w:t xml:space="preserve">-Martin </w:t>
      </w:r>
      <w:proofErr w:type="spellStart"/>
      <w:r w:rsidR="00144376" w:rsidRPr="0040227B">
        <w:rPr>
          <w:rFonts w:ascii="Times New Roman" w:eastAsia="Times New Roman" w:hAnsi="Times New Roman" w:cs="Times New Roman"/>
          <w:sz w:val="20"/>
          <w:szCs w:val="20"/>
          <w:lang w:bidi="en-US"/>
        </w:rPr>
        <w:t>Schleyer</w:t>
      </w:r>
      <w:proofErr w:type="spellEnd"/>
      <w:r w:rsidR="00144376" w:rsidRPr="0040227B">
        <w:rPr>
          <w:rFonts w:ascii="Times New Roman" w:eastAsia="Times New Roman" w:hAnsi="Times New Roman" w:cs="Times New Roman"/>
          <w:sz w:val="20"/>
          <w:szCs w:val="20"/>
          <w:lang w:bidi="en-US"/>
        </w:rPr>
        <w:t xml:space="preserve">, President of the German Employers’ Association, in 1977. In an interview conducted in an Aachen prison in 1997, Wisniewski makes several remarks which clearly point towards terrorists using their own previous actions and those of other terrorist </w:t>
      </w:r>
      <w:r w:rsidR="00612AD1" w:rsidRPr="0040227B">
        <w:rPr>
          <w:rFonts w:ascii="Times New Roman" w:eastAsia="Times New Roman" w:hAnsi="Times New Roman" w:cs="Times New Roman"/>
          <w:sz w:val="20"/>
          <w:szCs w:val="20"/>
          <w:lang w:bidi="en-US"/>
        </w:rPr>
        <w:t>groups</w:t>
      </w:r>
      <w:r w:rsidR="00144376" w:rsidRPr="0040227B">
        <w:rPr>
          <w:rFonts w:ascii="Times New Roman" w:eastAsia="Times New Roman" w:hAnsi="Times New Roman" w:cs="Times New Roman"/>
          <w:sz w:val="20"/>
          <w:szCs w:val="20"/>
          <w:lang w:bidi="en-US"/>
        </w:rPr>
        <w:t xml:space="preserve"> as reference points in the </w:t>
      </w:r>
      <w:r w:rsidR="00144376" w:rsidRPr="0040227B">
        <w:rPr>
          <w:rFonts w:ascii="Times New Roman" w:eastAsia="Times New Roman" w:hAnsi="Times New Roman" w:cs="Times New Roman"/>
          <w:sz w:val="20"/>
          <w:szCs w:val="20"/>
          <w:lang w:bidi="en-US"/>
        </w:rPr>
        <w:lastRenderedPageBreak/>
        <w:t xml:space="preserve">planning </w:t>
      </w:r>
      <w:r w:rsidRPr="0040227B">
        <w:rPr>
          <w:rFonts w:ascii="Times New Roman" w:eastAsia="Times New Roman" w:hAnsi="Times New Roman" w:cs="Times New Roman"/>
          <w:sz w:val="20"/>
          <w:szCs w:val="20"/>
          <w:lang w:bidi="en-US"/>
        </w:rPr>
        <w:t xml:space="preserve">and execution of future actions. Of particular interest is </w:t>
      </w:r>
      <w:r w:rsidR="00623838">
        <w:rPr>
          <w:rFonts w:ascii="Times New Roman" w:eastAsia="Times New Roman" w:hAnsi="Times New Roman" w:cs="Times New Roman"/>
          <w:sz w:val="20"/>
          <w:szCs w:val="20"/>
          <w:lang w:bidi="en-US"/>
        </w:rPr>
        <w:t>the comment made by Wisniewski</w:t>
      </w:r>
      <w:r w:rsidRPr="0040227B">
        <w:rPr>
          <w:rFonts w:ascii="Times New Roman" w:eastAsia="Times New Roman" w:hAnsi="Times New Roman" w:cs="Times New Roman"/>
          <w:sz w:val="20"/>
          <w:szCs w:val="20"/>
          <w:lang w:bidi="en-US"/>
        </w:rPr>
        <w:t xml:space="preserve"> that </w:t>
      </w:r>
      <w:r w:rsidR="00623838">
        <w:rPr>
          <w:rFonts w:ascii="Times New Roman" w:eastAsia="Times New Roman" w:hAnsi="Times New Roman" w:cs="Times New Roman"/>
          <w:sz w:val="20"/>
          <w:szCs w:val="20"/>
          <w:lang w:bidi="en-US"/>
        </w:rPr>
        <w:t>the B2J</w:t>
      </w:r>
      <w:r w:rsidR="001C7DC2" w:rsidRPr="0040227B">
        <w:rPr>
          <w:rFonts w:ascii="Times New Roman" w:eastAsia="Times New Roman" w:hAnsi="Times New Roman" w:cs="Times New Roman"/>
          <w:sz w:val="20"/>
          <w:szCs w:val="20"/>
          <w:lang w:bidi="en-US"/>
        </w:rPr>
        <w:t xml:space="preserve"> kidnapping of Lorenz in 1975 indicated a scale or proportion of action of which the RAF took note:</w:t>
      </w:r>
    </w:p>
    <w:p w:rsidR="001C7DC2" w:rsidRPr="0040227B" w:rsidRDefault="001C7DC2" w:rsidP="0040227B">
      <w:pPr>
        <w:spacing w:after="0" w:line="480" w:lineRule="auto"/>
        <w:jc w:val="both"/>
        <w:rPr>
          <w:rFonts w:ascii="Times New Roman" w:eastAsia="Times New Roman" w:hAnsi="Times New Roman" w:cs="Times New Roman"/>
          <w:sz w:val="20"/>
          <w:szCs w:val="20"/>
          <w:lang w:bidi="en-US"/>
        </w:rPr>
      </w:pPr>
    </w:p>
    <w:p w:rsidR="001C7DC2" w:rsidRPr="0040227B" w:rsidRDefault="001C7DC2" w:rsidP="0040227B">
      <w:pPr>
        <w:spacing w:after="0" w:line="480" w:lineRule="auto"/>
        <w:ind w:left="1134" w:right="1134"/>
        <w:jc w:val="both"/>
        <w:rPr>
          <w:rFonts w:ascii="Times New Roman" w:eastAsia="Times New Roman" w:hAnsi="Times New Roman" w:cs="Times New Roman"/>
          <w:sz w:val="20"/>
          <w:szCs w:val="20"/>
          <w:lang w:bidi="en-US"/>
        </w:rPr>
      </w:pPr>
      <w:r w:rsidRPr="0040227B">
        <w:rPr>
          <w:rFonts w:ascii="Times New Roman" w:eastAsia="Times New Roman" w:hAnsi="Times New Roman" w:cs="Times New Roman"/>
          <w:i/>
          <w:sz w:val="20"/>
          <w:szCs w:val="20"/>
          <w:lang w:val="de-DE" w:bidi="en-US"/>
        </w:rPr>
        <w:t xml:space="preserve">Am Augenmaß der Bewegung 2. </w:t>
      </w:r>
      <w:proofErr w:type="spellStart"/>
      <w:r w:rsidRPr="0040227B">
        <w:rPr>
          <w:rFonts w:ascii="Times New Roman" w:eastAsia="Times New Roman" w:hAnsi="Times New Roman" w:cs="Times New Roman"/>
          <w:i/>
          <w:sz w:val="20"/>
          <w:szCs w:val="20"/>
          <w:lang w:bidi="en-US"/>
        </w:rPr>
        <w:t>Juni</w:t>
      </w:r>
      <w:proofErr w:type="spellEnd"/>
      <w:r w:rsidRPr="0040227B">
        <w:rPr>
          <w:rFonts w:ascii="Times New Roman" w:eastAsia="Times New Roman" w:hAnsi="Times New Roman" w:cs="Times New Roman"/>
          <w:i/>
          <w:sz w:val="20"/>
          <w:szCs w:val="20"/>
          <w:lang w:bidi="en-US"/>
        </w:rPr>
        <w:t xml:space="preserve"> (</w:t>
      </w:r>
      <w:proofErr w:type="spellStart"/>
      <w:r w:rsidRPr="0040227B">
        <w:rPr>
          <w:rFonts w:ascii="Times New Roman" w:eastAsia="Times New Roman" w:hAnsi="Times New Roman" w:cs="Times New Roman"/>
          <w:i/>
          <w:sz w:val="20"/>
          <w:szCs w:val="20"/>
          <w:lang w:bidi="en-US"/>
        </w:rPr>
        <w:t>im</w:t>
      </w:r>
      <w:proofErr w:type="spellEnd"/>
      <w:r w:rsidRPr="0040227B">
        <w:rPr>
          <w:rFonts w:ascii="Times New Roman" w:eastAsia="Times New Roman" w:hAnsi="Times New Roman" w:cs="Times New Roman"/>
          <w:i/>
          <w:sz w:val="20"/>
          <w:szCs w:val="20"/>
          <w:lang w:bidi="en-US"/>
        </w:rPr>
        <w:t xml:space="preserve"> </w:t>
      </w:r>
      <w:proofErr w:type="spellStart"/>
      <w:r w:rsidRPr="0040227B">
        <w:rPr>
          <w:rFonts w:ascii="Times New Roman" w:eastAsia="Times New Roman" w:hAnsi="Times New Roman" w:cs="Times New Roman"/>
          <w:i/>
          <w:sz w:val="20"/>
          <w:szCs w:val="20"/>
          <w:lang w:bidi="en-US"/>
        </w:rPr>
        <w:t>Bezug</w:t>
      </w:r>
      <w:proofErr w:type="spellEnd"/>
      <w:r w:rsidRPr="0040227B">
        <w:rPr>
          <w:rFonts w:ascii="Times New Roman" w:eastAsia="Times New Roman" w:hAnsi="Times New Roman" w:cs="Times New Roman"/>
          <w:i/>
          <w:sz w:val="20"/>
          <w:szCs w:val="20"/>
          <w:lang w:bidi="en-US"/>
        </w:rPr>
        <w:t xml:space="preserve"> auf die Lorenz-</w:t>
      </w:r>
      <w:proofErr w:type="spellStart"/>
      <w:r w:rsidRPr="0040227B">
        <w:rPr>
          <w:rFonts w:ascii="Times New Roman" w:eastAsia="Times New Roman" w:hAnsi="Times New Roman" w:cs="Times New Roman"/>
          <w:i/>
          <w:sz w:val="20"/>
          <w:szCs w:val="20"/>
          <w:lang w:bidi="en-US"/>
        </w:rPr>
        <w:t>Entführung</w:t>
      </w:r>
      <w:proofErr w:type="spellEnd"/>
      <w:r w:rsidRPr="0040227B">
        <w:rPr>
          <w:rFonts w:ascii="Times New Roman" w:eastAsia="Times New Roman" w:hAnsi="Times New Roman" w:cs="Times New Roman"/>
          <w:i/>
          <w:sz w:val="20"/>
          <w:szCs w:val="20"/>
          <w:lang w:bidi="en-US"/>
        </w:rPr>
        <w:t xml:space="preserve">) </w:t>
      </w:r>
      <w:proofErr w:type="spellStart"/>
      <w:r w:rsidRPr="0040227B">
        <w:rPr>
          <w:rFonts w:ascii="Times New Roman" w:eastAsia="Times New Roman" w:hAnsi="Times New Roman" w:cs="Times New Roman"/>
          <w:i/>
          <w:sz w:val="20"/>
          <w:szCs w:val="20"/>
          <w:lang w:bidi="en-US"/>
        </w:rPr>
        <w:t>hätten</w:t>
      </w:r>
      <w:proofErr w:type="spellEnd"/>
      <w:r w:rsidRPr="0040227B">
        <w:rPr>
          <w:rFonts w:ascii="Times New Roman" w:eastAsia="Times New Roman" w:hAnsi="Times New Roman" w:cs="Times New Roman"/>
          <w:i/>
          <w:sz w:val="20"/>
          <w:szCs w:val="20"/>
          <w:lang w:bidi="en-US"/>
        </w:rPr>
        <w:t xml:space="preserve"> </w:t>
      </w:r>
      <w:proofErr w:type="spellStart"/>
      <w:r w:rsidRPr="0040227B">
        <w:rPr>
          <w:rFonts w:ascii="Times New Roman" w:eastAsia="Times New Roman" w:hAnsi="Times New Roman" w:cs="Times New Roman"/>
          <w:i/>
          <w:sz w:val="20"/>
          <w:szCs w:val="20"/>
          <w:lang w:bidi="en-US"/>
        </w:rPr>
        <w:t>wir</w:t>
      </w:r>
      <w:proofErr w:type="spellEnd"/>
      <w:r w:rsidRPr="0040227B">
        <w:rPr>
          <w:rFonts w:ascii="Times New Roman" w:eastAsia="Times New Roman" w:hAnsi="Times New Roman" w:cs="Times New Roman"/>
          <w:i/>
          <w:sz w:val="20"/>
          <w:szCs w:val="20"/>
          <w:lang w:bidi="en-US"/>
        </w:rPr>
        <w:t xml:space="preserve"> </w:t>
      </w:r>
      <w:proofErr w:type="spellStart"/>
      <w:r w:rsidRPr="0040227B">
        <w:rPr>
          <w:rFonts w:ascii="Times New Roman" w:eastAsia="Times New Roman" w:hAnsi="Times New Roman" w:cs="Times New Roman"/>
          <w:i/>
          <w:sz w:val="20"/>
          <w:szCs w:val="20"/>
          <w:lang w:bidi="en-US"/>
        </w:rPr>
        <w:t>uns</w:t>
      </w:r>
      <w:proofErr w:type="spellEnd"/>
      <w:r w:rsidRPr="0040227B">
        <w:rPr>
          <w:rFonts w:ascii="Times New Roman" w:eastAsia="Times New Roman" w:hAnsi="Times New Roman" w:cs="Times New Roman"/>
          <w:i/>
          <w:sz w:val="20"/>
          <w:szCs w:val="20"/>
          <w:lang w:bidi="en-US"/>
        </w:rPr>
        <w:t xml:space="preserve"> </w:t>
      </w:r>
      <w:proofErr w:type="spellStart"/>
      <w:r w:rsidRPr="0040227B">
        <w:rPr>
          <w:rFonts w:ascii="Times New Roman" w:eastAsia="Times New Roman" w:hAnsi="Times New Roman" w:cs="Times New Roman"/>
          <w:i/>
          <w:sz w:val="20"/>
          <w:szCs w:val="20"/>
          <w:lang w:bidi="en-US"/>
        </w:rPr>
        <w:t>ruhig</w:t>
      </w:r>
      <w:proofErr w:type="spellEnd"/>
      <w:r w:rsidRPr="0040227B">
        <w:rPr>
          <w:rFonts w:ascii="Times New Roman" w:eastAsia="Times New Roman" w:hAnsi="Times New Roman" w:cs="Times New Roman"/>
          <w:i/>
          <w:sz w:val="20"/>
          <w:szCs w:val="20"/>
          <w:lang w:bidi="en-US"/>
        </w:rPr>
        <w:t xml:space="preserve"> </w:t>
      </w:r>
      <w:proofErr w:type="spellStart"/>
      <w:r w:rsidRPr="0040227B">
        <w:rPr>
          <w:rFonts w:ascii="Times New Roman" w:eastAsia="Times New Roman" w:hAnsi="Times New Roman" w:cs="Times New Roman"/>
          <w:i/>
          <w:sz w:val="20"/>
          <w:szCs w:val="20"/>
          <w:lang w:bidi="en-US"/>
        </w:rPr>
        <w:t>ein</w:t>
      </w:r>
      <w:proofErr w:type="spellEnd"/>
      <w:r w:rsidRPr="0040227B">
        <w:rPr>
          <w:rFonts w:ascii="Times New Roman" w:eastAsia="Times New Roman" w:hAnsi="Times New Roman" w:cs="Times New Roman"/>
          <w:i/>
          <w:sz w:val="20"/>
          <w:szCs w:val="20"/>
          <w:lang w:bidi="en-US"/>
        </w:rPr>
        <w:t xml:space="preserve"> </w:t>
      </w:r>
      <w:proofErr w:type="spellStart"/>
      <w:r w:rsidRPr="0040227B">
        <w:rPr>
          <w:rFonts w:ascii="Times New Roman" w:eastAsia="Times New Roman" w:hAnsi="Times New Roman" w:cs="Times New Roman"/>
          <w:i/>
          <w:sz w:val="20"/>
          <w:szCs w:val="20"/>
          <w:lang w:bidi="en-US"/>
        </w:rPr>
        <w:t>Beispiel</w:t>
      </w:r>
      <w:proofErr w:type="spellEnd"/>
      <w:r w:rsidRPr="0040227B">
        <w:rPr>
          <w:rFonts w:ascii="Times New Roman" w:eastAsia="Times New Roman" w:hAnsi="Times New Roman" w:cs="Times New Roman"/>
          <w:i/>
          <w:sz w:val="20"/>
          <w:szCs w:val="20"/>
          <w:lang w:bidi="en-US"/>
        </w:rPr>
        <w:t xml:space="preserve"> </w:t>
      </w:r>
      <w:proofErr w:type="spellStart"/>
      <w:r w:rsidRPr="0040227B">
        <w:rPr>
          <w:rFonts w:ascii="Times New Roman" w:eastAsia="Times New Roman" w:hAnsi="Times New Roman" w:cs="Times New Roman"/>
          <w:i/>
          <w:sz w:val="20"/>
          <w:szCs w:val="20"/>
          <w:lang w:bidi="en-US"/>
        </w:rPr>
        <w:t>nehmen</w:t>
      </w:r>
      <w:proofErr w:type="spellEnd"/>
      <w:r w:rsidRPr="0040227B">
        <w:rPr>
          <w:rFonts w:ascii="Times New Roman" w:eastAsia="Times New Roman" w:hAnsi="Times New Roman" w:cs="Times New Roman"/>
          <w:i/>
          <w:sz w:val="20"/>
          <w:szCs w:val="20"/>
          <w:lang w:bidi="en-US"/>
        </w:rPr>
        <w:t xml:space="preserve"> </w:t>
      </w:r>
      <w:proofErr w:type="spellStart"/>
      <w:r w:rsidRPr="0040227B">
        <w:rPr>
          <w:rFonts w:ascii="Times New Roman" w:eastAsia="Times New Roman" w:hAnsi="Times New Roman" w:cs="Times New Roman"/>
          <w:i/>
          <w:sz w:val="20"/>
          <w:szCs w:val="20"/>
          <w:lang w:bidi="en-US"/>
        </w:rPr>
        <w:t>können</w:t>
      </w:r>
      <w:proofErr w:type="spellEnd"/>
      <w:r w:rsidRPr="0040227B">
        <w:rPr>
          <w:rFonts w:ascii="Times New Roman" w:eastAsia="Times New Roman" w:hAnsi="Times New Roman" w:cs="Times New Roman"/>
          <w:sz w:val="20"/>
          <w:szCs w:val="20"/>
          <w:lang w:bidi="en-US"/>
        </w:rPr>
        <w:t>. – We could have learned a lesson from the sense of proportion displayed by the Movement 2 June (in the Lorenz-kidnapping), (Wisniewski 1997 p. 36, translation by the authors)</w:t>
      </w:r>
      <w:r w:rsidRPr="0040227B">
        <w:rPr>
          <w:rFonts w:ascii="Times New Roman" w:eastAsia="Times New Roman" w:hAnsi="Times New Roman" w:cs="Times New Roman"/>
          <w:sz w:val="20"/>
          <w:szCs w:val="20"/>
          <w:vertAlign w:val="superscript"/>
          <w:lang w:bidi="en-US"/>
        </w:rPr>
        <w:footnoteReference w:id="4"/>
      </w:r>
      <w:r w:rsidRPr="0040227B">
        <w:rPr>
          <w:rFonts w:ascii="Times New Roman" w:eastAsia="Times New Roman" w:hAnsi="Times New Roman" w:cs="Times New Roman"/>
          <w:sz w:val="20"/>
          <w:szCs w:val="20"/>
          <w:lang w:bidi="en-US"/>
        </w:rPr>
        <w:t>.</w:t>
      </w:r>
    </w:p>
    <w:p w:rsidR="001C7DC2" w:rsidRPr="0040227B" w:rsidRDefault="001C7DC2" w:rsidP="0040227B">
      <w:pPr>
        <w:tabs>
          <w:tab w:val="left" w:pos="2210"/>
        </w:tabs>
        <w:spacing w:after="0" w:line="480" w:lineRule="auto"/>
        <w:jc w:val="both"/>
        <w:rPr>
          <w:rFonts w:ascii="Times New Roman" w:eastAsia="Times New Roman" w:hAnsi="Times New Roman" w:cs="Times New Roman"/>
          <w:sz w:val="20"/>
          <w:szCs w:val="20"/>
          <w:lang w:bidi="en-US"/>
        </w:rPr>
      </w:pPr>
      <w:r w:rsidRPr="0040227B">
        <w:rPr>
          <w:rFonts w:ascii="Times New Roman" w:eastAsia="Times New Roman" w:hAnsi="Times New Roman" w:cs="Times New Roman"/>
          <w:sz w:val="20"/>
          <w:szCs w:val="20"/>
          <w:lang w:bidi="en-US"/>
        </w:rPr>
        <w:tab/>
      </w:r>
    </w:p>
    <w:p w:rsidR="00144376" w:rsidRPr="0040227B" w:rsidRDefault="001C7DC2" w:rsidP="0040227B">
      <w:pPr>
        <w:spacing w:after="0" w:line="480" w:lineRule="auto"/>
        <w:jc w:val="both"/>
        <w:rPr>
          <w:rFonts w:ascii="Times New Roman" w:eastAsia="Times New Roman" w:hAnsi="Times New Roman" w:cs="Times New Roman"/>
          <w:sz w:val="20"/>
          <w:szCs w:val="20"/>
          <w:lang w:bidi="en-US"/>
        </w:rPr>
      </w:pPr>
      <w:r w:rsidRPr="0040227B">
        <w:rPr>
          <w:rFonts w:ascii="Times New Roman" w:eastAsia="Times New Roman" w:hAnsi="Times New Roman" w:cs="Times New Roman"/>
          <w:sz w:val="20"/>
          <w:szCs w:val="20"/>
          <w:lang w:bidi="en-US"/>
        </w:rPr>
        <w:t xml:space="preserve">The RAF later kidnapped Hans-Martin </w:t>
      </w:r>
      <w:proofErr w:type="spellStart"/>
      <w:r w:rsidRPr="0040227B">
        <w:rPr>
          <w:rFonts w:ascii="Times New Roman" w:eastAsia="Times New Roman" w:hAnsi="Times New Roman" w:cs="Times New Roman"/>
          <w:sz w:val="20"/>
          <w:szCs w:val="20"/>
          <w:lang w:bidi="en-US"/>
        </w:rPr>
        <w:t>Schleyer</w:t>
      </w:r>
      <w:proofErr w:type="spellEnd"/>
      <w:r w:rsidRPr="0040227B">
        <w:rPr>
          <w:rFonts w:ascii="Times New Roman" w:eastAsia="Times New Roman" w:hAnsi="Times New Roman" w:cs="Times New Roman"/>
          <w:sz w:val="20"/>
          <w:szCs w:val="20"/>
          <w:lang w:bidi="en-US"/>
        </w:rPr>
        <w:t xml:space="preserve">, an action that also involved the RAF trying to ‘force the government’s hand’ during negotiations over </w:t>
      </w:r>
      <w:proofErr w:type="spellStart"/>
      <w:r w:rsidRPr="0040227B">
        <w:rPr>
          <w:rFonts w:ascii="Times New Roman" w:eastAsia="Times New Roman" w:hAnsi="Times New Roman" w:cs="Times New Roman"/>
          <w:sz w:val="20"/>
          <w:szCs w:val="20"/>
          <w:lang w:bidi="en-US"/>
        </w:rPr>
        <w:t>Schleyer</w:t>
      </w:r>
      <w:proofErr w:type="spellEnd"/>
      <w:r w:rsidRPr="0040227B">
        <w:rPr>
          <w:rFonts w:ascii="Times New Roman" w:eastAsia="Times New Roman" w:hAnsi="Times New Roman" w:cs="Times New Roman"/>
          <w:sz w:val="20"/>
          <w:szCs w:val="20"/>
          <w:lang w:bidi="en-US"/>
        </w:rPr>
        <w:t xml:space="preserve"> by hijacking a German plane with 80 passengers on board with the assistance of members of the </w:t>
      </w:r>
      <w:r w:rsidRPr="0040227B">
        <w:rPr>
          <w:rFonts w:ascii="Times New Roman" w:eastAsia="Times New Roman" w:hAnsi="Times New Roman" w:cs="Times New Roman"/>
          <w:bCs/>
          <w:sz w:val="20"/>
          <w:szCs w:val="20"/>
          <w:lang w:bidi="en-US"/>
        </w:rPr>
        <w:t>Popular Front for the Liberation of Palestine</w:t>
      </w:r>
      <w:r w:rsidRPr="0040227B">
        <w:rPr>
          <w:rFonts w:ascii="Times New Roman" w:eastAsia="Times New Roman" w:hAnsi="Times New Roman" w:cs="Times New Roman"/>
          <w:sz w:val="20"/>
          <w:szCs w:val="20"/>
          <w:lang w:bidi="en-US"/>
        </w:rPr>
        <w:t xml:space="preserve"> (</w:t>
      </w:r>
      <w:r w:rsidRPr="0040227B">
        <w:rPr>
          <w:rFonts w:ascii="Times New Roman" w:eastAsia="Times New Roman" w:hAnsi="Times New Roman" w:cs="Times New Roman"/>
          <w:bCs/>
          <w:sz w:val="20"/>
          <w:szCs w:val="20"/>
          <w:lang w:bidi="en-US"/>
        </w:rPr>
        <w:t>PFLP</w:t>
      </w:r>
      <w:r w:rsidRPr="0040227B">
        <w:rPr>
          <w:rFonts w:ascii="Times New Roman" w:eastAsia="Times New Roman" w:hAnsi="Times New Roman" w:cs="Times New Roman"/>
          <w:sz w:val="20"/>
          <w:szCs w:val="20"/>
          <w:lang w:bidi="en-US"/>
        </w:rPr>
        <w:t xml:space="preserve">). The hijacking was also conceived with reference to the actions of other groups, especially the Japanese Red Army Faction. As Wisniewski says: </w:t>
      </w:r>
    </w:p>
    <w:p w:rsidR="001C7DC2" w:rsidRPr="0040227B" w:rsidRDefault="001C7DC2" w:rsidP="0040227B">
      <w:pPr>
        <w:spacing w:after="0" w:line="480" w:lineRule="auto"/>
        <w:jc w:val="both"/>
        <w:rPr>
          <w:rFonts w:ascii="Times New Roman" w:eastAsia="Times New Roman" w:hAnsi="Times New Roman" w:cs="Times New Roman"/>
          <w:sz w:val="20"/>
          <w:szCs w:val="20"/>
          <w:lang w:bidi="en-US"/>
        </w:rPr>
      </w:pPr>
    </w:p>
    <w:p w:rsidR="001C7DC2" w:rsidRPr="0040227B" w:rsidRDefault="001C7DC2" w:rsidP="0040227B">
      <w:pPr>
        <w:spacing w:after="0" w:line="480" w:lineRule="auto"/>
        <w:ind w:left="1134" w:right="1134"/>
        <w:jc w:val="both"/>
        <w:rPr>
          <w:rFonts w:ascii="Times New Roman" w:eastAsia="Times New Roman" w:hAnsi="Times New Roman" w:cs="Times New Roman"/>
          <w:sz w:val="20"/>
          <w:szCs w:val="20"/>
          <w:lang w:bidi="en-US"/>
        </w:rPr>
      </w:pPr>
      <w:proofErr w:type="spellStart"/>
      <w:r w:rsidRPr="0040227B">
        <w:rPr>
          <w:rFonts w:ascii="Times New Roman" w:eastAsia="Times New Roman" w:hAnsi="Times New Roman" w:cs="Times New Roman"/>
          <w:i/>
          <w:sz w:val="20"/>
          <w:szCs w:val="20"/>
          <w:lang w:bidi="en-US"/>
        </w:rPr>
        <w:t>Wir</w:t>
      </w:r>
      <w:proofErr w:type="spellEnd"/>
      <w:r w:rsidRPr="0040227B">
        <w:rPr>
          <w:rFonts w:ascii="Times New Roman" w:eastAsia="Times New Roman" w:hAnsi="Times New Roman" w:cs="Times New Roman"/>
          <w:i/>
          <w:sz w:val="20"/>
          <w:szCs w:val="20"/>
          <w:lang w:bidi="en-US"/>
        </w:rPr>
        <w:t xml:space="preserve"> </w:t>
      </w:r>
      <w:proofErr w:type="spellStart"/>
      <w:r w:rsidRPr="0040227B">
        <w:rPr>
          <w:rFonts w:ascii="Times New Roman" w:eastAsia="Times New Roman" w:hAnsi="Times New Roman" w:cs="Times New Roman"/>
          <w:i/>
          <w:sz w:val="20"/>
          <w:szCs w:val="20"/>
          <w:lang w:bidi="en-US"/>
        </w:rPr>
        <w:t>dachten</w:t>
      </w:r>
      <w:proofErr w:type="spellEnd"/>
      <w:r w:rsidRPr="0040227B">
        <w:rPr>
          <w:rFonts w:ascii="Times New Roman" w:eastAsia="Times New Roman" w:hAnsi="Times New Roman" w:cs="Times New Roman"/>
          <w:i/>
          <w:sz w:val="20"/>
          <w:szCs w:val="20"/>
          <w:lang w:bidi="en-US"/>
        </w:rPr>
        <w:t xml:space="preserve"> </w:t>
      </w:r>
      <w:proofErr w:type="spellStart"/>
      <w:r w:rsidRPr="0040227B">
        <w:rPr>
          <w:rFonts w:ascii="Times New Roman" w:eastAsia="Times New Roman" w:hAnsi="Times New Roman" w:cs="Times New Roman"/>
          <w:i/>
          <w:sz w:val="20"/>
          <w:szCs w:val="20"/>
          <w:lang w:bidi="en-US"/>
        </w:rPr>
        <w:t>dabei</w:t>
      </w:r>
      <w:proofErr w:type="spellEnd"/>
      <w:r w:rsidRPr="0040227B">
        <w:rPr>
          <w:rFonts w:ascii="Times New Roman" w:eastAsia="Times New Roman" w:hAnsi="Times New Roman" w:cs="Times New Roman"/>
          <w:i/>
          <w:sz w:val="20"/>
          <w:szCs w:val="20"/>
          <w:lang w:bidi="en-US"/>
        </w:rPr>
        <w:t xml:space="preserve"> </w:t>
      </w:r>
      <w:proofErr w:type="spellStart"/>
      <w:r w:rsidRPr="0040227B">
        <w:rPr>
          <w:rFonts w:ascii="Times New Roman" w:eastAsia="Times New Roman" w:hAnsi="Times New Roman" w:cs="Times New Roman"/>
          <w:i/>
          <w:sz w:val="20"/>
          <w:szCs w:val="20"/>
          <w:lang w:bidi="en-US"/>
        </w:rPr>
        <w:t>auch</w:t>
      </w:r>
      <w:proofErr w:type="spellEnd"/>
      <w:r w:rsidRPr="0040227B">
        <w:rPr>
          <w:rFonts w:ascii="Times New Roman" w:eastAsia="Times New Roman" w:hAnsi="Times New Roman" w:cs="Times New Roman"/>
          <w:i/>
          <w:sz w:val="20"/>
          <w:szCs w:val="20"/>
          <w:lang w:bidi="en-US"/>
        </w:rPr>
        <w:t xml:space="preserve"> </w:t>
      </w:r>
      <w:proofErr w:type="gramStart"/>
      <w:r w:rsidRPr="0040227B">
        <w:rPr>
          <w:rFonts w:ascii="Times New Roman" w:eastAsia="Times New Roman" w:hAnsi="Times New Roman" w:cs="Times New Roman"/>
          <w:i/>
          <w:sz w:val="20"/>
          <w:szCs w:val="20"/>
          <w:lang w:bidi="en-US"/>
        </w:rPr>
        <w:t>an</w:t>
      </w:r>
      <w:proofErr w:type="gramEnd"/>
      <w:r w:rsidRPr="0040227B">
        <w:rPr>
          <w:rFonts w:ascii="Times New Roman" w:eastAsia="Times New Roman" w:hAnsi="Times New Roman" w:cs="Times New Roman"/>
          <w:i/>
          <w:sz w:val="20"/>
          <w:szCs w:val="20"/>
          <w:lang w:bidi="en-US"/>
        </w:rPr>
        <w:t xml:space="preserve"> die fast </w:t>
      </w:r>
      <w:proofErr w:type="spellStart"/>
      <w:r w:rsidRPr="0040227B">
        <w:rPr>
          <w:rFonts w:ascii="Times New Roman" w:eastAsia="Times New Roman" w:hAnsi="Times New Roman" w:cs="Times New Roman"/>
          <w:i/>
          <w:sz w:val="20"/>
          <w:szCs w:val="20"/>
          <w:lang w:bidi="en-US"/>
        </w:rPr>
        <w:t>gleichzeitig</w:t>
      </w:r>
      <w:proofErr w:type="spellEnd"/>
      <w:r w:rsidRPr="0040227B">
        <w:rPr>
          <w:rFonts w:ascii="Times New Roman" w:eastAsia="Times New Roman" w:hAnsi="Times New Roman" w:cs="Times New Roman"/>
          <w:i/>
          <w:sz w:val="20"/>
          <w:szCs w:val="20"/>
          <w:lang w:bidi="en-US"/>
        </w:rPr>
        <w:t xml:space="preserve"> </w:t>
      </w:r>
      <w:proofErr w:type="spellStart"/>
      <w:r w:rsidRPr="0040227B">
        <w:rPr>
          <w:rFonts w:ascii="Times New Roman" w:eastAsia="Times New Roman" w:hAnsi="Times New Roman" w:cs="Times New Roman"/>
          <w:i/>
          <w:sz w:val="20"/>
          <w:szCs w:val="20"/>
          <w:lang w:bidi="en-US"/>
        </w:rPr>
        <w:t>erfolgreich</w:t>
      </w:r>
      <w:proofErr w:type="spellEnd"/>
      <w:r w:rsidRPr="0040227B">
        <w:rPr>
          <w:rFonts w:ascii="Times New Roman" w:eastAsia="Times New Roman" w:hAnsi="Times New Roman" w:cs="Times New Roman"/>
          <w:i/>
          <w:sz w:val="20"/>
          <w:szCs w:val="20"/>
          <w:lang w:bidi="en-US"/>
        </w:rPr>
        <w:t xml:space="preserve"> </w:t>
      </w:r>
      <w:proofErr w:type="spellStart"/>
      <w:r w:rsidRPr="0040227B">
        <w:rPr>
          <w:rFonts w:ascii="Times New Roman" w:eastAsia="Times New Roman" w:hAnsi="Times New Roman" w:cs="Times New Roman"/>
          <w:i/>
          <w:sz w:val="20"/>
          <w:szCs w:val="20"/>
          <w:lang w:bidi="en-US"/>
        </w:rPr>
        <w:t>durchgeführte</w:t>
      </w:r>
      <w:proofErr w:type="spellEnd"/>
      <w:r w:rsidRPr="0040227B">
        <w:rPr>
          <w:rFonts w:ascii="Times New Roman" w:eastAsia="Times New Roman" w:hAnsi="Times New Roman" w:cs="Times New Roman"/>
          <w:i/>
          <w:sz w:val="20"/>
          <w:szCs w:val="20"/>
          <w:lang w:bidi="en-US"/>
        </w:rPr>
        <w:t xml:space="preserve"> </w:t>
      </w:r>
      <w:proofErr w:type="spellStart"/>
      <w:r w:rsidRPr="0040227B">
        <w:rPr>
          <w:rFonts w:ascii="Times New Roman" w:eastAsia="Times New Roman" w:hAnsi="Times New Roman" w:cs="Times New Roman"/>
          <w:i/>
          <w:sz w:val="20"/>
          <w:szCs w:val="20"/>
          <w:lang w:bidi="en-US"/>
        </w:rPr>
        <w:t>Entführung</w:t>
      </w:r>
      <w:proofErr w:type="spellEnd"/>
      <w:r w:rsidRPr="0040227B">
        <w:rPr>
          <w:rFonts w:ascii="Times New Roman" w:eastAsia="Times New Roman" w:hAnsi="Times New Roman" w:cs="Times New Roman"/>
          <w:i/>
          <w:sz w:val="20"/>
          <w:szCs w:val="20"/>
          <w:lang w:bidi="en-US"/>
        </w:rPr>
        <w:t xml:space="preserve"> </w:t>
      </w:r>
      <w:proofErr w:type="spellStart"/>
      <w:r w:rsidRPr="0040227B">
        <w:rPr>
          <w:rFonts w:ascii="Times New Roman" w:eastAsia="Times New Roman" w:hAnsi="Times New Roman" w:cs="Times New Roman"/>
          <w:i/>
          <w:sz w:val="20"/>
          <w:szCs w:val="20"/>
          <w:lang w:bidi="en-US"/>
        </w:rPr>
        <w:t>eines</w:t>
      </w:r>
      <w:proofErr w:type="spellEnd"/>
      <w:r w:rsidRPr="0040227B">
        <w:rPr>
          <w:rFonts w:ascii="Times New Roman" w:eastAsia="Times New Roman" w:hAnsi="Times New Roman" w:cs="Times New Roman"/>
          <w:i/>
          <w:sz w:val="20"/>
          <w:szCs w:val="20"/>
          <w:lang w:bidi="en-US"/>
        </w:rPr>
        <w:t xml:space="preserve"> </w:t>
      </w:r>
      <w:proofErr w:type="spellStart"/>
      <w:r w:rsidRPr="0040227B">
        <w:rPr>
          <w:rFonts w:ascii="Times New Roman" w:eastAsia="Times New Roman" w:hAnsi="Times New Roman" w:cs="Times New Roman"/>
          <w:i/>
          <w:sz w:val="20"/>
          <w:szCs w:val="20"/>
          <w:lang w:bidi="en-US"/>
        </w:rPr>
        <w:t>japanischen</w:t>
      </w:r>
      <w:proofErr w:type="spellEnd"/>
      <w:r w:rsidRPr="0040227B">
        <w:rPr>
          <w:rFonts w:ascii="Times New Roman" w:eastAsia="Times New Roman" w:hAnsi="Times New Roman" w:cs="Times New Roman"/>
          <w:i/>
          <w:sz w:val="20"/>
          <w:szCs w:val="20"/>
          <w:lang w:bidi="en-US"/>
        </w:rPr>
        <w:t xml:space="preserve"> </w:t>
      </w:r>
      <w:proofErr w:type="spellStart"/>
      <w:r w:rsidRPr="0040227B">
        <w:rPr>
          <w:rFonts w:ascii="Times New Roman" w:eastAsia="Times New Roman" w:hAnsi="Times New Roman" w:cs="Times New Roman"/>
          <w:i/>
          <w:sz w:val="20"/>
          <w:szCs w:val="20"/>
          <w:lang w:bidi="en-US"/>
        </w:rPr>
        <w:t>Flugzeugs</w:t>
      </w:r>
      <w:proofErr w:type="spellEnd"/>
      <w:r w:rsidRPr="0040227B">
        <w:rPr>
          <w:rFonts w:ascii="Times New Roman" w:eastAsia="Times New Roman" w:hAnsi="Times New Roman" w:cs="Times New Roman"/>
          <w:i/>
          <w:sz w:val="20"/>
          <w:szCs w:val="20"/>
          <w:lang w:bidi="en-US"/>
        </w:rPr>
        <w:t xml:space="preserve"> </w:t>
      </w:r>
      <w:proofErr w:type="spellStart"/>
      <w:r w:rsidRPr="0040227B">
        <w:rPr>
          <w:rFonts w:ascii="Times New Roman" w:eastAsia="Times New Roman" w:hAnsi="Times New Roman" w:cs="Times New Roman"/>
          <w:i/>
          <w:sz w:val="20"/>
          <w:szCs w:val="20"/>
          <w:lang w:bidi="en-US"/>
        </w:rPr>
        <w:t>durch</w:t>
      </w:r>
      <w:proofErr w:type="spellEnd"/>
      <w:r w:rsidRPr="0040227B">
        <w:rPr>
          <w:rFonts w:ascii="Times New Roman" w:eastAsia="Times New Roman" w:hAnsi="Times New Roman" w:cs="Times New Roman"/>
          <w:i/>
          <w:sz w:val="20"/>
          <w:szCs w:val="20"/>
          <w:lang w:bidi="en-US"/>
        </w:rPr>
        <w:t xml:space="preserve"> die </w:t>
      </w:r>
      <w:proofErr w:type="spellStart"/>
      <w:r w:rsidRPr="0040227B">
        <w:rPr>
          <w:rFonts w:ascii="Times New Roman" w:eastAsia="Times New Roman" w:hAnsi="Times New Roman" w:cs="Times New Roman"/>
          <w:i/>
          <w:sz w:val="20"/>
          <w:szCs w:val="20"/>
          <w:lang w:bidi="en-US"/>
        </w:rPr>
        <w:t>japanische</w:t>
      </w:r>
      <w:proofErr w:type="spellEnd"/>
      <w:r w:rsidRPr="0040227B">
        <w:rPr>
          <w:rFonts w:ascii="Times New Roman" w:eastAsia="Times New Roman" w:hAnsi="Times New Roman" w:cs="Times New Roman"/>
          <w:i/>
          <w:sz w:val="20"/>
          <w:szCs w:val="20"/>
          <w:lang w:bidi="en-US"/>
        </w:rPr>
        <w:t xml:space="preserve"> Rote </w:t>
      </w:r>
      <w:proofErr w:type="spellStart"/>
      <w:r w:rsidRPr="0040227B">
        <w:rPr>
          <w:rFonts w:ascii="Times New Roman" w:eastAsia="Times New Roman" w:hAnsi="Times New Roman" w:cs="Times New Roman"/>
          <w:i/>
          <w:sz w:val="20"/>
          <w:szCs w:val="20"/>
          <w:lang w:bidi="en-US"/>
        </w:rPr>
        <w:t>Armee</w:t>
      </w:r>
      <w:proofErr w:type="spellEnd"/>
      <w:r w:rsidRPr="0040227B">
        <w:rPr>
          <w:rFonts w:ascii="Times New Roman" w:eastAsia="Times New Roman" w:hAnsi="Times New Roman" w:cs="Times New Roman"/>
          <w:sz w:val="20"/>
          <w:szCs w:val="20"/>
          <w:lang w:bidi="en-US"/>
        </w:rPr>
        <w:t>. – We also thought of the almost simultaneously successful execution of the hijacking of a Japanese plane by the Japanese Red Army</w:t>
      </w:r>
      <w:r w:rsidRPr="0040227B">
        <w:rPr>
          <w:rFonts w:ascii="Times New Roman" w:eastAsia="Times New Roman" w:hAnsi="Times New Roman" w:cs="Times New Roman"/>
          <w:sz w:val="20"/>
          <w:szCs w:val="20"/>
          <w:vertAlign w:val="superscript"/>
          <w:lang w:bidi="en-US"/>
        </w:rPr>
        <w:footnoteReference w:id="5"/>
      </w:r>
      <w:r w:rsidRPr="0040227B">
        <w:rPr>
          <w:rFonts w:ascii="Times New Roman" w:eastAsia="Times New Roman" w:hAnsi="Times New Roman" w:cs="Times New Roman"/>
          <w:sz w:val="20"/>
          <w:szCs w:val="20"/>
          <w:lang w:bidi="en-US"/>
        </w:rPr>
        <w:t xml:space="preserve"> (Wisniewski 1997 p.50, translation by the authors).</w:t>
      </w:r>
    </w:p>
    <w:p w:rsidR="001C7DC2" w:rsidRPr="0040227B" w:rsidRDefault="001C7DC2" w:rsidP="0040227B">
      <w:pPr>
        <w:spacing w:after="0" w:line="480" w:lineRule="auto"/>
        <w:jc w:val="both"/>
        <w:rPr>
          <w:rFonts w:ascii="Times New Roman" w:eastAsia="Times New Roman" w:hAnsi="Times New Roman" w:cs="Times New Roman"/>
          <w:sz w:val="20"/>
          <w:szCs w:val="20"/>
          <w:lang w:bidi="en-US"/>
        </w:rPr>
      </w:pPr>
    </w:p>
    <w:p w:rsidR="003A3FC1" w:rsidRPr="0040227B" w:rsidRDefault="00033C6C" w:rsidP="0040227B">
      <w:pPr>
        <w:spacing w:after="0" w:line="480" w:lineRule="auto"/>
        <w:jc w:val="both"/>
        <w:rPr>
          <w:rFonts w:ascii="Times New Roman" w:eastAsia="Times New Roman" w:hAnsi="Times New Roman" w:cs="Times New Roman"/>
          <w:sz w:val="20"/>
          <w:szCs w:val="20"/>
          <w:lang w:bidi="en-US"/>
        </w:rPr>
      </w:pPr>
      <w:r w:rsidRPr="0040227B">
        <w:rPr>
          <w:rFonts w:ascii="Times New Roman" w:eastAsia="Times New Roman" w:hAnsi="Times New Roman" w:cs="Times New Roman"/>
          <w:sz w:val="20"/>
          <w:szCs w:val="20"/>
          <w:lang w:bidi="en-US"/>
        </w:rPr>
        <w:t>We</w:t>
      </w:r>
      <w:r w:rsidR="00880DD1">
        <w:rPr>
          <w:rFonts w:ascii="Times New Roman" w:eastAsia="Times New Roman" w:hAnsi="Times New Roman" w:cs="Times New Roman"/>
          <w:sz w:val="20"/>
          <w:szCs w:val="20"/>
          <w:lang w:bidi="en-US"/>
        </w:rPr>
        <w:t xml:space="preserve"> use</w:t>
      </w:r>
      <w:r w:rsidR="001343F5" w:rsidRPr="0040227B">
        <w:rPr>
          <w:rFonts w:ascii="Times New Roman" w:eastAsia="Times New Roman" w:hAnsi="Times New Roman" w:cs="Times New Roman"/>
          <w:sz w:val="20"/>
          <w:szCs w:val="20"/>
          <w:lang w:bidi="en-US"/>
        </w:rPr>
        <w:t xml:space="preserve"> cumulative prospect theory</w:t>
      </w:r>
      <w:r w:rsidRPr="0040227B">
        <w:rPr>
          <w:rFonts w:ascii="Times New Roman" w:eastAsia="Times New Roman" w:hAnsi="Times New Roman" w:cs="Times New Roman"/>
          <w:sz w:val="20"/>
          <w:szCs w:val="20"/>
          <w:lang w:bidi="en-US"/>
        </w:rPr>
        <w:t xml:space="preserve"> </w:t>
      </w:r>
      <w:r w:rsidR="00880DD1">
        <w:rPr>
          <w:rFonts w:ascii="Times New Roman" w:eastAsia="Times New Roman" w:hAnsi="Times New Roman" w:cs="Times New Roman"/>
          <w:sz w:val="20"/>
          <w:szCs w:val="20"/>
          <w:lang w:bidi="en-US"/>
        </w:rPr>
        <w:t xml:space="preserve">developed by Tversky and Kahneman (1992) </w:t>
      </w:r>
      <w:r w:rsidRPr="0040227B">
        <w:rPr>
          <w:rFonts w:ascii="Times New Roman" w:eastAsia="Times New Roman" w:hAnsi="Times New Roman" w:cs="Times New Roman"/>
          <w:sz w:val="20"/>
          <w:szCs w:val="20"/>
          <w:lang w:bidi="en-US"/>
        </w:rPr>
        <w:t>to examine ‘referenced’ decision making</w:t>
      </w:r>
      <w:r w:rsidR="003E3655" w:rsidRPr="0040227B">
        <w:rPr>
          <w:rFonts w:ascii="Times New Roman" w:eastAsia="Times New Roman" w:hAnsi="Times New Roman" w:cs="Times New Roman"/>
          <w:sz w:val="20"/>
          <w:szCs w:val="20"/>
          <w:lang w:bidi="en-US"/>
        </w:rPr>
        <w:t xml:space="preserve"> in a terrorism context</w:t>
      </w:r>
      <w:r w:rsidR="007924B0" w:rsidRPr="0040227B">
        <w:rPr>
          <w:rFonts w:ascii="Times New Roman" w:eastAsia="Times New Roman" w:hAnsi="Times New Roman" w:cs="Times New Roman"/>
          <w:sz w:val="20"/>
          <w:szCs w:val="20"/>
          <w:lang w:bidi="en-US"/>
        </w:rPr>
        <w:t xml:space="preserve">. Using </w:t>
      </w:r>
      <w:r w:rsidR="001343F5" w:rsidRPr="0040227B">
        <w:rPr>
          <w:rFonts w:ascii="Times New Roman" w:eastAsia="Times New Roman" w:hAnsi="Times New Roman" w:cs="Times New Roman"/>
          <w:sz w:val="20"/>
          <w:szCs w:val="20"/>
          <w:lang w:bidi="en-US"/>
        </w:rPr>
        <w:t>the</w:t>
      </w:r>
      <w:r w:rsidR="00713DDC" w:rsidRPr="0040227B">
        <w:rPr>
          <w:rFonts w:ascii="Times New Roman" w:eastAsia="Times New Roman" w:hAnsi="Times New Roman" w:cs="Times New Roman"/>
          <w:sz w:val="20"/>
          <w:szCs w:val="20"/>
          <w:lang w:bidi="en-US"/>
        </w:rPr>
        <w:t xml:space="preserve"> injuries and</w:t>
      </w:r>
      <w:r w:rsidR="001343F5" w:rsidRPr="0040227B">
        <w:rPr>
          <w:rFonts w:ascii="Times New Roman" w:eastAsia="Times New Roman" w:hAnsi="Times New Roman" w:cs="Times New Roman"/>
          <w:sz w:val="20"/>
          <w:szCs w:val="20"/>
          <w:lang w:bidi="en-US"/>
        </w:rPr>
        <w:t xml:space="preserve"> fatalities </w:t>
      </w:r>
      <w:r w:rsidR="008E12AF" w:rsidRPr="0040227B">
        <w:rPr>
          <w:rFonts w:ascii="Times New Roman" w:eastAsia="Times New Roman" w:hAnsi="Times New Roman" w:cs="Times New Roman"/>
          <w:sz w:val="20"/>
          <w:szCs w:val="20"/>
          <w:lang w:bidi="en-US"/>
        </w:rPr>
        <w:t xml:space="preserve">that have been </w:t>
      </w:r>
      <w:r w:rsidR="001343F5" w:rsidRPr="0040227B">
        <w:rPr>
          <w:rFonts w:ascii="Times New Roman" w:eastAsia="Times New Roman" w:hAnsi="Times New Roman" w:cs="Times New Roman"/>
          <w:sz w:val="20"/>
          <w:szCs w:val="20"/>
          <w:lang w:bidi="en-US"/>
        </w:rPr>
        <w:t xml:space="preserve">inflicted in attacks perpetrated by </w:t>
      </w:r>
      <w:r w:rsidR="007924B0" w:rsidRPr="0040227B">
        <w:rPr>
          <w:rFonts w:ascii="Times New Roman" w:eastAsia="Times New Roman" w:hAnsi="Times New Roman" w:cs="Times New Roman"/>
          <w:sz w:val="20"/>
          <w:szCs w:val="20"/>
          <w:lang w:bidi="en-US"/>
        </w:rPr>
        <w:t>‘predecessor’ lone wolf terrorists</w:t>
      </w:r>
      <w:r w:rsidR="001343F5" w:rsidRPr="0040227B">
        <w:rPr>
          <w:rFonts w:ascii="Times New Roman" w:eastAsia="Times New Roman" w:hAnsi="Times New Roman" w:cs="Times New Roman"/>
          <w:sz w:val="20"/>
          <w:szCs w:val="20"/>
          <w:lang w:bidi="en-US"/>
        </w:rPr>
        <w:t xml:space="preserve"> as reference points, we apply the evaluation function from cumulative prospect theory to the RAND-MIPT attack method categories. The RAND-MIPT data on inflicted fatalities and injuries for each attack method for the period 1968 to 2007 underlies the analysis and provides the basis for the computation of the probabilities that are to be </w:t>
      </w:r>
      <w:r w:rsidR="00DD41C9" w:rsidRPr="0040227B">
        <w:rPr>
          <w:rFonts w:ascii="Times New Roman" w:eastAsia="Times New Roman" w:hAnsi="Times New Roman" w:cs="Times New Roman"/>
          <w:sz w:val="20"/>
          <w:szCs w:val="20"/>
          <w:lang w:bidi="en-US"/>
        </w:rPr>
        <w:t>associated with each possible outcome</w:t>
      </w:r>
      <w:r w:rsidR="001343F5" w:rsidRPr="0040227B">
        <w:rPr>
          <w:rFonts w:ascii="Times New Roman" w:eastAsia="Times New Roman" w:hAnsi="Times New Roman" w:cs="Times New Roman"/>
          <w:sz w:val="20"/>
          <w:szCs w:val="20"/>
          <w:lang w:bidi="en-US"/>
        </w:rPr>
        <w:t xml:space="preserve">. As explained in a subsequent section, the evaluation function of cumulative prospect theory </w:t>
      </w:r>
      <w:r w:rsidR="00C26D8C" w:rsidRPr="0040227B">
        <w:rPr>
          <w:rFonts w:ascii="Times New Roman" w:eastAsia="Times New Roman" w:hAnsi="Times New Roman" w:cs="Times New Roman"/>
          <w:sz w:val="20"/>
          <w:szCs w:val="20"/>
          <w:lang w:bidi="en-US"/>
        </w:rPr>
        <w:t xml:space="preserve">involves computing the weighted </w:t>
      </w:r>
      <w:r w:rsidR="00C26D8C" w:rsidRPr="0040227B">
        <w:rPr>
          <w:rFonts w:ascii="Times New Roman" w:eastAsia="Times New Roman" w:hAnsi="Times New Roman" w:cs="Times New Roman"/>
          <w:sz w:val="20"/>
          <w:szCs w:val="20"/>
          <w:lang w:bidi="en-US"/>
        </w:rPr>
        <w:lastRenderedPageBreak/>
        <w:t>value of each possible outcome. The value or utility of a prospect is</w:t>
      </w:r>
      <w:r w:rsidR="00DD41C9" w:rsidRPr="0040227B">
        <w:rPr>
          <w:rFonts w:ascii="Times New Roman" w:eastAsia="Times New Roman" w:hAnsi="Times New Roman" w:cs="Times New Roman"/>
          <w:sz w:val="20"/>
          <w:szCs w:val="20"/>
          <w:lang w:bidi="en-US"/>
        </w:rPr>
        <w:t xml:space="preserve"> </w:t>
      </w:r>
      <w:r w:rsidR="00C26D8C" w:rsidRPr="0040227B">
        <w:rPr>
          <w:rFonts w:ascii="Times New Roman" w:eastAsia="Times New Roman" w:hAnsi="Times New Roman" w:cs="Times New Roman"/>
          <w:sz w:val="20"/>
          <w:szCs w:val="20"/>
          <w:lang w:bidi="en-US"/>
        </w:rPr>
        <w:t>a function of gains and losses from a reference point that each outcome represents weighted by a ‘decision weight’ that is an increasing function of the associated probability. This process requires the values of several parameters. We use estimates for these parameters</w:t>
      </w:r>
      <w:r w:rsidR="00880DD1" w:rsidRPr="00880DD1">
        <w:rPr>
          <w:rFonts w:ascii="Times New Roman" w:eastAsia="Times New Roman" w:hAnsi="Times New Roman" w:cs="Times New Roman"/>
          <w:sz w:val="20"/>
          <w:szCs w:val="20"/>
          <w:lang w:bidi="en-US"/>
        </w:rPr>
        <w:t xml:space="preserve"> </w:t>
      </w:r>
      <w:r w:rsidR="00880DD1">
        <w:rPr>
          <w:rFonts w:ascii="Times New Roman" w:eastAsia="Times New Roman" w:hAnsi="Times New Roman" w:cs="Times New Roman"/>
          <w:sz w:val="20"/>
          <w:szCs w:val="20"/>
          <w:lang w:bidi="en-US"/>
        </w:rPr>
        <w:t xml:space="preserve">provided by </w:t>
      </w:r>
      <w:r w:rsidR="00880DD1" w:rsidRPr="0040227B">
        <w:rPr>
          <w:rFonts w:ascii="Times New Roman" w:eastAsia="Times New Roman" w:hAnsi="Times New Roman" w:cs="Times New Roman"/>
          <w:sz w:val="20"/>
          <w:szCs w:val="20"/>
          <w:lang w:bidi="en-US"/>
        </w:rPr>
        <w:t xml:space="preserve">Tversky </w:t>
      </w:r>
      <w:r w:rsidR="00880DD1">
        <w:rPr>
          <w:rFonts w:ascii="Times New Roman" w:eastAsia="Times New Roman" w:hAnsi="Times New Roman" w:cs="Times New Roman"/>
          <w:sz w:val="20"/>
          <w:szCs w:val="20"/>
          <w:lang w:bidi="en-US"/>
        </w:rPr>
        <w:t>and Kahneman</w:t>
      </w:r>
      <w:r w:rsidR="00880DD1" w:rsidRPr="0040227B">
        <w:rPr>
          <w:rFonts w:ascii="Times New Roman" w:eastAsia="Times New Roman" w:hAnsi="Times New Roman" w:cs="Times New Roman"/>
          <w:sz w:val="20"/>
          <w:szCs w:val="20"/>
          <w:lang w:bidi="en-US"/>
        </w:rPr>
        <w:t xml:space="preserve"> (1992)</w:t>
      </w:r>
      <w:r w:rsidR="00C26D8C" w:rsidRPr="0040227B">
        <w:rPr>
          <w:rFonts w:ascii="Times New Roman" w:eastAsia="Times New Roman" w:hAnsi="Times New Roman" w:cs="Times New Roman"/>
          <w:sz w:val="20"/>
          <w:szCs w:val="20"/>
          <w:lang w:bidi="en-US"/>
        </w:rPr>
        <w:t xml:space="preserve">. The results yield prospect values for each attack method category across a range of relevant reference points. These results allow us to determine preference orderings of attack methods at different reference points based on the computed prospect values.  </w:t>
      </w:r>
    </w:p>
    <w:p w:rsidR="00C26D8C" w:rsidRPr="0040227B" w:rsidRDefault="00C26D8C" w:rsidP="0040227B">
      <w:pPr>
        <w:spacing w:after="0" w:line="480" w:lineRule="auto"/>
        <w:jc w:val="both"/>
        <w:rPr>
          <w:rFonts w:ascii="Times New Roman" w:eastAsia="Times New Roman" w:hAnsi="Times New Roman" w:cs="Times New Roman"/>
          <w:sz w:val="20"/>
          <w:szCs w:val="20"/>
          <w:lang w:bidi="en-US"/>
        </w:rPr>
      </w:pPr>
    </w:p>
    <w:p w:rsidR="00C26D8C" w:rsidRPr="0040227B" w:rsidRDefault="001A518A" w:rsidP="0040227B">
      <w:pPr>
        <w:spacing w:after="0" w:line="48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In Section II</w:t>
      </w:r>
      <w:r w:rsidR="006526CB" w:rsidRPr="0040227B">
        <w:rPr>
          <w:rFonts w:ascii="Times New Roman" w:eastAsia="Times New Roman" w:hAnsi="Times New Roman" w:cs="Times New Roman"/>
          <w:sz w:val="20"/>
          <w:szCs w:val="20"/>
          <w:lang w:bidi="en-US"/>
        </w:rPr>
        <w:t xml:space="preserve"> we present a brief outline of cumulat</w:t>
      </w:r>
      <w:r w:rsidR="002173D6" w:rsidRPr="0040227B">
        <w:rPr>
          <w:rFonts w:ascii="Times New Roman" w:eastAsia="Times New Roman" w:hAnsi="Times New Roman" w:cs="Times New Roman"/>
          <w:sz w:val="20"/>
          <w:szCs w:val="20"/>
          <w:lang w:bidi="en-US"/>
        </w:rPr>
        <w:t>ive prospect theory. We then commence the analysis</w:t>
      </w:r>
      <w:r>
        <w:rPr>
          <w:rFonts w:ascii="Times New Roman" w:eastAsia="Times New Roman" w:hAnsi="Times New Roman" w:cs="Times New Roman"/>
          <w:sz w:val="20"/>
          <w:szCs w:val="20"/>
          <w:lang w:bidi="en-US"/>
        </w:rPr>
        <w:t xml:space="preserve"> in Section III</w:t>
      </w:r>
      <w:r w:rsidR="002173D6" w:rsidRPr="0040227B">
        <w:rPr>
          <w:rFonts w:ascii="Times New Roman" w:eastAsia="Times New Roman" w:hAnsi="Times New Roman" w:cs="Times New Roman"/>
          <w:sz w:val="20"/>
          <w:szCs w:val="20"/>
          <w:lang w:bidi="en-US"/>
        </w:rPr>
        <w:t xml:space="preserve"> with an investigation of the </w:t>
      </w:r>
      <w:r w:rsidR="00400A24" w:rsidRPr="0040227B">
        <w:rPr>
          <w:rFonts w:ascii="Times New Roman" w:eastAsia="Times New Roman" w:hAnsi="Times New Roman" w:cs="Times New Roman"/>
          <w:sz w:val="20"/>
          <w:szCs w:val="20"/>
          <w:lang w:bidi="en-US"/>
        </w:rPr>
        <w:t>behaviour</w:t>
      </w:r>
      <w:r w:rsidR="002173D6" w:rsidRPr="0040227B">
        <w:rPr>
          <w:rFonts w:ascii="Times New Roman" w:eastAsia="Times New Roman" w:hAnsi="Times New Roman" w:cs="Times New Roman"/>
          <w:sz w:val="20"/>
          <w:szCs w:val="20"/>
          <w:lang w:bidi="en-US"/>
        </w:rPr>
        <w:t xml:space="preserve"> </w:t>
      </w:r>
      <w:r w:rsidR="00400A24" w:rsidRPr="0040227B">
        <w:rPr>
          <w:rFonts w:ascii="Times New Roman" w:eastAsia="Times New Roman" w:hAnsi="Times New Roman" w:cs="Times New Roman"/>
          <w:sz w:val="20"/>
          <w:szCs w:val="20"/>
          <w:lang w:bidi="en-US"/>
        </w:rPr>
        <w:t xml:space="preserve">of </w:t>
      </w:r>
      <w:r w:rsidR="00294CD2">
        <w:rPr>
          <w:rFonts w:ascii="Times New Roman" w:eastAsia="Times New Roman" w:hAnsi="Times New Roman" w:cs="Times New Roman"/>
          <w:sz w:val="20"/>
          <w:szCs w:val="20"/>
          <w:lang w:bidi="en-US"/>
        </w:rPr>
        <w:t xml:space="preserve">a </w:t>
      </w:r>
      <w:r w:rsidR="009122B5">
        <w:rPr>
          <w:rFonts w:ascii="Times New Roman" w:eastAsia="Times New Roman" w:hAnsi="Times New Roman" w:cs="Times New Roman"/>
          <w:sz w:val="20"/>
          <w:szCs w:val="20"/>
          <w:lang w:bidi="en-US"/>
        </w:rPr>
        <w:t>lone wolf terrorist</w:t>
      </w:r>
      <w:r w:rsidR="00400A24" w:rsidRPr="0040227B">
        <w:rPr>
          <w:rFonts w:ascii="Times New Roman" w:eastAsia="Times New Roman" w:hAnsi="Times New Roman" w:cs="Times New Roman"/>
          <w:sz w:val="20"/>
          <w:szCs w:val="20"/>
          <w:lang w:bidi="en-US"/>
        </w:rPr>
        <w:t xml:space="preserve"> who</w:t>
      </w:r>
      <w:r w:rsidR="00215AF4" w:rsidRPr="0040227B">
        <w:rPr>
          <w:rFonts w:ascii="Times New Roman" w:eastAsia="Times New Roman" w:hAnsi="Times New Roman" w:cs="Times New Roman"/>
          <w:sz w:val="20"/>
          <w:szCs w:val="20"/>
          <w:lang w:bidi="en-US"/>
        </w:rPr>
        <w:t xml:space="preserve"> may</w:t>
      </w:r>
      <w:r w:rsidR="00400A24" w:rsidRPr="0040227B">
        <w:rPr>
          <w:rFonts w:ascii="Times New Roman" w:eastAsia="Times New Roman" w:hAnsi="Times New Roman" w:cs="Times New Roman"/>
          <w:sz w:val="20"/>
          <w:szCs w:val="20"/>
          <w:lang w:bidi="en-US"/>
        </w:rPr>
        <w:t xml:space="preserve"> </w:t>
      </w:r>
      <w:r w:rsidR="009122B5">
        <w:rPr>
          <w:rFonts w:ascii="Times New Roman" w:eastAsia="Times New Roman" w:hAnsi="Times New Roman" w:cs="Times New Roman"/>
          <w:sz w:val="20"/>
          <w:szCs w:val="20"/>
          <w:lang w:bidi="en-US"/>
        </w:rPr>
        <w:t>base his choice</w:t>
      </w:r>
      <w:r w:rsidR="002173D6" w:rsidRPr="0040227B">
        <w:rPr>
          <w:rFonts w:ascii="Times New Roman" w:eastAsia="Times New Roman" w:hAnsi="Times New Roman" w:cs="Times New Roman"/>
          <w:sz w:val="20"/>
          <w:szCs w:val="20"/>
          <w:lang w:bidi="en-US"/>
        </w:rPr>
        <w:t xml:space="preserve"> of attack method on the outcomes of </w:t>
      </w:r>
      <w:r w:rsidR="00215AF4" w:rsidRPr="0040227B">
        <w:rPr>
          <w:rFonts w:ascii="Times New Roman" w:eastAsia="Times New Roman" w:hAnsi="Times New Roman" w:cs="Times New Roman"/>
          <w:sz w:val="20"/>
          <w:szCs w:val="20"/>
          <w:lang w:bidi="en-US"/>
        </w:rPr>
        <w:t xml:space="preserve">the attacks of </w:t>
      </w:r>
      <w:r w:rsidR="009122B5">
        <w:rPr>
          <w:rFonts w:ascii="Times New Roman" w:eastAsia="Times New Roman" w:hAnsi="Times New Roman" w:cs="Times New Roman"/>
          <w:sz w:val="20"/>
          <w:szCs w:val="20"/>
          <w:lang w:bidi="en-US"/>
        </w:rPr>
        <w:t xml:space="preserve">a </w:t>
      </w:r>
      <w:r w:rsidR="002173D6" w:rsidRPr="0040227B">
        <w:rPr>
          <w:rFonts w:ascii="Times New Roman" w:eastAsia="Times New Roman" w:hAnsi="Times New Roman" w:cs="Times New Roman"/>
          <w:sz w:val="20"/>
          <w:szCs w:val="20"/>
          <w:lang w:bidi="en-US"/>
        </w:rPr>
        <w:t xml:space="preserve">‘predecessor’ </w:t>
      </w:r>
      <w:r w:rsidR="00215AF4" w:rsidRPr="0040227B">
        <w:rPr>
          <w:rFonts w:ascii="Times New Roman" w:eastAsia="Times New Roman" w:hAnsi="Times New Roman" w:cs="Times New Roman"/>
          <w:sz w:val="20"/>
          <w:szCs w:val="20"/>
          <w:lang w:bidi="en-US"/>
        </w:rPr>
        <w:t xml:space="preserve">or ‘reference point’ </w:t>
      </w:r>
      <w:r w:rsidR="009122B5">
        <w:rPr>
          <w:rFonts w:ascii="Times New Roman" w:eastAsia="Times New Roman" w:hAnsi="Times New Roman" w:cs="Times New Roman"/>
          <w:sz w:val="20"/>
          <w:szCs w:val="20"/>
          <w:lang w:bidi="en-US"/>
        </w:rPr>
        <w:t>lone wolf terrorist</w:t>
      </w:r>
      <w:r w:rsidR="002173D6" w:rsidRPr="0040227B">
        <w:rPr>
          <w:rFonts w:ascii="Times New Roman" w:eastAsia="Times New Roman" w:hAnsi="Times New Roman" w:cs="Times New Roman"/>
          <w:sz w:val="20"/>
          <w:szCs w:val="20"/>
          <w:lang w:bidi="en-US"/>
        </w:rPr>
        <w:t>. This allows us to explore the issue of copycat acts of violence from</w:t>
      </w:r>
      <w:r w:rsidR="00400A24" w:rsidRPr="0040227B">
        <w:rPr>
          <w:rFonts w:ascii="Times New Roman" w:eastAsia="Times New Roman" w:hAnsi="Times New Roman" w:cs="Times New Roman"/>
          <w:sz w:val="20"/>
          <w:szCs w:val="20"/>
          <w:lang w:bidi="en-US"/>
        </w:rPr>
        <w:t xml:space="preserve"> a prospect theory perspective within the context of lone wolf terrorism. </w:t>
      </w:r>
      <w:r>
        <w:rPr>
          <w:rFonts w:ascii="Times New Roman" w:eastAsia="Times New Roman" w:hAnsi="Times New Roman" w:cs="Times New Roman"/>
          <w:sz w:val="20"/>
          <w:szCs w:val="20"/>
          <w:lang w:bidi="en-US"/>
        </w:rPr>
        <w:t>In Section IV</w:t>
      </w:r>
      <w:r w:rsidR="00437122" w:rsidRPr="0040227B">
        <w:rPr>
          <w:rFonts w:ascii="Times New Roman" w:eastAsia="Times New Roman" w:hAnsi="Times New Roman" w:cs="Times New Roman"/>
          <w:sz w:val="20"/>
          <w:szCs w:val="20"/>
          <w:lang w:bidi="en-US"/>
        </w:rPr>
        <w:t xml:space="preserve"> we </w:t>
      </w:r>
      <w:r w:rsidR="00CE0FFD" w:rsidRPr="0040227B">
        <w:rPr>
          <w:rFonts w:ascii="Times New Roman" w:eastAsia="Times New Roman" w:hAnsi="Times New Roman" w:cs="Times New Roman"/>
          <w:sz w:val="20"/>
          <w:szCs w:val="20"/>
          <w:lang w:bidi="en-US"/>
        </w:rPr>
        <w:t xml:space="preserve">determine preference orderings over the RAND-MIPT attack method categories by computing the prospect value for each attack method at a number of different reference points. </w:t>
      </w:r>
      <w:r w:rsidR="00FF2E6D" w:rsidRPr="0040227B">
        <w:rPr>
          <w:rFonts w:ascii="Times New Roman" w:eastAsia="Times New Roman" w:hAnsi="Times New Roman" w:cs="Times New Roman"/>
          <w:sz w:val="20"/>
          <w:szCs w:val="20"/>
          <w:lang w:bidi="en-US"/>
        </w:rPr>
        <w:t>We</w:t>
      </w:r>
      <w:r w:rsidR="00CE0FFD" w:rsidRPr="0040227B">
        <w:rPr>
          <w:rFonts w:ascii="Times New Roman" w:eastAsia="Times New Roman" w:hAnsi="Times New Roman" w:cs="Times New Roman"/>
          <w:sz w:val="20"/>
          <w:szCs w:val="20"/>
          <w:lang w:bidi="en-US"/>
        </w:rPr>
        <w:t xml:space="preserve"> reach conclusions regarding the type of attack method that might sit highest on the preference ordering of a prospective </w:t>
      </w:r>
      <w:r w:rsidR="00215AF4" w:rsidRPr="0040227B">
        <w:rPr>
          <w:rFonts w:ascii="Times New Roman" w:eastAsia="Times New Roman" w:hAnsi="Times New Roman" w:cs="Times New Roman"/>
          <w:sz w:val="20"/>
          <w:szCs w:val="20"/>
          <w:lang w:bidi="en-US"/>
        </w:rPr>
        <w:t xml:space="preserve">lone wolf </w:t>
      </w:r>
      <w:r w:rsidR="00CE0FFD" w:rsidRPr="0040227B">
        <w:rPr>
          <w:rFonts w:ascii="Times New Roman" w:eastAsia="Times New Roman" w:hAnsi="Times New Roman" w:cs="Times New Roman"/>
          <w:sz w:val="20"/>
          <w:szCs w:val="20"/>
          <w:lang w:bidi="en-US"/>
        </w:rPr>
        <w:t>terrorist</w:t>
      </w:r>
      <w:r w:rsidR="00FF2E6D" w:rsidRPr="0040227B">
        <w:rPr>
          <w:rFonts w:ascii="Times New Roman" w:eastAsia="Times New Roman" w:hAnsi="Times New Roman" w:cs="Times New Roman"/>
          <w:sz w:val="20"/>
          <w:szCs w:val="20"/>
          <w:lang w:bidi="en-US"/>
        </w:rPr>
        <w:t xml:space="preserve"> whose decision-making process is described by prospect theory and</w:t>
      </w:r>
      <w:r w:rsidR="00CE0FFD" w:rsidRPr="0040227B">
        <w:rPr>
          <w:rFonts w:ascii="Times New Roman" w:eastAsia="Times New Roman" w:hAnsi="Times New Roman" w:cs="Times New Roman"/>
          <w:sz w:val="20"/>
          <w:szCs w:val="20"/>
          <w:lang w:bidi="en-US"/>
        </w:rPr>
        <w:t xml:space="preserve"> who references his actions against the ou</w:t>
      </w:r>
      <w:r w:rsidR="00623838">
        <w:rPr>
          <w:rFonts w:ascii="Times New Roman" w:eastAsia="Times New Roman" w:hAnsi="Times New Roman" w:cs="Times New Roman"/>
          <w:sz w:val="20"/>
          <w:szCs w:val="20"/>
          <w:lang w:bidi="en-US"/>
        </w:rPr>
        <w:t>tcomes of attacks undertaken by a predecessor lone wolf terrorist</w:t>
      </w:r>
      <w:r w:rsidR="00CE0FFD" w:rsidRPr="0040227B">
        <w:rPr>
          <w:rFonts w:ascii="Times New Roman" w:eastAsia="Times New Roman" w:hAnsi="Times New Roman" w:cs="Times New Roman"/>
          <w:sz w:val="20"/>
          <w:szCs w:val="20"/>
          <w:lang w:bidi="en-US"/>
        </w:rPr>
        <w:t xml:space="preserve">. </w:t>
      </w:r>
      <w:r w:rsidR="00437122" w:rsidRPr="0040227B">
        <w:rPr>
          <w:rFonts w:ascii="Times New Roman" w:eastAsia="Times New Roman" w:hAnsi="Times New Roman" w:cs="Times New Roman"/>
          <w:sz w:val="20"/>
          <w:szCs w:val="20"/>
          <w:lang w:bidi="en-US"/>
        </w:rPr>
        <w:t>We c</w:t>
      </w:r>
      <w:r>
        <w:rPr>
          <w:rFonts w:ascii="Times New Roman" w:eastAsia="Times New Roman" w:hAnsi="Times New Roman" w:cs="Times New Roman"/>
          <w:sz w:val="20"/>
          <w:szCs w:val="20"/>
          <w:lang w:bidi="en-US"/>
        </w:rPr>
        <w:t>onclude the paper with Section V</w:t>
      </w:r>
      <w:r w:rsidR="00437122" w:rsidRPr="0040227B">
        <w:rPr>
          <w:rFonts w:ascii="Times New Roman" w:eastAsia="Times New Roman" w:hAnsi="Times New Roman" w:cs="Times New Roman"/>
          <w:sz w:val="20"/>
          <w:szCs w:val="20"/>
          <w:lang w:bidi="en-US"/>
        </w:rPr>
        <w:t xml:space="preserve">. </w:t>
      </w:r>
    </w:p>
    <w:p w:rsidR="00437122" w:rsidRPr="0040227B" w:rsidRDefault="00437122" w:rsidP="0040227B">
      <w:pPr>
        <w:spacing w:after="0" w:line="480" w:lineRule="auto"/>
        <w:jc w:val="both"/>
        <w:rPr>
          <w:rFonts w:ascii="Times New Roman" w:eastAsia="Times New Roman" w:hAnsi="Times New Roman" w:cs="Times New Roman"/>
          <w:sz w:val="20"/>
          <w:szCs w:val="20"/>
          <w:lang w:bidi="en-US"/>
        </w:rPr>
      </w:pPr>
    </w:p>
    <w:p w:rsidR="00437122" w:rsidRPr="0040227B" w:rsidRDefault="001A518A" w:rsidP="0040227B">
      <w:pPr>
        <w:spacing w:after="0" w:line="480" w:lineRule="auto"/>
        <w:jc w:val="both"/>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II</w:t>
      </w:r>
      <w:r w:rsidR="0057028A" w:rsidRPr="0040227B">
        <w:rPr>
          <w:rFonts w:ascii="Times New Roman" w:eastAsia="Times New Roman" w:hAnsi="Times New Roman" w:cs="Times New Roman"/>
          <w:b/>
          <w:sz w:val="20"/>
          <w:szCs w:val="20"/>
          <w:lang w:bidi="en-US"/>
        </w:rPr>
        <w:t>. The Development of Prospect Theory</w:t>
      </w:r>
    </w:p>
    <w:p w:rsidR="00400A24" w:rsidRPr="0040227B" w:rsidRDefault="00400A24" w:rsidP="0040227B">
      <w:pPr>
        <w:spacing w:after="0" w:line="480" w:lineRule="auto"/>
        <w:jc w:val="both"/>
        <w:rPr>
          <w:rFonts w:ascii="Times New Roman" w:eastAsia="Times New Roman" w:hAnsi="Times New Roman" w:cs="Times New Roman"/>
          <w:sz w:val="20"/>
          <w:szCs w:val="20"/>
          <w:lang w:bidi="en-US"/>
        </w:rPr>
      </w:pPr>
    </w:p>
    <w:p w:rsidR="009067B4" w:rsidRPr="0040227B" w:rsidRDefault="00A7716E" w:rsidP="0040227B">
      <w:pPr>
        <w:spacing w:after="0" w:line="480" w:lineRule="auto"/>
        <w:jc w:val="both"/>
        <w:rPr>
          <w:rFonts w:ascii="Times New Roman" w:eastAsia="Times New Roman" w:hAnsi="Times New Roman" w:cs="Times New Roman"/>
          <w:sz w:val="20"/>
          <w:szCs w:val="20"/>
          <w:lang w:bidi="en-US"/>
        </w:rPr>
      </w:pPr>
      <w:r w:rsidRPr="0040227B">
        <w:rPr>
          <w:rFonts w:ascii="Times New Roman" w:eastAsia="Times New Roman" w:hAnsi="Times New Roman" w:cs="Times New Roman"/>
          <w:sz w:val="20"/>
          <w:szCs w:val="20"/>
          <w:lang w:bidi="en-US"/>
        </w:rPr>
        <w:t>It is possib</w:t>
      </w:r>
      <w:r w:rsidR="00BA7849">
        <w:rPr>
          <w:rFonts w:ascii="Times New Roman" w:eastAsia="Times New Roman" w:hAnsi="Times New Roman" w:cs="Times New Roman"/>
          <w:sz w:val="20"/>
          <w:szCs w:val="20"/>
          <w:lang w:bidi="en-US"/>
        </w:rPr>
        <w:t xml:space="preserve">le to determine </w:t>
      </w:r>
      <w:r w:rsidRPr="0040227B">
        <w:rPr>
          <w:rFonts w:ascii="Times New Roman" w:eastAsia="Times New Roman" w:hAnsi="Times New Roman" w:cs="Times New Roman"/>
          <w:sz w:val="20"/>
          <w:szCs w:val="20"/>
          <w:lang w:bidi="en-US"/>
        </w:rPr>
        <w:t xml:space="preserve">preference orderings across important choice variables such as attack method, target type, attack time and attack location. </w:t>
      </w:r>
      <w:r w:rsidR="00BA7849">
        <w:rPr>
          <w:rFonts w:ascii="Times New Roman" w:eastAsia="Times New Roman" w:hAnsi="Times New Roman" w:cs="Times New Roman"/>
          <w:sz w:val="20"/>
          <w:szCs w:val="20"/>
          <w:lang w:bidi="en-US"/>
        </w:rPr>
        <w:t xml:space="preserve">One way to obtain a </w:t>
      </w:r>
      <w:r w:rsidRPr="0040227B">
        <w:rPr>
          <w:rFonts w:ascii="Times New Roman" w:eastAsia="Times New Roman" w:hAnsi="Times New Roman" w:cs="Times New Roman"/>
          <w:sz w:val="20"/>
          <w:szCs w:val="20"/>
          <w:lang w:bidi="en-US"/>
        </w:rPr>
        <w:t>preference ordering over a particular choice variable is</w:t>
      </w:r>
      <w:r w:rsidR="00733E5C" w:rsidRPr="0040227B">
        <w:rPr>
          <w:rFonts w:ascii="Times New Roman" w:eastAsia="Times New Roman" w:hAnsi="Times New Roman" w:cs="Times New Roman"/>
          <w:sz w:val="20"/>
          <w:szCs w:val="20"/>
          <w:lang w:bidi="en-US"/>
        </w:rPr>
        <w:t xml:space="preserve"> </w:t>
      </w:r>
      <w:r w:rsidRPr="0040227B">
        <w:rPr>
          <w:rFonts w:ascii="Times New Roman" w:eastAsia="Times New Roman" w:hAnsi="Times New Roman" w:cs="Times New Roman"/>
          <w:sz w:val="20"/>
          <w:szCs w:val="20"/>
          <w:lang w:bidi="en-US"/>
        </w:rPr>
        <w:t xml:space="preserve">to apply expected utility theory. </w:t>
      </w:r>
      <w:proofErr w:type="spellStart"/>
      <w:r w:rsidRPr="0040227B">
        <w:rPr>
          <w:rFonts w:ascii="Times New Roman" w:eastAsia="Times New Roman" w:hAnsi="Times New Roman" w:cs="Times New Roman"/>
          <w:sz w:val="20"/>
          <w:szCs w:val="20"/>
          <w:lang w:bidi="en-US"/>
        </w:rPr>
        <w:t>Landes</w:t>
      </w:r>
      <w:proofErr w:type="spellEnd"/>
      <w:r w:rsidRPr="0040227B">
        <w:rPr>
          <w:rFonts w:ascii="Times New Roman" w:eastAsia="Times New Roman" w:hAnsi="Times New Roman" w:cs="Times New Roman"/>
          <w:sz w:val="20"/>
          <w:szCs w:val="20"/>
          <w:lang w:bidi="en-US"/>
        </w:rPr>
        <w:t xml:space="preserve"> (1978), for example, determines a preference ordering over two alternative</w:t>
      </w:r>
      <w:r w:rsidR="00E3545D" w:rsidRPr="0040227B">
        <w:rPr>
          <w:rFonts w:ascii="Times New Roman" w:eastAsia="Times New Roman" w:hAnsi="Times New Roman" w:cs="Times New Roman"/>
          <w:sz w:val="20"/>
          <w:szCs w:val="20"/>
          <w:lang w:bidi="en-US"/>
        </w:rPr>
        <w:t xml:space="preserve"> opportunitie</w:t>
      </w:r>
      <w:r w:rsidRPr="0040227B">
        <w:rPr>
          <w:rFonts w:ascii="Times New Roman" w:eastAsia="Times New Roman" w:hAnsi="Times New Roman" w:cs="Times New Roman"/>
          <w:sz w:val="20"/>
          <w:szCs w:val="20"/>
          <w:lang w:bidi="en-US"/>
        </w:rPr>
        <w:t xml:space="preserve">s: (1) </w:t>
      </w:r>
      <w:r w:rsidR="00733E5C" w:rsidRPr="0040227B">
        <w:rPr>
          <w:rFonts w:ascii="Times New Roman" w:eastAsia="Times New Roman" w:hAnsi="Times New Roman" w:cs="Times New Roman"/>
          <w:sz w:val="20"/>
          <w:szCs w:val="20"/>
          <w:lang w:bidi="en-US"/>
        </w:rPr>
        <w:t>‘</w:t>
      </w:r>
      <w:r w:rsidRPr="0040227B">
        <w:rPr>
          <w:rFonts w:ascii="Times New Roman" w:eastAsia="Times New Roman" w:hAnsi="Times New Roman" w:cs="Times New Roman"/>
          <w:sz w:val="20"/>
          <w:szCs w:val="20"/>
          <w:lang w:bidi="en-US"/>
        </w:rPr>
        <w:t>hijack</w:t>
      </w:r>
      <w:r w:rsidR="00733E5C" w:rsidRPr="0040227B">
        <w:rPr>
          <w:rFonts w:ascii="Times New Roman" w:eastAsia="Times New Roman" w:hAnsi="Times New Roman" w:cs="Times New Roman"/>
          <w:sz w:val="20"/>
          <w:szCs w:val="20"/>
          <w:lang w:bidi="en-US"/>
        </w:rPr>
        <w:t>’</w:t>
      </w:r>
      <w:r w:rsidRPr="0040227B">
        <w:rPr>
          <w:rFonts w:ascii="Times New Roman" w:eastAsia="Times New Roman" w:hAnsi="Times New Roman" w:cs="Times New Roman"/>
          <w:sz w:val="20"/>
          <w:szCs w:val="20"/>
          <w:lang w:bidi="en-US"/>
        </w:rPr>
        <w:t xml:space="preserve">; and (2) </w:t>
      </w:r>
      <w:r w:rsidR="00733E5C" w:rsidRPr="0040227B">
        <w:rPr>
          <w:rFonts w:ascii="Times New Roman" w:eastAsia="Times New Roman" w:hAnsi="Times New Roman" w:cs="Times New Roman"/>
          <w:sz w:val="20"/>
          <w:szCs w:val="20"/>
          <w:lang w:bidi="en-US"/>
        </w:rPr>
        <w:t>‘</w:t>
      </w:r>
      <w:r w:rsidRPr="0040227B">
        <w:rPr>
          <w:rFonts w:ascii="Times New Roman" w:eastAsia="Times New Roman" w:hAnsi="Times New Roman" w:cs="Times New Roman"/>
          <w:sz w:val="20"/>
          <w:szCs w:val="20"/>
          <w:lang w:bidi="en-US"/>
        </w:rPr>
        <w:t>not hijack</w:t>
      </w:r>
      <w:r w:rsidR="00733E5C" w:rsidRPr="0040227B">
        <w:rPr>
          <w:rFonts w:ascii="Times New Roman" w:eastAsia="Times New Roman" w:hAnsi="Times New Roman" w:cs="Times New Roman"/>
          <w:sz w:val="20"/>
          <w:szCs w:val="20"/>
          <w:lang w:bidi="en-US"/>
        </w:rPr>
        <w:t>’</w:t>
      </w:r>
      <w:r w:rsidRPr="0040227B">
        <w:rPr>
          <w:rFonts w:ascii="Times New Roman" w:eastAsia="Times New Roman" w:hAnsi="Times New Roman" w:cs="Times New Roman"/>
          <w:sz w:val="20"/>
          <w:szCs w:val="20"/>
          <w:lang w:bidi="en-US"/>
        </w:rPr>
        <w:t>. Sandler et al. (1983) determine an implicit preference ordering over negotiation-based demands. Phillips (2009</w:t>
      </w:r>
      <w:r w:rsidR="004D2010" w:rsidRPr="0040227B">
        <w:rPr>
          <w:rFonts w:ascii="Times New Roman" w:eastAsia="Times New Roman" w:hAnsi="Times New Roman" w:cs="Times New Roman"/>
          <w:sz w:val="20"/>
          <w:szCs w:val="20"/>
          <w:lang w:bidi="en-US"/>
        </w:rPr>
        <w:t>; 2011; 2013</w:t>
      </w:r>
      <w:r w:rsidRPr="0040227B">
        <w:rPr>
          <w:rFonts w:ascii="Times New Roman" w:eastAsia="Times New Roman" w:hAnsi="Times New Roman" w:cs="Times New Roman"/>
          <w:sz w:val="20"/>
          <w:szCs w:val="20"/>
          <w:lang w:bidi="en-US"/>
        </w:rPr>
        <w:t>)</w:t>
      </w:r>
      <w:r w:rsidR="00C0421E">
        <w:rPr>
          <w:rFonts w:ascii="Times New Roman" w:eastAsia="Times New Roman" w:hAnsi="Times New Roman" w:cs="Times New Roman"/>
          <w:sz w:val="20"/>
          <w:szCs w:val="20"/>
          <w:lang w:bidi="en-US"/>
        </w:rPr>
        <w:t xml:space="preserve"> and Phillips and Pohl (2012) determine</w:t>
      </w:r>
      <w:r w:rsidRPr="0040227B">
        <w:rPr>
          <w:rFonts w:ascii="Times New Roman" w:eastAsia="Times New Roman" w:hAnsi="Times New Roman" w:cs="Times New Roman"/>
          <w:sz w:val="20"/>
          <w:szCs w:val="20"/>
          <w:lang w:bidi="en-US"/>
        </w:rPr>
        <w:t xml:space="preserve"> a preference ordering across different attack methods on the basis of their ‘risk’ </w:t>
      </w:r>
      <w:r w:rsidR="00E3545D" w:rsidRPr="0040227B">
        <w:rPr>
          <w:rFonts w:ascii="Times New Roman" w:eastAsia="Times New Roman" w:hAnsi="Times New Roman" w:cs="Times New Roman"/>
          <w:sz w:val="20"/>
          <w:szCs w:val="20"/>
          <w:lang w:bidi="en-US"/>
        </w:rPr>
        <w:t xml:space="preserve">(variance) </w:t>
      </w:r>
      <w:r w:rsidRPr="0040227B">
        <w:rPr>
          <w:rFonts w:ascii="Times New Roman" w:eastAsia="Times New Roman" w:hAnsi="Times New Roman" w:cs="Times New Roman"/>
          <w:sz w:val="20"/>
          <w:szCs w:val="20"/>
          <w:lang w:bidi="en-US"/>
        </w:rPr>
        <w:t>and ‘reward’</w:t>
      </w:r>
      <w:r w:rsidR="00E3545D" w:rsidRPr="0040227B">
        <w:rPr>
          <w:rFonts w:ascii="Times New Roman" w:eastAsia="Times New Roman" w:hAnsi="Times New Roman" w:cs="Times New Roman"/>
          <w:sz w:val="20"/>
          <w:szCs w:val="20"/>
          <w:lang w:bidi="en-US"/>
        </w:rPr>
        <w:t xml:space="preserve"> (average outcome)</w:t>
      </w:r>
      <w:r w:rsidRPr="0040227B">
        <w:rPr>
          <w:rFonts w:ascii="Times New Roman" w:eastAsia="Times New Roman" w:hAnsi="Times New Roman" w:cs="Times New Roman"/>
          <w:sz w:val="20"/>
          <w:szCs w:val="20"/>
          <w:lang w:bidi="en-US"/>
        </w:rPr>
        <w:t xml:space="preserve">. If the </w:t>
      </w:r>
      <w:r w:rsidR="00733E5C" w:rsidRPr="0040227B">
        <w:rPr>
          <w:rFonts w:ascii="Times New Roman" w:eastAsia="Times New Roman" w:hAnsi="Times New Roman" w:cs="Times New Roman"/>
          <w:sz w:val="20"/>
          <w:szCs w:val="20"/>
          <w:lang w:bidi="en-US"/>
        </w:rPr>
        <w:t>axioms</w:t>
      </w:r>
      <w:r w:rsidRPr="0040227B">
        <w:rPr>
          <w:rFonts w:ascii="Times New Roman" w:eastAsia="Times New Roman" w:hAnsi="Times New Roman" w:cs="Times New Roman"/>
          <w:sz w:val="20"/>
          <w:szCs w:val="20"/>
          <w:lang w:bidi="en-US"/>
        </w:rPr>
        <w:t xml:space="preserve"> of expected utility</w:t>
      </w:r>
      <w:r w:rsidR="00E3545D" w:rsidRPr="0040227B">
        <w:rPr>
          <w:rFonts w:ascii="Times New Roman" w:eastAsia="Times New Roman" w:hAnsi="Times New Roman" w:cs="Times New Roman"/>
          <w:sz w:val="20"/>
          <w:szCs w:val="20"/>
          <w:lang w:bidi="en-US"/>
        </w:rPr>
        <w:t xml:space="preserve"> theory</w:t>
      </w:r>
      <w:r w:rsidRPr="0040227B">
        <w:rPr>
          <w:rFonts w:ascii="Times New Roman" w:eastAsia="Times New Roman" w:hAnsi="Times New Roman" w:cs="Times New Roman"/>
          <w:sz w:val="20"/>
          <w:szCs w:val="20"/>
          <w:lang w:bidi="en-US"/>
        </w:rPr>
        <w:t xml:space="preserve"> are violated it is possible that the preference orderings determined utilising an expected utility theoretical framework may not </w:t>
      </w:r>
      <w:r w:rsidR="00E3545D" w:rsidRPr="0040227B">
        <w:rPr>
          <w:rFonts w:ascii="Times New Roman" w:eastAsia="Times New Roman" w:hAnsi="Times New Roman" w:cs="Times New Roman"/>
          <w:sz w:val="20"/>
          <w:szCs w:val="20"/>
          <w:lang w:bidi="en-US"/>
        </w:rPr>
        <w:t>accurately reflect</w:t>
      </w:r>
      <w:r w:rsidR="00623838">
        <w:rPr>
          <w:rFonts w:ascii="Times New Roman" w:eastAsia="Times New Roman" w:hAnsi="Times New Roman" w:cs="Times New Roman"/>
          <w:sz w:val="20"/>
          <w:szCs w:val="20"/>
          <w:lang w:bidi="en-US"/>
        </w:rPr>
        <w:t xml:space="preserve"> the </w:t>
      </w:r>
      <w:r w:rsidR="00E3545D" w:rsidRPr="0040227B">
        <w:rPr>
          <w:rFonts w:ascii="Times New Roman" w:eastAsia="Times New Roman" w:hAnsi="Times New Roman" w:cs="Times New Roman"/>
          <w:sz w:val="20"/>
          <w:szCs w:val="20"/>
          <w:lang w:bidi="en-US"/>
        </w:rPr>
        <w:t>preferences</w:t>
      </w:r>
      <w:r w:rsidR="00623838" w:rsidRPr="00623838">
        <w:rPr>
          <w:rFonts w:ascii="Times New Roman" w:eastAsia="Times New Roman" w:hAnsi="Times New Roman" w:cs="Times New Roman"/>
          <w:sz w:val="20"/>
          <w:szCs w:val="20"/>
          <w:lang w:bidi="en-US"/>
        </w:rPr>
        <w:t xml:space="preserve"> </w:t>
      </w:r>
      <w:r w:rsidR="00623838">
        <w:rPr>
          <w:rFonts w:ascii="Times New Roman" w:eastAsia="Times New Roman" w:hAnsi="Times New Roman" w:cs="Times New Roman"/>
          <w:sz w:val="20"/>
          <w:szCs w:val="20"/>
          <w:lang w:bidi="en-US"/>
        </w:rPr>
        <w:t xml:space="preserve">of </w:t>
      </w:r>
      <w:r w:rsidR="00623838">
        <w:rPr>
          <w:rFonts w:ascii="Times New Roman" w:eastAsia="Times New Roman" w:hAnsi="Times New Roman" w:cs="Times New Roman"/>
          <w:sz w:val="20"/>
          <w:szCs w:val="20"/>
          <w:lang w:bidi="en-US"/>
        </w:rPr>
        <w:t>terrorist</w:t>
      </w:r>
      <w:r w:rsidR="00623838">
        <w:rPr>
          <w:rFonts w:ascii="Times New Roman" w:eastAsia="Times New Roman" w:hAnsi="Times New Roman" w:cs="Times New Roman"/>
          <w:sz w:val="20"/>
          <w:szCs w:val="20"/>
          <w:lang w:bidi="en-US"/>
        </w:rPr>
        <w:t>s</w:t>
      </w:r>
      <w:r w:rsidR="00E3545D" w:rsidRPr="0040227B">
        <w:rPr>
          <w:rFonts w:ascii="Times New Roman" w:eastAsia="Times New Roman" w:hAnsi="Times New Roman" w:cs="Times New Roman"/>
          <w:sz w:val="20"/>
          <w:szCs w:val="20"/>
          <w:lang w:bidi="en-US"/>
        </w:rPr>
        <w:t>. Alternatives or o</w:t>
      </w:r>
      <w:r w:rsidRPr="0040227B">
        <w:rPr>
          <w:rFonts w:ascii="Times New Roman" w:eastAsia="Times New Roman" w:hAnsi="Times New Roman" w:cs="Times New Roman"/>
          <w:sz w:val="20"/>
          <w:szCs w:val="20"/>
          <w:lang w:bidi="en-US"/>
        </w:rPr>
        <w:t xml:space="preserve">pportunities that </w:t>
      </w:r>
      <w:r w:rsidR="00387347" w:rsidRPr="0040227B">
        <w:rPr>
          <w:rFonts w:ascii="Times New Roman" w:eastAsia="Times New Roman" w:hAnsi="Times New Roman" w:cs="Times New Roman"/>
          <w:sz w:val="20"/>
          <w:szCs w:val="20"/>
          <w:lang w:bidi="en-US"/>
        </w:rPr>
        <w:t xml:space="preserve">are </w:t>
      </w:r>
      <w:r w:rsidR="00E3545D" w:rsidRPr="0040227B">
        <w:rPr>
          <w:rFonts w:ascii="Times New Roman" w:eastAsia="Times New Roman" w:hAnsi="Times New Roman" w:cs="Times New Roman"/>
          <w:sz w:val="20"/>
          <w:szCs w:val="20"/>
          <w:lang w:bidi="en-US"/>
        </w:rPr>
        <w:t>analytically determined</w:t>
      </w:r>
      <w:r w:rsidRPr="0040227B">
        <w:rPr>
          <w:rFonts w:ascii="Times New Roman" w:eastAsia="Times New Roman" w:hAnsi="Times New Roman" w:cs="Times New Roman"/>
          <w:sz w:val="20"/>
          <w:szCs w:val="20"/>
          <w:lang w:bidi="en-US"/>
        </w:rPr>
        <w:t xml:space="preserve"> to sit at the top of the preference ordering may actually be accorded a lower ranking by the terrorist and vice versa. </w:t>
      </w:r>
    </w:p>
    <w:p w:rsidR="009067B4" w:rsidRPr="0040227B" w:rsidRDefault="009067B4" w:rsidP="0040227B">
      <w:pPr>
        <w:spacing w:after="0" w:line="480" w:lineRule="auto"/>
        <w:jc w:val="both"/>
        <w:rPr>
          <w:rFonts w:ascii="Times New Roman" w:eastAsia="Times New Roman" w:hAnsi="Times New Roman" w:cs="Times New Roman"/>
          <w:sz w:val="20"/>
          <w:szCs w:val="20"/>
          <w:lang w:bidi="en-US"/>
        </w:rPr>
      </w:pPr>
    </w:p>
    <w:p w:rsidR="00A7716E" w:rsidRPr="0040227B" w:rsidRDefault="00A7716E" w:rsidP="0040227B">
      <w:pPr>
        <w:spacing w:after="0" w:line="480" w:lineRule="auto"/>
        <w:jc w:val="both"/>
        <w:rPr>
          <w:rFonts w:ascii="Times New Roman" w:eastAsia="Times New Roman" w:hAnsi="Times New Roman" w:cs="Times New Roman"/>
          <w:sz w:val="20"/>
          <w:szCs w:val="20"/>
          <w:lang w:bidi="en-US"/>
        </w:rPr>
      </w:pPr>
      <w:r w:rsidRPr="0040227B">
        <w:rPr>
          <w:rFonts w:ascii="Times New Roman" w:eastAsia="Times New Roman" w:hAnsi="Times New Roman" w:cs="Times New Roman"/>
          <w:sz w:val="20"/>
          <w:szCs w:val="20"/>
          <w:lang w:bidi="en-US"/>
        </w:rPr>
        <w:t>Kahneman and Tversky (1979, p.265) discuss a series of examples of violations</w:t>
      </w:r>
      <w:r w:rsidRPr="0040227B">
        <w:rPr>
          <w:rFonts w:ascii="Times New Roman" w:eastAsia="Times New Roman" w:hAnsi="Times New Roman" w:cs="Times New Roman"/>
          <w:sz w:val="20"/>
          <w:szCs w:val="20"/>
          <w:vertAlign w:val="superscript"/>
          <w:lang w:bidi="en-US"/>
        </w:rPr>
        <w:footnoteReference w:id="6"/>
      </w:r>
      <w:r w:rsidRPr="0040227B">
        <w:rPr>
          <w:rFonts w:ascii="Times New Roman" w:eastAsia="Times New Roman" w:hAnsi="Times New Roman" w:cs="Times New Roman"/>
          <w:sz w:val="20"/>
          <w:szCs w:val="20"/>
          <w:lang w:bidi="en-US"/>
        </w:rPr>
        <w:t xml:space="preserve"> of the axioms of expected utility theory in hypothetical choice s</w:t>
      </w:r>
      <w:r w:rsidR="00880DD1">
        <w:rPr>
          <w:rFonts w:ascii="Times New Roman" w:eastAsia="Times New Roman" w:hAnsi="Times New Roman" w:cs="Times New Roman"/>
          <w:sz w:val="20"/>
          <w:szCs w:val="20"/>
          <w:lang w:bidi="en-US"/>
        </w:rPr>
        <w:t>cenarios. Kahneman and Tversky</w:t>
      </w:r>
      <w:r w:rsidRPr="0040227B">
        <w:rPr>
          <w:rFonts w:ascii="Times New Roman" w:eastAsia="Times New Roman" w:hAnsi="Times New Roman" w:cs="Times New Roman"/>
          <w:sz w:val="20"/>
          <w:szCs w:val="20"/>
          <w:lang w:bidi="en-US"/>
        </w:rPr>
        <w:t xml:space="preserve"> (19</w:t>
      </w:r>
      <w:r w:rsidR="00880DD1">
        <w:rPr>
          <w:rFonts w:ascii="Times New Roman" w:eastAsia="Times New Roman" w:hAnsi="Times New Roman" w:cs="Times New Roman"/>
          <w:sz w:val="20"/>
          <w:szCs w:val="20"/>
          <w:lang w:bidi="en-US"/>
        </w:rPr>
        <w:t>79, pp.265-271) found</w:t>
      </w:r>
      <w:r w:rsidRPr="0040227B">
        <w:rPr>
          <w:rFonts w:ascii="Times New Roman" w:eastAsia="Times New Roman" w:hAnsi="Times New Roman" w:cs="Times New Roman"/>
          <w:sz w:val="20"/>
          <w:szCs w:val="20"/>
          <w:lang w:bidi="en-US"/>
        </w:rPr>
        <w:t xml:space="preserve"> that people do not weight the utilities of outcomes by their probabilities</w:t>
      </w:r>
      <w:r w:rsidR="00472F7E" w:rsidRPr="0040227B">
        <w:rPr>
          <w:rFonts w:ascii="Times New Roman" w:eastAsia="Times New Roman" w:hAnsi="Times New Roman" w:cs="Times New Roman"/>
          <w:sz w:val="20"/>
          <w:szCs w:val="20"/>
          <w:lang w:bidi="en-US"/>
        </w:rPr>
        <w:t xml:space="preserve">, </w:t>
      </w:r>
      <w:r w:rsidRPr="0040227B">
        <w:rPr>
          <w:rFonts w:ascii="Times New Roman" w:eastAsia="Times New Roman" w:hAnsi="Times New Roman" w:cs="Times New Roman"/>
          <w:sz w:val="20"/>
          <w:szCs w:val="20"/>
          <w:lang w:bidi="en-US"/>
        </w:rPr>
        <w:t xml:space="preserve">one of the principles of expected utility </w:t>
      </w:r>
      <w:r w:rsidR="00472F7E" w:rsidRPr="0040227B">
        <w:rPr>
          <w:rFonts w:ascii="Times New Roman" w:eastAsia="Times New Roman" w:hAnsi="Times New Roman" w:cs="Times New Roman"/>
          <w:sz w:val="20"/>
          <w:szCs w:val="20"/>
          <w:lang w:bidi="en-US"/>
        </w:rPr>
        <w:t>theory. Kahneman and Tversky</w:t>
      </w:r>
      <w:r w:rsidRPr="0040227B">
        <w:rPr>
          <w:rFonts w:ascii="Times New Roman" w:eastAsia="Times New Roman" w:hAnsi="Times New Roman" w:cs="Times New Roman"/>
          <w:sz w:val="20"/>
          <w:szCs w:val="20"/>
          <w:lang w:bidi="en-US"/>
        </w:rPr>
        <w:t xml:space="preserve"> (1979) propose an alternative to the probability weighting scheme of orthodox expected utility theory. Kahneman and Tversky assume that there are two phases in the choice process. First, people are assumed to edit or frame </w:t>
      </w:r>
      <w:r w:rsidR="009067B4" w:rsidRPr="0040227B">
        <w:rPr>
          <w:rFonts w:ascii="Times New Roman" w:eastAsia="Times New Roman" w:hAnsi="Times New Roman" w:cs="Times New Roman"/>
          <w:sz w:val="20"/>
          <w:szCs w:val="20"/>
          <w:lang w:bidi="en-US"/>
        </w:rPr>
        <w:t>‘</w:t>
      </w:r>
      <w:r w:rsidRPr="0040227B">
        <w:rPr>
          <w:rFonts w:ascii="Times New Roman" w:eastAsia="Times New Roman" w:hAnsi="Times New Roman" w:cs="Times New Roman"/>
          <w:sz w:val="20"/>
          <w:szCs w:val="20"/>
          <w:lang w:bidi="en-US"/>
        </w:rPr>
        <w:t>prospects</w:t>
      </w:r>
      <w:r w:rsidR="009067B4" w:rsidRPr="0040227B">
        <w:rPr>
          <w:rFonts w:ascii="Times New Roman" w:eastAsia="Times New Roman" w:hAnsi="Times New Roman" w:cs="Times New Roman"/>
          <w:sz w:val="20"/>
          <w:szCs w:val="20"/>
          <w:lang w:bidi="en-US"/>
        </w:rPr>
        <w:t>’</w:t>
      </w:r>
      <w:r w:rsidRPr="0040227B">
        <w:rPr>
          <w:rFonts w:ascii="Times New Roman" w:eastAsia="Times New Roman" w:hAnsi="Times New Roman" w:cs="Times New Roman"/>
          <w:sz w:val="20"/>
          <w:szCs w:val="20"/>
          <w:lang w:bidi="en-US"/>
        </w:rPr>
        <w:t xml:space="preserve"> so as to simplify evaluation and choice between prospects. It is during the editing or framing phase, as people </w:t>
      </w:r>
      <w:r w:rsidR="00914185" w:rsidRPr="0040227B">
        <w:rPr>
          <w:rFonts w:ascii="Times New Roman" w:eastAsia="Times New Roman" w:hAnsi="Times New Roman" w:cs="Times New Roman"/>
          <w:sz w:val="20"/>
          <w:szCs w:val="20"/>
          <w:lang w:bidi="en-US"/>
        </w:rPr>
        <w:t>contend</w:t>
      </w:r>
      <w:r w:rsidRPr="0040227B">
        <w:rPr>
          <w:rFonts w:ascii="Times New Roman" w:eastAsia="Times New Roman" w:hAnsi="Times New Roman" w:cs="Times New Roman"/>
          <w:sz w:val="20"/>
          <w:szCs w:val="20"/>
          <w:lang w:bidi="en-US"/>
        </w:rPr>
        <w:t xml:space="preserve"> with the choice problem and try to simplify it, that some of the </w:t>
      </w:r>
      <w:r w:rsidR="00914185" w:rsidRPr="0040227B">
        <w:rPr>
          <w:rFonts w:ascii="Times New Roman" w:eastAsia="Times New Roman" w:hAnsi="Times New Roman" w:cs="Times New Roman"/>
          <w:sz w:val="20"/>
          <w:szCs w:val="20"/>
          <w:lang w:bidi="en-US"/>
        </w:rPr>
        <w:t>‘paradoxes’</w:t>
      </w:r>
      <w:r w:rsidRPr="0040227B">
        <w:rPr>
          <w:rFonts w:ascii="Times New Roman" w:eastAsia="Times New Roman" w:hAnsi="Times New Roman" w:cs="Times New Roman"/>
          <w:sz w:val="20"/>
          <w:szCs w:val="20"/>
          <w:lang w:bidi="en-US"/>
        </w:rPr>
        <w:t xml:space="preserve"> are presumed to enter into the choice process. After editing, people are assumed to evaluate (rank) the prospects and choose the prospect with the highest value (utility). </w:t>
      </w:r>
      <w:r w:rsidR="00914185" w:rsidRPr="0040227B">
        <w:rPr>
          <w:rFonts w:ascii="Times New Roman" w:eastAsia="Times New Roman" w:hAnsi="Times New Roman" w:cs="Times New Roman"/>
          <w:sz w:val="20"/>
          <w:szCs w:val="20"/>
          <w:lang w:bidi="en-US"/>
        </w:rPr>
        <w:t>Th</w:t>
      </w:r>
      <w:r w:rsidRPr="0040227B">
        <w:rPr>
          <w:rFonts w:ascii="Times New Roman" w:eastAsia="Times New Roman" w:hAnsi="Times New Roman" w:cs="Times New Roman"/>
          <w:sz w:val="20"/>
          <w:szCs w:val="20"/>
          <w:lang w:bidi="en-US"/>
        </w:rPr>
        <w:t xml:space="preserve">e functional form for the preference function is non-linear: </w:t>
      </w:r>
    </w:p>
    <w:p w:rsidR="008C15D9" w:rsidRPr="0040227B" w:rsidRDefault="008C15D9" w:rsidP="0040227B">
      <w:pPr>
        <w:spacing w:after="0" w:line="480" w:lineRule="auto"/>
        <w:jc w:val="both"/>
        <w:rPr>
          <w:rFonts w:ascii="Times New Roman" w:eastAsia="Times New Roman" w:hAnsi="Times New Roman" w:cs="Times New Roman"/>
          <w:sz w:val="20"/>
          <w:szCs w:val="20"/>
          <w:lang w:bidi="en-US"/>
        </w:rPr>
      </w:pPr>
    </w:p>
    <w:p w:rsidR="00A7716E" w:rsidRPr="0040227B" w:rsidRDefault="008C15D9" w:rsidP="0040227B">
      <w:pPr>
        <w:spacing w:after="0" w:line="480" w:lineRule="auto"/>
        <w:jc w:val="both"/>
        <w:rPr>
          <w:rFonts w:ascii="Times New Roman" w:eastAsia="Times New Roman" w:hAnsi="Times New Roman" w:cs="Times New Roman"/>
          <w:sz w:val="20"/>
          <w:szCs w:val="20"/>
          <w:lang w:bidi="en-US"/>
        </w:rPr>
      </w:pPr>
      <m:oMath>
        <m:r>
          <w:rPr>
            <w:rFonts w:ascii="Cambria Math" w:eastAsia="Times New Roman" w:hAnsi="Cambria Math" w:cs="Times New Roman"/>
            <w:sz w:val="20"/>
            <w:szCs w:val="20"/>
            <w:lang w:bidi="en-US"/>
          </w:rPr>
          <m:t>V=</m:t>
        </m:r>
        <m:nary>
          <m:naryPr>
            <m:chr m:val="∑"/>
            <m:limLoc m:val="undOvr"/>
            <m:subHide m:val="1"/>
            <m:supHide m:val="1"/>
            <m:ctrlPr>
              <w:rPr>
                <w:rFonts w:ascii="Cambria Math" w:eastAsia="Times New Roman" w:hAnsi="Cambria Math" w:cs="Times New Roman"/>
                <w:i/>
                <w:sz w:val="20"/>
                <w:szCs w:val="20"/>
                <w:lang w:bidi="en-US"/>
              </w:rPr>
            </m:ctrlPr>
          </m:naryPr>
          <m:sub/>
          <m:sup/>
          <m:e>
            <m:r>
              <w:rPr>
                <w:rFonts w:ascii="Cambria Math" w:eastAsia="Times New Roman" w:hAnsi="Cambria Math" w:cs="Times New Roman"/>
                <w:sz w:val="20"/>
                <w:szCs w:val="20"/>
                <w:lang w:bidi="en-US"/>
              </w:rPr>
              <m:t>v</m:t>
            </m:r>
            <m:d>
              <m:dPr>
                <m:ctrlPr>
                  <w:rPr>
                    <w:rFonts w:ascii="Cambria Math" w:eastAsia="Times New Roman" w:hAnsi="Cambria Math" w:cs="Times New Roman"/>
                    <w:i/>
                    <w:sz w:val="20"/>
                    <w:szCs w:val="20"/>
                    <w:lang w:bidi="en-US"/>
                  </w:rPr>
                </m:ctrlPr>
              </m:dPr>
              <m:e>
                <m:r>
                  <w:rPr>
                    <w:rFonts w:ascii="Cambria Math" w:eastAsia="Times New Roman" w:hAnsi="Cambria Math" w:cs="Times New Roman"/>
                    <w:sz w:val="20"/>
                    <w:szCs w:val="20"/>
                    <w:lang w:bidi="en-US"/>
                  </w:rPr>
                  <m:t>∆</m:t>
                </m:r>
                <m:sSub>
                  <m:sSubPr>
                    <m:ctrlPr>
                      <w:rPr>
                        <w:rFonts w:ascii="Cambria Math" w:eastAsia="Times New Roman" w:hAnsi="Cambria Math" w:cs="Times New Roman"/>
                        <w:i/>
                        <w:sz w:val="20"/>
                        <w:szCs w:val="20"/>
                        <w:lang w:bidi="en-US"/>
                      </w:rPr>
                    </m:ctrlPr>
                  </m:sSubPr>
                  <m:e>
                    <m:r>
                      <w:rPr>
                        <w:rFonts w:ascii="Cambria Math" w:eastAsia="Times New Roman" w:hAnsi="Cambria Math" w:cs="Times New Roman"/>
                        <w:sz w:val="20"/>
                        <w:szCs w:val="20"/>
                        <w:lang w:bidi="en-US"/>
                      </w:rPr>
                      <m:t>x</m:t>
                    </m:r>
                  </m:e>
                  <m:sub>
                    <m:r>
                      <w:rPr>
                        <w:rFonts w:ascii="Cambria Math" w:eastAsia="Times New Roman" w:hAnsi="Cambria Math" w:cs="Times New Roman"/>
                        <w:sz w:val="20"/>
                        <w:szCs w:val="20"/>
                        <w:lang w:bidi="en-US"/>
                      </w:rPr>
                      <m:t>i</m:t>
                    </m:r>
                  </m:sub>
                </m:sSub>
              </m:e>
            </m:d>
          </m:e>
        </m:nary>
        <m:r>
          <w:rPr>
            <w:rFonts w:ascii="Cambria Math" w:eastAsia="Times New Roman" w:hAnsi="Cambria Math" w:cs="Times New Roman"/>
            <w:sz w:val="20"/>
            <w:szCs w:val="20"/>
            <w:lang w:bidi="en-US"/>
          </w:rPr>
          <m:t>π</m:t>
        </m:r>
        <m:d>
          <m:dPr>
            <m:ctrlPr>
              <w:rPr>
                <w:rFonts w:ascii="Cambria Math" w:eastAsia="Times New Roman" w:hAnsi="Cambria Math" w:cs="Times New Roman"/>
                <w:i/>
                <w:sz w:val="20"/>
                <w:szCs w:val="20"/>
                <w:lang w:bidi="en-US"/>
              </w:rPr>
            </m:ctrlPr>
          </m:dPr>
          <m:e>
            <m:sSub>
              <m:sSubPr>
                <m:ctrlPr>
                  <w:rPr>
                    <w:rFonts w:ascii="Cambria Math" w:eastAsia="Times New Roman" w:hAnsi="Cambria Math" w:cs="Times New Roman"/>
                    <w:i/>
                    <w:sz w:val="20"/>
                    <w:szCs w:val="20"/>
                    <w:lang w:bidi="en-US"/>
                  </w:rPr>
                </m:ctrlPr>
              </m:sSubPr>
              <m:e>
                <m:r>
                  <w:rPr>
                    <w:rFonts w:ascii="Cambria Math" w:eastAsia="Times New Roman" w:hAnsi="Cambria Math" w:cs="Times New Roman"/>
                    <w:sz w:val="20"/>
                    <w:szCs w:val="20"/>
                    <w:lang w:bidi="en-US"/>
                  </w:rPr>
                  <m:t>p</m:t>
                </m:r>
              </m:e>
              <m:sub>
                <m:r>
                  <w:rPr>
                    <w:rFonts w:ascii="Cambria Math" w:eastAsia="Times New Roman" w:hAnsi="Cambria Math" w:cs="Times New Roman"/>
                    <w:sz w:val="20"/>
                    <w:szCs w:val="20"/>
                    <w:lang w:bidi="en-US"/>
                  </w:rPr>
                  <m:t>i</m:t>
                </m:r>
              </m:sub>
            </m:sSub>
          </m:e>
        </m:d>
      </m:oMath>
      <w:r w:rsidR="00A7716E" w:rsidRPr="0040227B">
        <w:rPr>
          <w:rFonts w:ascii="Times New Roman" w:eastAsia="Times New Roman" w:hAnsi="Times New Roman" w:cs="Times New Roman"/>
          <w:sz w:val="20"/>
          <w:szCs w:val="20"/>
          <w:lang w:bidi="en-US"/>
        </w:rPr>
        <w:tab/>
      </w:r>
      <w:r w:rsidR="00A7716E" w:rsidRPr="0040227B">
        <w:rPr>
          <w:rFonts w:ascii="Times New Roman" w:eastAsia="Times New Roman" w:hAnsi="Times New Roman" w:cs="Times New Roman"/>
          <w:sz w:val="20"/>
          <w:szCs w:val="20"/>
          <w:lang w:bidi="en-US"/>
        </w:rPr>
        <w:tab/>
      </w:r>
      <w:r w:rsidR="00A7716E" w:rsidRPr="0040227B">
        <w:rPr>
          <w:rFonts w:ascii="Times New Roman" w:eastAsia="Times New Roman" w:hAnsi="Times New Roman" w:cs="Times New Roman"/>
          <w:sz w:val="20"/>
          <w:szCs w:val="20"/>
          <w:lang w:bidi="en-US"/>
        </w:rPr>
        <w:tab/>
      </w:r>
      <w:r w:rsidR="00A7716E" w:rsidRPr="0040227B">
        <w:rPr>
          <w:rFonts w:ascii="Times New Roman" w:eastAsia="Times New Roman" w:hAnsi="Times New Roman" w:cs="Times New Roman"/>
          <w:sz w:val="20"/>
          <w:szCs w:val="20"/>
          <w:lang w:bidi="en-US"/>
        </w:rPr>
        <w:tab/>
      </w:r>
      <w:r w:rsidR="00A7716E" w:rsidRPr="0040227B">
        <w:rPr>
          <w:rFonts w:ascii="Times New Roman" w:eastAsia="Times New Roman" w:hAnsi="Times New Roman" w:cs="Times New Roman"/>
          <w:sz w:val="20"/>
          <w:szCs w:val="20"/>
          <w:lang w:bidi="en-US"/>
        </w:rPr>
        <w:tab/>
      </w:r>
      <w:r w:rsidR="00A7716E" w:rsidRPr="0040227B">
        <w:rPr>
          <w:rFonts w:ascii="Times New Roman" w:eastAsia="Times New Roman" w:hAnsi="Times New Roman" w:cs="Times New Roman"/>
          <w:sz w:val="20"/>
          <w:szCs w:val="20"/>
          <w:lang w:bidi="en-US"/>
        </w:rPr>
        <w:tab/>
      </w:r>
      <w:r w:rsidR="00A7716E" w:rsidRPr="0040227B">
        <w:rPr>
          <w:rFonts w:ascii="Times New Roman" w:eastAsia="Times New Roman" w:hAnsi="Times New Roman" w:cs="Times New Roman"/>
          <w:sz w:val="20"/>
          <w:szCs w:val="20"/>
          <w:lang w:bidi="en-US"/>
        </w:rPr>
        <w:tab/>
      </w:r>
      <w:r w:rsidR="00A7716E" w:rsidRPr="0040227B">
        <w:rPr>
          <w:rFonts w:ascii="Times New Roman" w:eastAsia="Times New Roman" w:hAnsi="Times New Roman" w:cs="Times New Roman"/>
          <w:sz w:val="20"/>
          <w:szCs w:val="20"/>
          <w:lang w:bidi="en-US"/>
        </w:rPr>
        <w:tab/>
      </w:r>
      <w:r w:rsidR="00A7716E" w:rsidRPr="0040227B">
        <w:rPr>
          <w:rFonts w:ascii="Times New Roman" w:eastAsia="Times New Roman" w:hAnsi="Times New Roman" w:cs="Times New Roman"/>
          <w:sz w:val="20"/>
          <w:szCs w:val="20"/>
          <w:lang w:bidi="en-US"/>
        </w:rPr>
        <w:tab/>
      </w:r>
      <w:r w:rsidR="00A7716E" w:rsidRPr="0040227B">
        <w:rPr>
          <w:rFonts w:ascii="Times New Roman" w:eastAsia="Times New Roman" w:hAnsi="Times New Roman" w:cs="Times New Roman"/>
          <w:sz w:val="20"/>
          <w:szCs w:val="20"/>
          <w:lang w:bidi="en-US"/>
        </w:rPr>
        <w:tab/>
      </w:r>
      <w:r w:rsidR="009067B4" w:rsidRPr="0040227B">
        <w:rPr>
          <w:rFonts w:ascii="Times New Roman" w:eastAsia="Times New Roman" w:hAnsi="Times New Roman" w:cs="Times New Roman"/>
          <w:sz w:val="20"/>
          <w:szCs w:val="20"/>
          <w:lang w:bidi="en-US"/>
        </w:rPr>
        <w:t>(1</w:t>
      </w:r>
      <w:r w:rsidR="00A7716E" w:rsidRPr="0040227B">
        <w:rPr>
          <w:rFonts w:ascii="Times New Roman" w:eastAsia="Times New Roman" w:hAnsi="Times New Roman" w:cs="Times New Roman"/>
          <w:sz w:val="20"/>
          <w:szCs w:val="20"/>
          <w:lang w:bidi="en-US"/>
        </w:rPr>
        <w:t>)</w:t>
      </w:r>
    </w:p>
    <w:p w:rsidR="00A7716E" w:rsidRPr="0040227B" w:rsidRDefault="00A7716E" w:rsidP="0040227B">
      <w:pPr>
        <w:spacing w:after="0" w:line="480" w:lineRule="auto"/>
        <w:jc w:val="both"/>
        <w:rPr>
          <w:rFonts w:ascii="Times New Roman" w:eastAsia="Times New Roman" w:hAnsi="Times New Roman" w:cs="Times New Roman"/>
          <w:sz w:val="20"/>
          <w:szCs w:val="20"/>
          <w:lang w:bidi="en-US"/>
        </w:rPr>
      </w:pPr>
    </w:p>
    <w:p w:rsidR="00F06C67" w:rsidRPr="0040227B" w:rsidRDefault="009067B4" w:rsidP="0040227B">
      <w:pPr>
        <w:spacing w:after="0" w:line="480" w:lineRule="auto"/>
        <w:jc w:val="both"/>
        <w:rPr>
          <w:rFonts w:ascii="Times New Roman" w:eastAsia="Times New Roman" w:hAnsi="Times New Roman" w:cs="Times New Roman"/>
          <w:sz w:val="20"/>
          <w:szCs w:val="20"/>
          <w:lang w:bidi="en-US"/>
        </w:rPr>
      </w:pPr>
      <w:r w:rsidRPr="0040227B">
        <w:rPr>
          <w:rFonts w:ascii="Times New Roman" w:eastAsia="Times New Roman" w:hAnsi="Times New Roman" w:cs="Times New Roman"/>
          <w:sz w:val="20"/>
          <w:szCs w:val="20"/>
          <w:lang w:bidi="en-US"/>
        </w:rPr>
        <w:t>The</w:t>
      </w:r>
      <w:r w:rsidR="00A7716E" w:rsidRPr="0040227B">
        <w:rPr>
          <w:rFonts w:ascii="Times New Roman" w:eastAsia="Times New Roman" w:hAnsi="Times New Roman" w:cs="Times New Roman"/>
          <w:sz w:val="20"/>
          <w:szCs w:val="20"/>
          <w:lang w:bidi="en-US"/>
        </w:rPr>
        <w:t xml:space="preserve"> value </w:t>
      </w:r>
      <w:r w:rsidR="00A7716E" w:rsidRPr="0040227B">
        <w:rPr>
          <w:rFonts w:ascii="Times New Roman" w:eastAsia="Times New Roman" w:hAnsi="Times New Roman" w:cs="Times New Roman"/>
          <w:i/>
          <w:sz w:val="20"/>
          <w:szCs w:val="20"/>
          <w:lang w:bidi="en-US"/>
        </w:rPr>
        <w:t>V</w:t>
      </w:r>
      <w:r w:rsidR="00A7716E" w:rsidRPr="0040227B">
        <w:rPr>
          <w:rFonts w:ascii="Times New Roman" w:eastAsia="Times New Roman" w:hAnsi="Times New Roman" w:cs="Times New Roman"/>
          <w:sz w:val="20"/>
          <w:szCs w:val="20"/>
          <w:lang w:bidi="en-US"/>
        </w:rPr>
        <w:t xml:space="preserve"> of a prospect is expressed in terms of </w:t>
      </w:r>
      <w:r w:rsidR="00A7716E" w:rsidRPr="0040227B">
        <w:rPr>
          <w:rFonts w:ascii="Times New Roman" w:eastAsia="Times New Roman" w:hAnsi="Times New Roman" w:cs="Times New Roman"/>
          <w:i/>
          <w:sz w:val="20"/>
          <w:szCs w:val="20"/>
          <w:lang w:bidi="en-US"/>
        </w:rPr>
        <w:t>v</w:t>
      </w:r>
      <w:r w:rsidR="00A7716E" w:rsidRPr="0040227B">
        <w:rPr>
          <w:rFonts w:ascii="Times New Roman" w:eastAsia="Times New Roman" w:hAnsi="Times New Roman" w:cs="Times New Roman"/>
          <w:sz w:val="20"/>
          <w:szCs w:val="20"/>
          <w:lang w:bidi="en-US"/>
        </w:rPr>
        <w:t xml:space="preserve"> and </w:t>
      </w:r>
      <w:r w:rsidR="00A7716E" w:rsidRPr="0040227B">
        <w:rPr>
          <w:rFonts w:ascii="Times New Roman" w:eastAsia="Times New Roman" w:hAnsi="Times New Roman" w:cs="Times New Roman"/>
          <w:i/>
          <w:sz w:val="20"/>
          <w:szCs w:val="20"/>
          <w:lang w:bidi="en-US"/>
        </w:rPr>
        <w:t>π</w:t>
      </w:r>
      <w:r w:rsidR="00A7716E" w:rsidRPr="0040227B">
        <w:rPr>
          <w:rFonts w:ascii="Times New Roman" w:eastAsia="Times New Roman" w:hAnsi="Times New Roman" w:cs="Times New Roman"/>
          <w:sz w:val="20"/>
          <w:szCs w:val="20"/>
          <w:lang w:bidi="en-US"/>
        </w:rPr>
        <w:t xml:space="preserve">. Both </w:t>
      </w:r>
      <w:r w:rsidR="00A7716E" w:rsidRPr="0040227B">
        <w:rPr>
          <w:rFonts w:ascii="Times New Roman" w:eastAsia="Times New Roman" w:hAnsi="Times New Roman" w:cs="Times New Roman"/>
          <w:i/>
          <w:sz w:val="20"/>
          <w:szCs w:val="20"/>
          <w:lang w:bidi="en-US"/>
        </w:rPr>
        <w:t>v</w:t>
      </w:r>
      <w:r w:rsidR="00A7716E" w:rsidRPr="0040227B">
        <w:rPr>
          <w:rFonts w:ascii="Times New Roman" w:eastAsia="Times New Roman" w:hAnsi="Times New Roman" w:cs="Times New Roman"/>
          <w:sz w:val="20"/>
          <w:szCs w:val="20"/>
          <w:lang w:bidi="en-US"/>
        </w:rPr>
        <w:t xml:space="preserve"> and </w:t>
      </w:r>
      <w:r w:rsidR="00A7716E" w:rsidRPr="0040227B">
        <w:rPr>
          <w:rFonts w:ascii="Times New Roman" w:eastAsia="Times New Roman" w:hAnsi="Times New Roman" w:cs="Times New Roman"/>
          <w:i/>
          <w:sz w:val="20"/>
          <w:szCs w:val="20"/>
          <w:lang w:bidi="en-US"/>
        </w:rPr>
        <w:t>π</w:t>
      </w:r>
      <w:r w:rsidR="00A7716E" w:rsidRPr="0040227B">
        <w:rPr>
          <w:rFonts w:ascii="Times New Roman" w:eastAsia="Times New Roman" w:hAnsi="Times New Roman" w:cs="Times New Roman"/>
          <w:sz w:val="20"/>
          <w:szCs w:val="20"/>
          <w:lang w:bidi="en-US"/>
        </w:rPr>
        <w:t xml:space="preserve"> are scal</w:t>
      </w:r>
      <w:r w:rsidR="00785C20">
        <w:rPr>
          <w:rFonts w:ascii="Times New Roman" w:eastAsia="Times New Roman" w:hAnsi="Times New Roman" w:cs="Times New Roman"/>
          <w:sz w:val="20"/>
          <w:szCs w:val="20"/>
          <w:lang w:bidi="en-US"/>
        </w:rPr>
        <w:t>es which, respectively, measure</w:t>
      </w:r>
      <w:r w:rsidR="00A7716E" w:rsidRPr="0040227B">
        <w:rPr>
          <w:rFonts w:ascii="Times New Roman" w:eastAsia="Times New Roman" w:hAnsi="Times New Roman" w:cs="Times New Roman"/>
          <w:sz w:val="20"/>
          <w:szCs w:val="20"/>
          <w:lang w:bidi="en-US"/>
        </w:rPr>
        <w:t xml:space="preserve"> the value of deviations (gains and losses) from a</w:t>
      </w:r>
      <w:r w:rsidR="00785C20">
        <w:rPr>
          <w:rFonts w:ascii="Times New Roman" w:eastAsia="Times New Roman" w:hAnsi="Times New Roman" w:cs="Times New Roman"/>
          <w:sz w:val="20"/>
          <w:szCs w:val="20"/>
          <w:lang w:bidi="en-US"/>
        </w:rPr>
        <w:t xml:space="preserve"> reference point; and associate</w:t>
      </w:r>
      <w:r w:rsidR="00A7716E" w:rsidRPr="0040227B">
        <w:rPr>
          <w:rFonts w:ascii="Times New Roman" w:eastAsia="Times New Roman" w:hAnsi="Times New Roman" w:cs="Times New Roman"/>
          <w:sz w:val="20"/>
          <w:szCs w:val="20"/>
          <w:lang w:bidi="en-US"/>
        </w:rPr>
        <w:t xml:space="preserve"> with each probability </w:t>
      </w:r>
      <w:r w:rsidR="00A7716E" w:rsidRPr="0040227B">
        <w:rPr>
          <w:rFonts w:ascii="Times New Roman" w:eastAsia="Times New Roman" w:hAnsi="Times New Roman" w:cs="Times New Roman"/>
          <w:i/>
          <w:sz w:val="20"/>
          <w:szCs w:val="20"/>
          <w:lang w:bidi="en-US"/>
        </w:rPr>
        <w:t>p</w:t>
      </w:r>
      <w:r w:rsidR="00A7716E" w:rsidRPr="0040227B">
        <w:rPr>
          <w:rFonts w:ascii="Times New Roman" w:eastAsia="Times New Roman" w:hAnsi="Times New Roman" w:cs="Times New Roman"/>
          <w:sz w:val="20"/>
          <w:szCs w:val="20"/>
          <w:lang w:bidi="en-US"/>
        </w:rPr>
        <w:t xml:space="preserve"> a decision weight </w:t>
      </w:r>
      <w:proofErr w:type="gramStart"/>
      <w:r w:rsidR="00A7716E" w:rsidRPr="0040227B">
        <w:rPr>
          <w:rFonts w:ascii="Times New Roman" w:eastAsia="Times New Roman" w:hAnsi="Times New Roman" w:cs="Times New Roman"/>
          <w:i/>
          <w:sz w:val="20"/>
          <w:szCs w:val="20"/>
          <w:lang w:bidi="en-US"/>
        </w:rPr>
        <w:t>π(</w:t>
      </w:r>
      <w:proofErr w:type="gramEnd"/>
      <w:r w:rsidR="00A7716E" w:rsidRPr="0040227B">
        <w:rPr>
          <w:rFonts w:ascii="Times New Roman" w:eastAsia="Times New Roman" w:hAnsi="Times New Roman" w:cs="Times New Roman"/>
          <w:i/>
          <w:sz w:val="20"/>
          <w:szCs w:val="20"/>
          <w:lang w:bidi="en-US"/>
        </w:rPr>
        <w:t>p)</w:t>
      </w:r>
      <w:r w:rsidR="00A7716E" w:rsidRPr="0040227B">
        <w:rPr>
          <w:rFonts w:ascii="Times New Roman" w:eastAsia="Times New Roman" w:hAnsi="Times New Roman" w:cs="Times New Roman"/>
          <w:sz w:val="20"/>
          <w:szCs w:val="20"/>
          <w:lang w:bidi="en-US"/>
        </w:rPr>
        <w:t xml:space="preserve"> that reflects the impact of </w:t>
      </w:r>
      <w:r w:rsidR="00A7716E" w:rsidRPr="0040227B">
        <w:rPr>
          <w:rFonts w:ascii="Times New Roman" w:eastAsia="Times New Roman" w:hAnsi="Times New Roman" w:cs="Times New Roman"/>
          <w:i/>
          <w:sz w:val="20"/>
          <w:szCs w:val="20"/>
          <w:lang w:bidi="en-US"/>
        </w:rPr>
        <w:t>p</w:t>
      </w:r>
      <w:r w:rsidR="00A7716E" w:rsidRPr="0040227B">
        <w:rPr>
          <w:rFonts w:ascii="Times New Roman" w:eastAsia="Times New Roman" w:hAnsi="Times New Roman" w:cs="Times New Roman"/>
          <w:sz w:val="20"/>
          <w:szCs w:val="20"/>
          <w:lang w:bidi="en-US"/>
        </w:rPr>
        <w:t xml:space="preserve"> on the overall value of the prospect (Kahneman and Tversky 1979, p.275). </w:t>
      </w:r>
      <w:r w:rsidR="00914185" w:rsidRPr="0040227B">
        <w:rPr>
          <w:rFonts w:ascii="Times New Roman" w:eastAsia="Times New Roman" w:hAnsi="Times New Roman" w:cs="Times New Roman"/>
          <w:sz w:val="20"/>
          <w:szCs w:val="20"/>
          <w:lang w:bidi="en-US"/>
        </w:rPr>
        <w:t>V</w:t>
      </w:r>
      <w:r w:rsidR="00A7716E" w:rsidRPr="0040227B">
        <w:rPr>
          <w:rFonts w:ascii="Times New Roman" w:eastAsia="Times New Roman" w:hAnsi="Times New Roman" w:cs="Times New Roman"/>
          <w:sz w:val="20"/>
          <w:szCs w:val="20"/>
          <w:lang w:bidi="en-US"/>
        </w:rPr>
        <w:t>alues are attached to deviations or changes from some reference point rather than to final states and decision weights do not coincide with stated probabilities (Kahneman and Tversky 1979, p.277</w:t>
      </w:r>
      <w:r w:rsidRPr="0040227B">
        <w:rPr>
          <w:rFonts w:ascii="Times New Roman" w:eastAsia="Times New Roman" w:hAnsi="Times New Roman" w:cs="Times New Roman"/>
          <w:sz w:val="20"/>
          <w:szCs w:val="20"/>
          <w:lang w:bidi="en-US"/>
        </w:rPr>
        <w:t xml:space="preserve">). </w:t>
      </w:r>
      <w:r w:rsidR="00A7716E" w:rsidRPr="0040227B">
        <w:rPr>
          <w:rFonts w:ascii="Times New Roman" w:eastAsia="Times New Roman" w:hAnsi="Times New Roman" w:cs="Times New Roman"/>
          <w:sz w:val="20"/>
          <w:szCs w:val="20"/>
          <w:lang w:bidi="en-US"/>
        </w:rPr>
        <w:t xml:space="preserve">In order to account for their experimental results, particularly risk aversion in the domain of gains and risk seeking in the domain of losses, a value function must be concave above the reference point and convex below it. </w:t>
      </w:r>
      <w:r w:rsidR="00654673" w:rsidRPr="0040227B">
        <w:rPr>
          <w:rFonts w:ascii="Times New Roman" w:eastAsia="Times New Roman" w:hAnsi="Times New Roman" w:cs="Times New Roman"/>
          <w:sz w:val="20"/>
          <w:szCs w:val="20"/>
          <w:lang w:bidi="en-US"/>
        </w:rPr>
        <w:t xml:space="preserve">For an outcome </w:t>
      </w:r>
      <w:r w:rsidR="00654673" w:rsidRPr="0040227B">
        <w:rPr>
          <w:rFonts w:ascii="Times New Roman" w:eastAsia="Times New Roman" w:hAnsi="Times New Roman" w:cs="Times New Roman"/>
          <w:i/>
          <w:sz w:val="20"/>
          <w:szCs w:val="20"/>
          <w:lang w:bidi="en-US"/>
        </w:rPr>
        <w:t>x</w:t>
      </w:r>
      <w:r w:rsidR="00654673" w:rsidRPr="0040227B">
        <w:rPr>
          <w:rFonts w:ascii="Times New Roman" w:eastAsia="Times New Roman" w:hAnsi="Times New Roman" w:cs="Times New Roman"/>
          <w:sz w:val="20"/>
          <w:szCs w:val="20"/>
          <w:lang w:bidi="en-US"/>
        </w:rPr>
        <w:t xml:space="preserve">, </w:t>
      </w:r>
      <m:oMath>
        <m:sSup>
          <m:sSupPr>
            <m:ctrlPr>
              <w:rPr>
                <w:rFonts w:ascii="Cambria Math" w:eastAsia="Times New Roman" w:hAnsi="Cambria Math" w:cs="Times New Roman"/>
                <w:i/>
                <w:sz w:val="20"/>
                <w:szCs w:val="20"/>
                <w:lang w:bidi="en-US"/>
              </w:rPr>
            </m:ctrlPr>
          </m:sSupPr>
          <m:e>
            <m:r>
              <w:rPr>
                <w:rFonts w:ascii="Cambria Math" w:eastAsia="Times New Roman" w:hAnsi="Cambria Math" w:cs="Times New Roman"/>
                <w:sz w:val="20"/>
                <w:szCs w:val="20"/>
                <w:lang w:bidi="en-US"/>
              </w:rPr>
              <m:t>v</m:t>
            </m:r>
          </m:e>
          <m:sup>
            <m:r>
              <w:rPr>
                <w:rFonts w:ascii="Cambria Math" w:eastAsia="Times New Roman" w:hAnsi="Cambria Math" w:cs="Times New Roman"/>
                <w:sz w:val="20"/>
                <w:szCs w:val="20"/>
                <w:lang w:bidi="en-US"/>
              </w:rPr>
              <m:t>''</m:t>
            </m:r>
          </m:sup>
        </m:sSup>
        <m:d>
          <m:dPr>
            <m:ctrlPr>
              <w:rPr>
                <w:rFonts w:ascii="Cambria Math" w:eastAsia="Times New Roman" w:hAnsi="Cambria Math" w:cs="Times New Roman"/>
                <w:i/>
                <w:sz w:val="20"/>
                <w:szCs w:val="20"/>
                <w:lang w:bidi="en-US"/>
              </w:rPr>
            </m:ctrlPr>
          </m:dPr>
          <m:e>
            <m:r>
              <w:rPr>
                <w:rFonts w:ascii="Cambria Math" w:eastAsia="Times New Roman" w:hAnsi="Cambria Math" w:cs="Times New Roman"/>
                <w:sz w:val="20"/>
                <w:szCs w:val="20"/>
                <w:lang w:bidi="en-US"/>
              </w:rPr>
              <m:t>x</m:t>
            </m:r>
          </m:e>
        </m:d>
        <m:r>
          <w:rPr>
            <w:rFonts w:ascii="Cambria Math" w:eastAsia="Times New Roman" w:hAnsi="Cambria Math" w:cs="Times New Roman"/>
            <w:sz w:val="20"/>
            <w:szCs w:val="20"/>
            <w:lang w:bidi="en-US"/>
          </w:rPr>
          <m:t>&lt;0</m:t>
        </m:r>
      </m:oMath>
      <w:r w:rsidR="00654673" w:rsidRPr="0040227B">
        <w:rPr>
          <w:rFonts w:ascii="Times New Roman" w:eastAsia="Times New Roman" w:hAnsi="Times New Roman" w:cs="Times New Roman"/>
          <w:sz w:val="20"/>
          <w:szCs w:val="20"/>
          <w:lang w:bidi="en-US"/>
        </w:rPr>
        <w:t xml:space="preserve"> for </w:t>
      </w:r>
      <m:oMath>
        <m:r>
          <w:rPr>
            <w:rFonts w:ascii="Cambria Math" w:eastAsia="Times New Roman" w:hAnsi="Cambria Math" w:cs="Times New Roman"/>
            <w:sz w:val="20"/>
            <w:szCs w:val="20"/>
            <w:lang w:bidi="en-US"/>
          </w:rPr>
          <m:t xml:space="preserve">x&gt;0 </m:t>
        </m:r>
      </m:oMath>
      <w:r w:rsidR="00654673" w:rsidRPr="0040227B">
        <w:rPr>
          <w:rFonts w:ascii="Times New Roman" w:eastAsia="Times New Roman" w:hAnsi="Times New Roman" w:cs="Times New Roman"/>
          <w:sz w:val="20"/>
          <w:szCs w:val="20"/>
          <w:lang w:bidi="en-US"/>
        </w:rPr>
        <w:t xml:space="preserve">and </w:t>
      </w:r>
      <m:oMath>
        <m:r>
          <w:rPr>
            <w:rFonts w:ascii="Cambria Math" w:eastAsia="Times New Roman" w:hAnsi="Cambria Math" w:cs="Times New Roman"/>
            <w:sz w:val="20"/>
            <w:szCs w:val="20"/>
            <w:lang w:bidi="en-US"/>
          </w:rPr>
          <m:t>v''</m:t>
        </m:r>
        <m:d>
          <m:dPr>
            <m:ctrlPr>
              <w:rPr>
                <w:rFonts w:ascii="Cambria Math" w:eastAsia="Times New Roman" w:hAnsi="Cambria Math" w:cs="Times New Roman"/>
                <w:i/>
                <w:sz w:val="20"/>
                <w:szCs w:val="20"/>
                <w:lang w:bidi="en-US"/>
              </w:rPr>
            </m:ctrlPr>
          </m:dPr>
          <m:e>
            <m:r>
              <w:rPr>
                <w:rFonts w:ascii="Cambria Math" w:eastAsia="Times New Roman" w:hAnsi="Cambria Math" w:cs="Times New Roman"/>
                <w:sz w:val="20"/>
                <w:szCs w:val="20"/>
                <w:lang w:bidi="en-US"/>
              </w:rPr>
              <m:t>x</m:t>
            </m:r>
          </m:e>
        </m:d>
        <m:r>
          <w:rPr>
            <w:rFonts w:ascii="Cambria Math" w:eastAsia="Times New Roman" w:hAnsi="Cambria Math" w:cs="Times New Roman"/>
            <w:sz w:val="20"/>
            <w:szCs w:val="20"/>
            <w:lang w:bidi="en-US"/>
          </w:rPr>
          <m:t>&gt;0</m:t>
        </m:r>
      </m:oMath>
      <w:r w:rsidR="00654673" w:rsidRPr="0040227B">
        <w:rPr>
          <w:rFonts w:ascii="Times New Roman" w:eastAsia="Times New Roman" w:hAnsi="Times New Roman" w:cs="Times New Roman"/>
          <w:sz w:val="20"/>
          <w:szCs w:val="20"/>
          <w:lang w:bidi="en-US"/>
        </w:rPr>
        <w:t xml:space="preserve"> </w:t>
      </w:r>
      <w:proofErr w:type="gramStart"/>
      <w:r w:rsidR="00654673" w:rsidRPr="0040227B">
        <w:rPr>
          <w:rFonts w:ascii="Times New Roman" w:eastAsia="Times New Roman" w:hAnsi="Times New Roman" w:cs="Times New Roman"/>
          <w:sz w:val="20"/>
          <w:szCs w:val="20"/>
          <w:lang w:bidi="en-US"/>
        </w:rPr>
        <w:t xml:space="preserve">for </w:t>
      </w:r>
      <w:proofErr w:type="gramEnd"/>
      <m:oMath>
        <m:r>
          <w:rPr>
            <w:rFonts w:ascii="Cambria Math" w:eastAsia="Times New Roman" w:hAnsi="Cambria Math" w:cs="Times New Roman"/>
            <w:sz w:val="20"/>
            <w:szCs w:val="20"/>
            <w:lang w:bidi="en-US"/>
          </w:rPr>
          <m:t>x&lt;0</m:t>
        </m:r>
      </m:oMath>
      <w:r w:rsidR="00654673" w:rsidRPr="0040227B">
        <w:rPr>
          <w:rFonts w:ascii="Times New Roman" w:eastAsia="Times New Roman" w:hAnsi="Times New Roman" w:cs="Times New Roman"/>
          <w:sz w:val="20"/>
          <w:szCs w:val="20"/>
          <w:lang w:bidi="en-US"/>
        </w:rPr>
        <w:t xml:space="preserve">. </w:t>
      </w:r>
      <w:r w:rsidR="00A7716E" w:rsidRPr="0040227B">
        <w:rPr>
          <w:rFonts w:ascii="Times New Roman" w:eastAsia="Times New Roman" w:hAnsi="Times New Roman" w:cs="Times New Roman"/>
          <w:sz w:val="20"/>
          <w:szCs w:val="20"/>
          <w:lang w:bidi="en-US"/>
        </w:rPr>
        <w:t xml:space="preserve">The result is a value </w:t>
      </w:r>
      <w:r w:rsidR="00914185" w:rsidRPr="0040227B">
        <w:rPr>
          <w:rFonts w:ascii="Times New Roman" w:eastAsia="Times New Roman" w:hAnsi="Times New Roman" w:cs="Times New Roman"/>
          <w:sz w:val="20"/>
          <w:szCs w:val="20"/>
          <w:lang w:bidi="en-US"/>
        </w:rPr>
        <w:t>or utility</w:t>
      </w:r>
      <w:r w:rsidR="00A7716E" w:rsidRPr="0040227B">
        <w:rPr>
          <w:rFonts w:ascii="Times New Roman" w:eastAsia="Times New Roman" w:hAnsi="Times New Roman" w:cs="Times New Roman"/>
          <w:sz w:val="20"/>
          <w:szCs w:val="20"/>
          <w:lang w:bidi="en-US"/>
        </w:rPr>
        <w:t xml:space="preserve"> function that is S-shap</w:t>
      </w:r>
      <w:r w:rsidR="00F06C67" w:rsidRPr="0040227B">
        <w:rPr>
          <w:rFonts w:ascii="Times New Roman" w:eastAsia="Times New Roman" w:hAnsi="Times New Roman" w:cs="Times New Roman"/>
          <w:sz w:val="20"/>
          <w:szCs w:val="20"/>
          <w:lang w:bidi="en-US"/>
        </w:rPr>
        <w:t>ed around some reference point.</w:t>
      </w:r>
    </w:p>
    <w:p w:rsidR="00F06C67" w:rsidRPr="0040227B" w:rsidRDefault="00F06C67" w:rsidP="0040227B">
      <w:pPr>
        <w:spacing w:after="0" w:line="480" w:lineRule="auto"/>
        <w:jc w:val="both"/>
        <w:rPr>
          <w:rFonts w:ascii="Times New Roman" w:eastAsia="Times New Roman" w:hAnsi="Times New Roman" w:cs="Times New Roman"/>
          <w:sz w:val="20"/>
          <w:szCs w:val="20"/>
          <w:lang w:bidi="en-US"/>
        </w:rPr>
      </w:pPr>
    </w:p>
    <w:p w:rsidR="00A7716E" w:rsidRPr="0040227B" w:rsidRDefault="00A7716E" w:rsidP="0040227B">
      <w:pPr>
        <w:spacing w:after="0" w:line="480" w:lineRule="auto"/>
        <w:jc w:val="both"/>
        <w:rPr>
          <w:rFonts w:ascii="Times New Roman" w:eastAsia="Times New Roman" w:hAnsi="Times New Roman" w:cs="Times New Roman"/>
          <w:sz w:val="20"/>
          <w:szCs w:val="20"/>
          <w:lang w:bidi="en-US"/>
        </w:rPr>
      </w:pPr>
      <w:r w:rsidRPr="0040227B">
        <w:rPr>
          <w:rFonts w:ascii="Times New Roman" w:eastAsia="Times New Roman" w:hAnsi="Times New Roman" w:cs="Times New Roman"/>
          <w:sz w:val="20"/>
          <w:szCs w:val="20"/>
          <w:lang w:bidi="en-US"/>
        </w:rPr>
        <w:t>Once the values</w:t>
      </w:r>
      <w:r w:rsidR="00914185" w:rsidRPr="0040227B">
        <w:rPr>
          <w:rFonts w:ascii="Times New Roman" w:eastAsia="Times New Roman" w:hAnsi="Times New Roman" w:cs="Times New Roman"/>
          <w:sz w:val="20"/>
          <w:szCs w:val="20"/>
          <w:lang w:bidi="en-US"/>
        </w:rPr>
        <w:t xml:space="preserve"> or utilities</w:t>
      </w:r>
      <w:r w:rsidRPr="0040227B">
        <w:rPr>
          <w:rFonts w:ascii="Times New Roman" w:eastAsia="Times New Roman" w:hAnsi="Times New Roman" w:cs="Times New Roman"/>
          <w:sz w:val="20"/>
          <w:szCs w:val="20"/>
          <w:lang w:bidi="en-US"/>
        </w:rPr>
        <w:t xml:space="preserve"> of the outcomes are determined they must be weighted. In expected utility theory, the weights are the probabilities. In prospect theory, the weighting scheme is more complicated and is designed to take into account the various experimental results observed to conflict with the axioms of expected utility theory. In prospect theory, the decision weights</w:t>
      </w:r>
      <w:r w:rsidR="00914185" w:rsidRPr="0040227B">
        <w:rPr>
          <w:rFonts w:ascii="Times New Roman" w:eastAsia="Times New Roman" w:hAnsi="Times New Roman" w:cs="Times New Roman"/>
          <w:sz w:val="20"/>
          <w:szCs w:val="20"/>
          <w:lang w:bidi="en-US"/>
        </w:rPr>
        <w:t xml:space="preserve">, </w:t>
      </w:r>
      <w:r w:rsidR="00914185" w:rsidRPr="0040227B">
        <w:rPr>
          <w:rFonts w:ascii="Times New Roman" w:eastAsia="Times New Roman" w:hAnsi="Times New Roman" w:cs="Times New Roman"/>
          <w:i/>
          <w:sz w:val="20"/>
          <w:szCs w:val="20"/>
          <w:lang w:bidi="en-US"/>
        </w:rPr>
        <w:t>π</w:t>
      </w:r>
      <w:r w:rsidR="00914185" w:rsidRPr="0040227B">
        <w:rPr>
          <w:rFonts w:ascii="Times New Roman" w:eastAsia="Times New Roman" w:hAnsi="Times New Roman" w:cs="Times New Roman"/>
          <w:sz w:val="20"/>
          <w:szCs w:val="20"/>
          <w:lang w:bidi="en-US"/>
        </w:rPr>
        <w:t xml:space="preserve">, </w:t>
      </w:r>
      <w:r w:rsidRPr="0040227B">
        <w:rPr>
          <w:rFonts w:ascii="Times New Roman" w:eastAsia="Times New Roman" w:hAnsi="Times New Roman" w:cs="Times New Roman"/>
          <w:sz w:val="20"/>
          <w:szCs w:val="20"/>
          <w:lang w:bidi="en-US"/>
        </w:rPr>
        <w:t>are not probabilities</w:t>
      </w:r>
      <w:r w:rsidR="00914185" w:rsidRPr="0040227B">
        <w:rPr>
          <w:rFonts w:ascii="Times New Roman" w:eastAsia="Times New Roman" w:hAnsi="Times New Roman" w:cs="Times New Roman"/>
          <w:sz w:val="20"/>
          <w:szCs w:val="20"/>
          <w:lang w:bidi="en-US"/>
        </w:rPr>
        <w:t xml:space="preserve">, </w:t>
      </w:r>
      <w:r w:rsidR="00914185" w:rsidRPr="0040227B">
        <w:rPr>
          <w:rFonts w:ascii="Times New Roman" w:eastAsia="Times New Roman" w:hAnsi="Times New Roman" w:cs="Times New Roman"/>
          <w:i/>
          <w:sz w:val="20"/>
          <w:szCs w:val="20"/>
          <w:lang w:bidi="en-US"/>
        </w:rPr>
        <w:t>p</w:t>
      </w:r>
      <w:r w:rsidR="00914185" w:rsidRPr="0040227B">
        <w:rPr>
          <w:rFonts w:ascii="Times New Roman" w:eastAsia="Times New Roman" w:hAnsi="Times New Roman" w:cs="Times New Roman"/>
          <w:sz w:val="20"/>
          <w:szCs w:val="20"/>
          <w:lang w:bidi="en-US"/>
        </w:rPr>
        <w:t xml:space="preserve">, but they are </w:t>
      </w:r>
      <w:r w:rsidRPr="0040227B">
        <w:rPr>
          <w:rFonts w:ascii="Times New Roman" w:eastAsia="Times New Roman" w:hAnsi="Times New Roman" w:cs="Times New Roman"/>
          <w:sz w:val="20"/>
          <w:szCs w:val="20"/>
          <w:lang w:bidi="en-US"/>
        </w:rPr>
        <w:t xml:space="preserve">an increasing function of the probabilities. At the two extremes: (1) impossible, </w:t>
      </w:r>
      <w:r w:rsidRPr="0040227B">
        <w:rPr>
          <w:rFonts w:ascii="Times New Roman" w:eastAsia="Times New Roman" w:hAnsi="Times New Roman" w:cs="Times New Roman"/>
          <w:i/>
          <w:sz w:val="20"/>
          <w:szCs w:val="20"/>
          <w:lang w:bidi="en-US"/>
        </w:rPr>
        <w:t>p = 0</w:t>
      </w:r>
      <w:r w:rsidRPr="0040227B">
        <w:rPr>
          <w:rFonts w:ascii="Times New Roman" w:eastAsia="Times New Roman" w:hAnsi="Times New Roman" w:cs="Times New Roman"/>
          <w:sz w:val="20"/>
          <w:szCs w:val="20"/>
          <w:lang w:bidi="en-US"/>
        </w:rPr>
        <w:t xml:space="preserve">; and (2) certain </w:t>
      </w:r>
      <w:r w:rsidRPr="0040227B">
        <w:rPr>
          <w:rFonts w:ascii="Times New Roman" w:eastAsia="Times New Roman" w:hAnsi="Times New Roman" w:cs="Times New Roman"/>
          <w:i/>
          <w:sz w:val="20"/>
          <w:szCs w:val="20"/>
          <w:lang w:bidi="en-US"/>
        </w:rPr>
        <w:t>p = 1</w:t>
      </w:r>
      <w:r w:rsidRPr="0040227B">
        <w:rPr>
          <w:rFonts w:ascii="Times New Roman" w:eastAsia="Times New Roman" w:hAnsi="Times New Roman" w:cs="Times New Roman"/>
          <w:sz w:val="20"/>
          <w:szCs w:val="20"/>
          <w:lang w:bidi="en-US"/>
        </w:rPr>
        <w:t xml:space="preserve">, </w:t>
      </w:r>
      <w:proofErr w:type="gramStart"/>
      <w:r w:rsidRPr="0040227B">
        <w:rPr>
          <w:rFonts w:ascii="Times New Roman" w:eastAsia="Times New Roman" w:hAnsi="Times New Roman" w:cs="Times New Roman"/>
          <w:i/>
          <w:sz w:val="20"/>
          <w:szCs w:val="20"/>
          <w:lang w:bidi="en-US"/>
        </w:rPr>
        <w:t>π(</w:t>
      </w:r>
      <w:proofErr w:type="gramEnd"/>
      <w:r w:rsidRPr="0040227B">
        <w:rPr>
          <w:rFonts w:ascii="Times New Roman" w:eastAsia="Times New Roman" w:hAnsi="Times New Roman" w:cs="Times New Roman"/>
          <w:i/>
          <w:sz w:val="20"/>
          <w:szCs w:val="20"/>
          <w:lang w:bidi="en-US"/>
        </w:rPr>
        <w:t>p) = 0 and π(p) = 1</w:t>
      </w:r>
      <w:r w:rsidRPr="0040227B">
        <w:rPr>
          <w:rFonts w:ascii="Times New Roman" w:eastAsia="Times New Roman" w:hAnsi="Times New Roman" w:cs="Times New Roman"/>
          <w:sz w:val="20"/>
          <w:szCs w:val="20"/>
          <w:lang w:bidi="en-US"/>
        </w:rPr>
        <w:t xml:space="preserve">. In </w:t>
      </w:r>
      <w:r w:rsidRPr="0040227B">
        <w:rPr>
          <w:rFonts w:ascii="Times New Roman" w:eastAsia="Times New Roman" w:hAnsi="Times New Roman" w:cs="Times New Roman"/>
          <w:sz w:val="20"/>
          <w:szCs w:val="20"/>
          <w:lang w:bidi="en-US"/>
        </w:rPr>
        <w:lastRenderedPageBreak/>
        <w:t xml:space="preserve">between, the decision weights are an increasing but not one-for-one function of the probabilities. In fact, in order to account for the experimental results, the decision weights will normally be smaller than the associated probabilities: </w:t>
      </w:r>
      <w:r w:rsidRPr="0040227B">
        <w:rPr>
          <w:rFonts w:ascii="Times New Roman" w:eastAsia="Times New Roman" w:hAnsi="Times New Roman" w:cs="Times New Roman"/>
          <w:i/>
          <w:sz w:val="20"/>
          <w:szCs w:val="20"/>
          <w:lang w:bidi="en-US"/>
        </w:rPr>
        <w:t>0 &lt; p &lt; 1</w:t>
      </w:r>
      <w:r w:rsidRPr="0040227B">
        <w:rPr>
          <w:rFonts w:ascii="Times New Roman" w:eastAsia="Times New Roman" w:hAnsi="Times New Roman" w:cs="Times New Roman"/>
          <w:sz w:val="20"/>
          <w:szCs w:val="20"/>
          <w:lang w:bidi="en-US"/>
        </w:rPr>
        <w:t xml:space="preserve">, </w:t>
      </w:r>
      <w:proofErr w:type="gramStart"/>
      <w:r w:rsidRPr="0040227B">
        <w:rPr>
          <w:rFonts w:ascii="Times New Roman" w:eastAsia="Times New Roman" w:hAnsi="Times New Roman" w:cs="Times New Roman"/>
          <w:i/>
          <w:sz w:val="20"/>
          <w:szCs w:val="20"/>
          <w:lang w:bidi="en-US"/>
        </w:rPr>
        <w:t>π(</w:t>
      </w:r>
      <w:proofErr w:type="gramEnd"/>
      <w:r w:rsidRPr="0040227B">
        <w:rPr>
          <w:rFonts w:ascii="Times New Roman" w:eastAsia="Times New Roman" w:hAnsi="Times New Roman" w:cs="Times New Roman"/>
          <w:i/>
          <w:sz w:val="20"/>
          <w:szCs w:val="20"/>
          <w:lang w:bidi="en-US"/>
        </w:rPr>
        <w:t>p) + π(1 – p) &lt; 1</w:t>
      </w:r>
      <w:r w:rsidRPr="0040227B">
        <w:rPr>
          <w:rFonts w:ascii="Times New Roman" w:eastAsia="Times New Roman" w:hAnsi="Times New Roman" w:cs="Times New Roman"/>
          <w:sz w:val="20"/>
          <w:szCs w:val="20"/>
          <w:lang w:bidi="en-US"/>
        </w:rPr>
        <w:t xml:space="preserve"> (Kahneman and Tversky 1979, p.281). Together with the value function, the weighting function produces a preference ordering based on the value</w:t>
      </w:r>
      <w:r w:rsidR="00C22402" w:rsidRPr="0040227B">
        <w:rPr>
          <w:rStyle w:val="FootnoteReference"/>
          <w:rFonts w:ascii="Times New Roman" w:eastAsia="Times New Roman" w:hAnsi="Times New Roman" w:cs="Times New Roman"/>
          <w:sz w:val="20"/>
          <w:szCs w:val="20"/>
          <w:lang w:bidi="en-US"/>
        </w:rPr>
        <w:footnoteReference w:id="7"/>
      </w:r>
      <w:r w:rsidRPr="0040227B">
        <w:rPr>
          <w:rFonts w:ascii="Times New Roman" w:eastAsia="Times New Roman" w:hAnsi="Times New Roman" w:cs="Times New Roman"/>
          <w:sz w:val="20"/>
          <w:szCs w:val="20"/>
          <w:lang w:bidi="en-US"/>
        </w:rPr>
        <w:t xml:space="preserve">, </w:t>
      </w:r>
      <w:r w:rsidRPr="0040227B">
        <w:rPr>
          <w:rFonts w:ascii="Times New Roman" w:eastAsia="Times New Roman" w:hAnsi="Times New Roman" w:cs="Times New Roman"/>
          <w:i/>
          <w:sz w:val="20"/>
          <w:szCs w:val="20"/>
          <w:lang w:bidi="en-US"/>
        </w:rPr>
        <w:t>V</w:t>
      </w:r>
      <w:r w:rsidRPr="0040227B">
        <w:rPr>
          <w:rFonts w:ascii="Times New Roman" w:eastAsia="Times New Roman" w:hAnsi="Times New Roman" w:cs="Times New Roman"/>
          <w:sz w:val="20"/>
          <w:szCs w:val="20"/>
          <w:lang w:bidi="en-US"/>
        </w:rPr>
        <w:t xml:space="preserve">, of </w:t>
      </w:r>
      <w:r w:rsidR="00472F7E" w:rsidRPr="0040227B">
        <w:rPr>
          <w:rFonts w:ascii="Times New Roman" w:eastAsia="Times New Roman" w:hAnsi="Times New Roman" w:cs="Times New Roman"/>
          <w:sz w:val="20"/>
          <w:szCs w:val="20"/>
          <w:lang w:bidi="en-US"/>
        </w:rPr>
        <w:t xml:space="preserve">the </w:t>
      </w:r>
      <w:r w:rsidRPr="0040227B">
        <w:rPr>
          <w:rFonts w:ascii="Times New Roman" w:eastAsia="Times New Roman" w:hAnsi="Times New Roman" w:cs="Times New Roman"/>
          <w:sz w:val="20"/>
          <w:szCs w:val="20"/>
          <w:lang w:bidi="en-US"/>
        </w:rPr>
        <w:t>prospects</w:t>
      </w:r>
      <w:r w:rsidR="00472F7E" w:rsidRPr="0040227B">
        <w:rPr>
          <w:rFonts w:ascii="Times New Roman" w:eastAsia="Times New Roman" w:hAnsi="Times New Roman" w:cs="Times New Roman"/>
          <w:sz w:val="20"/>
          <w:szCs w:val="20"/>
          <w:lang w:bidi="en-US"/>
        </w:rPr>
        <w:t xml:space="preserve"> being considered</w:t>
      </w:r>
      <w:r w:rsidRPr="0040227B">
        <w:rPr>
          <w:rFonts w:ascii="Times New Roman" w:eastAsia="Times New Roman" w:hAnsi="Times New Roman" w:cs="Times New Roman"/>
          <w:sz w:val="20"/>
          <w:szCs w:val="20"/>
          <w:lang w:bidi="en-US"/>
        </w:rPr>
        <w:t>.</w:t>
      </w:r>
    </w:p>
    <w:p w:rsidR="00C94CE2" w:rsidRPr="0040227B" w:rsidRDefault="00C94CE2" w:rsidP="0040227B">
      <w:pPr>
        <w:spacing w:after="0" w:line="480" w:lineRule="auto"/>
        <w:jc w:val="both"/>
        <w:rPr>
          <w:rFonts w:ascii="Times New Roman" w:eastAsia="Times New Roman" w:hAnsi="Times New Roman" w:cs="Times New Roman"/>
          <w:sz w:val="20"/>
          <w:szCs w:val="20"/>
          <w:lang w:bidi="en-US"/>
        </w:rPr>
      </w:pPr>
    </w:p>
    <w:p w:rsidR="00B16565" w:rsidRPr="0040227B" w:rsidRDefault="005D1C30" w:rsidP="0040227B">
      <w:pPr>
        <w:spacing w:after="0" w:line="480" w:lineRule="auto"/>
        <w:jc w:val="both"/>
        <w:rPr>
          <w:rFonts w:ascii="Times New Roman" w:eastAsia="Times New Roman" w:hAnsi="Times New Roman" w:cs="Times New Roman"/>
          <w:sz w:val="20"/>
          <w:szCs w:val="20"/>
          <w:lang w:bidi="en-US"/>
        </w:rPr>
      </w:pPr>
      <w:r w:rsidRPr="0040227B">
        <w:rPr>
          <w:rFonts w:ascii="Times New Roman" w:eastAsia="Times New Roman" w:hAnsi="Times New Roman" w:cs="Times New Roman"/>
          <w:sz w:val="20"/>
          <w:szCs w:val="20"/>
          <w:lang w:bidi="en-US"/>
        </w:rPr>
        <w:t>In response to their critics who had pointed out important problems with the original specification of prospect theory, especially the potential for preference orderings to violate</w:t>
      </w:r>
      <w:r w:rsidR="00A7716E" w:rsidRPr="0040227B">
        <w:rPr>
          <w:rFonts w:ascii="Times New Roman" w:eastAsia="Times New Roman" w:hAnsi="Times New Roman" w:cs="Times New Roman"/>
          <w:sz w:val="20"/>
          <w:szCs w:val="20"/>
          <w:lang w:bidi="en-US"/>
        </w:rPr>
        <w:t xml:space="preserve"> stochastic dominance, Tversky and Kahneman (1992) developed cumulative prospect theory.</w:t>
      </w:r>
      <w:r w:rsidRPr="0040227B">
        <w:rPr>
          <w:rFonts w:ascii="Times New Roman" w:eastAsia="Times New Roman" w:hAnsi="Times New Roman" w:cs="Times New Roman"/>
          <w:sz w:val="20"/>
          <w:szCs w:val="20"/>
          <w:lang w:bidi="en-US"/>
        </w:rPr>
        <w:t xml:space="preserve"> This version of prospect theory transforms cumulative rather than individual probabilities and ensures that stochastic dominance is satisfied. The updated version of prospect theory deals with both uncertain and risky prospects and can be applied to prospects </w:t>
      </w:r>
      <w:r w:rsidRPr="0040227B">
        <w:rPr>
          <w:rFonts w:ascii="Times New Roman" w:eastAsia="Times New Roman" w:hAnsi="Times New Roman" w:cs="Times New Roman"/>
          <w:i/>
          <w:sz w:val="20"/>
          <w:szCs w:val="20"/>
          <w:lang w:bidi="en-US"/>
        </w:rPr>
        <w:t>with any number of outcomes</w:t>
      </w:r>
      <w:r w:rsidRPr="0040227B">
        <w:rPr>
          <w:rFonts w:ascii="Times New Roman" w:eastAsia="Times New Roman" w:hAnsi="Times New Roman" w:cs="Times New Roman"/>
          <w:sz w:val="20"/>
          <w:szCs w:val="20"/>
          <w:lang w:bidi="en-US"/>
        </w:rPr>
        <w:t xml:space="preserve"> (Tversky and Kahneman 1992, pp.298-300). </w:t>
      </w:r>
      <w:r w:rsidR="00A7716E" w:rsidRPr="0040227B">
        <w:rPr>
          <w:rFonts w:ascii="Times New Roman" w:eastAsia="Times New Roman" w:hAnsi="Times New Roman" w:cs="Times New Roman"/>
          <w:sz w:val="20"/>
          <w:szCs w:val="20"/>
          <w:lang w:bidi="en-US"/>
        </w:rPr>
        <w:t xml:space="preserve"> In keeping with the original design of the model, people are assumed to edit or frame their choices and then evaluate them. The evaluation function of cumulative prospect theory</w:t>
      </w:r>
      <w:r w:rsidR="00C94CE2" w:rsidRPr="0040227B">
        <w:rPr>
          <w:rFonts w:ascii="Times New Roman" w:eastAsia="Times New Roman" w:hAnsi="Times New Roman" w:cs="Times New Roman"/>
          <w:sz w:val="20"/>
          <w:szCs w:val="20"/>
          <w:lang w:bidi="en-US"/>
        </w:rPr>
        <w:t xml:space="preserve"> may be stated as in equation (1</w:t>
      </w:r>
      <w:r w:rsidR="00A7716E" w:rsidRPr="0040227B">
        <w:rPr>
          <w:rFonts w:ascii="Times New Roman" w:eastAsia="Times New Roman" w:hAnsi="Times New Roman" w:cs="Times New Roman"/>
          <w:sz w:val="20"/>
          <w:szCs w:val="20"/>
          <w:lang w:bidi="en-US"/>
        </w:rPr>
        <w:t xml:space="preserve">) with newly developed functions for value and weighting:  </w:t>
      </w:r>
    </w:p>
    <w:p w:rsidR="00B16565" w:rsidRPr="0040227B" w:rsidRDefault="00B16565" w:rsidP="0040227B">
      <w:pPr>
        <w:spacing w:after="0" w:line="480" w:lineRule="auto"/>
        <w:jc w:val="both"/>
        <w:rPr>
          <w:rFonts w:ascii="Times New Roman" w:eastAsia="Times New Roman" w:hAnsi="Times New Roman" w:cs="Times New Roman"/>
          <w:sz w:val="20"/>
          <w:szCs w:val="20"/>
          <w:lang w:bidi="en-US"/>
        </w:rPr>
      </w:pPr>
    </w:p>
    <w:p w:rsidR="00B16565" w:rsidRPr="0040227B" w:rsidRDefault="00B16565" w:rsidP="0040227B">
      <w:pPr>
        <w:spacing w:after="0" w:line="480" w:lineRule="auto"/>
        <w:jc w:val="both"/>
        <w:rPr>
          <w:rFonts w:ascii="Times New Roman" w:eastAsia="Times New Roman" w:hAnsi="Times New Roman" w:cs="Times New Roman"/>
          <w:sz w:val="20"/>
          <w:szCs w:val="20"/>
          <w:lang w:bidi="en-US"/>
        </w:rPr>
      </w:pPr>
      <m:oMath>
        <m:r>
          <w:rPr>
            <w:rFonts w:ascii="Cambria Math" w:eastAsia="Times New Roman" w:hAnsi="Cambria Math" w:cs="Times New Roman"/>
            <w:sz w:val="20"/>
            <w:szCs w:val="20"/>
            <w:lang w:bidi="en-US"/>
          </w:rPr>
          <m:t>v</m:t>
        </m:r>
        <m:d>
          <m:dPr>
            <m:ctrlPr>
              <w:rPr>
                <w:rFonts w:ascii="Cambria Math" w:eastAsia="Times New Roman" w:hAnsi="Cambria Math" w:cs="Times New Roman"/>
                <w:i/>
                <w:sz w:val="20"/>
                <w:szCs w:val="20"/>
                <w:lang w:bidi="en-US"/>
              </w:rPr>
            </m:ctrlPr>
          </m:dPr>
          <m:e>
            <m:r>
              <w:rPr>
                <w:rFonts w:ascii="Cambria Math" w:eastAsia="Times New Roman" w:hAnsi="Cambria Math" w:cs="Times New Roman"/>
                <w:sz w:val="20"/>
                <w:szCs w:val="20"/>
                <w:lang w:bidi="en-US"/>
              </w:rPr>
              <m:t>∆x</m:t>
            </m:r>
          </m:e>
        </m:d>
        <m:r>
          <w:rPr>
            <w:rFonts w:ascii="Cambria Math" w:eastAsia="Times New Roman" w:hAnsi="Cambria Math" w:cs="Times New Roman"/>
            <w:sz w:val="20"/>
            <w:szCs w:val="20"/>
            <w:lang w:bidi="en-US"/>
          </w:rPr>
          <m:t>=</m:t>
        </m:r>
        <m:d>
          <m:dPr>
            <m:begChr m:val="{"/>
            <m:endChr m:val="}"/>
            <m:ctrlPr>
              <w:rPr>
                <w:rFonts w:ascii="Cambria Math" w:eastAsia="Times New Roman" w:hAnsi="Cambria Math" w:cs="Times New Roman"/>
                <w:i/>
                <w:sz w:val="20"/>
                <w:szCs w:val="20"/>
                <w:lang w:bidi="en-US"/>
              </w:rPr>
            </m:ctrlPr>
          </m:dPr>
          <m:e>
            <m:eqArr>
              <m:eqArrPr>
                <m:ctrlPr>
                  <w:rPr>
                    <w:rFonts w:ascii="Cambria Math" w:eastAsia="Times New Roman" w:hAnsi="Cambria Math" w:cs="Times New Roman"/>
                    <w:i/>
                    <w:sz w:val="20"/>
                    <w:szCs w:val="20"/>
                    <w:lang w:bidi="en-US"/>
                  </w:rPr>
                </m:ctrlPr>
              </m:eqArrPr>
              <m:e>
                <m:m>
                  <m:mPr>
                    <m:mcs>
                      <m:mc>
                        <m:mcPr>
                          <m:count m:val="2"/>
                          <m:mcJc m:val="center"/>
                        </m:mcPr>
                      </m:mc>
                    </m:mcs>
                    <m:ctrlPr>
                      <w:rPr>
                        <w:rFonts w:ascii="Cambria Math" w:eastAsia="Times New Roman" w:hAnsi="Cambria Math" w:cs="Times New Roman"/>
                        <w:i/>
                        <w:sz w:val="20"/>
                        <w:szCs w:val="20"/>
                        <w:lang w:bidi="en-US"/>
                      </w:rPr>
                    </m:ctrlPr>
                  </m:mPr>
                  <m:mr>
                    <m:e>
                      <m:r>
                        <w:rPr>
                          <w:rFonts w:ascii="Cambria Math" w:eastAsia="Times New Roman" w:hAnsi="Cambria Math" w:cs="Times New Roman"/>
                          <w:sz w:val="20"/>
                          <w:szCs w:val="20"/>
                          <w:lang w:bidi="en-US"/>
                        </w:rPr>
                        <m:t>v</m:t>
                      </m:r>
                      <m:sSup>
                        <m:sSupPr>
                          <m:ctrlPr>
                            <w:rPr>
                              <w:rFonts w:ascii="Cambria Math" w:eastAsia="Times New Roman" w:hAnsi="Cambria Math" w:cs="Times New Roman"/>
                              <w:i/>
                              <w:sz w:val="20"/>
                              <w:szCs w:val="20"/>
                              <w:lang w:bidi="en-US"/>
                            </w:rPr>
                          </m:ctrlPr>
                        </m:sSupPr>
                        <m:e>
                          <m:d>
                            <m:dPr>
                              <m:ctrlPr>
                                <w:rPr>
                                  <w:rFonts w:ascii="Cambria Math" w:eastAsia="Times New Roman" w:hAnsi="Cambria Math" w:cs="Times New Roman"/>
                                  <w:i/>
                                  <w:sz w:val="20"/>
                                  <w:szCs w:val="20"/>
                                  <w:lang w:bidi="en-US"/>
                                </w:rPr>
                              </m:ctrlPr>
                            </m:dPr>
                            <m:e>
                              <m:r>
                                <w:rPr>
                                  <w:rFonts w:ascii="Cambria Math" w:eastAsia="Times New Roman" w:hAnsi="Cambria Math" w:cs="Times New Roman"/>
                                  <w:sz w:val="20"/>
                                  <w:szCs w:val="20"/>
                                  <w:lang w:bidi="en-US"/>
                                </w:rPr>
                                <m:t>∆x</m:t>
                              </m:r>
                            </m:e>
                          </m:d>
                        </m:e>
                        <m:sup>
                          <m:r>
                            <w:rPr>
                              <w:rFonts w:ascii="Cambria Math" w:eastAsia="Times New Roman" w:hAnsi="Cambria Math" w:cs="Times New Roman"/>
                              <w:sz w:val="20"/>
                              <w:szCs w:val="20"/>
                              <w:lang w:bidi="en-US"/>
                            </w:rPr>
                            <m:t>α</m:t>
                          </m:r>
                        </m:sup>
                      </m:sSup>
                    </m:e>
                    <m:e>
                      <m:r>
                        <w:rPr>
                          <w:rFonts w:ascii="Cambria Math" w:eastAsia="Times New Roman" w:hAnsi="Cambria Math" w:cs="Times New Roman"/>
                          <w:sz w:val="20"/>
                          <w:szCs w:val="20"/>
                          <w:lang w:bidi="en-US"/>
                        </w:rPr>
                        <m:t>∆x≥0</m:t>
                      </m:r>
                    </m:e>
                  </m:mr>
                </m:m>
              </m:e>
              <m:e>
                <m:m>
                  <m:mPr>
                    <m:mcs>
                      <m:mc>
                        <m:mcPr>
                          <m:count m:val="2"/>
                          <m:mcJc m:val="center"/>
                        </m:mcPr>
                      </m:mc>
                    </m:mcs>
                    <m:ctrlPr>
                      <w:rPr>
                        <w:rFonts w:ascii="Cambria Math" w:eastAsia="Times New Roman" w:hAnsi="Cambria Math" w:cs="Times New Roman"/>
                        <w:i/>
                        <w:sz w:val="20"/>
                        <w:szCs w:val="20"/>
                        <w:lang w:bidi="en-US"/>
                      </w:rPr>
                    </m:ctrlPr>
                  </m:mPr>
                  <m:mr>
                    <m:e>
                      <m:r>
                        <w:rPr>
                          <w:rFonts w:ascii="Cambria Math" w:eastAsia="Times New Roman" w:hAnsi="Cambria Math" w:cs="Times New Roman"/>
                          <w:sz w:val="20"/>
                          <w:szCs w:val="20"/>
                          <w:lang w:bidi="en-US"/>
                        </w:rPr>
                        <m:t>-λ</m:t>
                      </m:r>
                      <m:sSup>
                        <m:sSupPr>
                          <m:ctrlPr>
                            <w:rPr>
                              <w:rFonts w:ascii="Cambria Math" w:eastAsia="Times New Roman" w:hAnsi="Cambria Math" w:cs="Times New Roman"/>
                              <w:i/>
                              <w:sz w:val="20"/>
                              <w:szCs w:val="20"/>
                              <w:lang w:bidi="en-US"/>
                            </w:rPr>
                          </m:ctrlPr>
                        </m:sSupPr>
                        <m:e>
                          <m:d>
                            <m:dPr>
                              <m:ctrlPr>
                                <w:rPr>
                                  <w:rFonts w:ascii="Cambria Math" w:eastAsia="Times New Roman" w:hAnsi="Cambria Math" w:cs="Times New Roman"/>
                                  <w:i/>
                                  <w:sz w:val="20"/>
                                  <w:szCs w:val="20"/>
                                  <w:lang w:bidi="en-US"/>
                                </w:rPr>
                              </m:ctrlPr>
                            </m:dPr>
                            <m:e>
                              <m:r>
                                <w:rPr>
                                  <w:rFonts w:ascii="Cambria Math" w:eastAsia="Times New Roman" w:hAnsi="Cambria Math" w:cs="Times New Roman"/>
                                  <w:sz w:val="20"/>
                                  <w:szCs w:val="20"/>
                                  <w:lang w:bidi="en-US"/>
                                </w:rPr>
                                <m:t>-∆x</m:t>
                              </m:r>
                            </m:e>
                          </m:d>
                        </m:e>
                        <m:sup>
                          <m:r>
                            <w:rPr>
                              <w:rFonts w:ascii="Cambria Math" w:eastAsia="Times New Roman" w:hAnsi="Cambria Math" w:cs="Times New Roman"/>
                              <w:sz w:val="20"/>
                              <w:szCs w:val="20"/>
                              <w:lang w:bidi="en-US"/>
                            </w:rPr>
                            <m:t>β</m:t>
                          </m:r>
                        </m:sup>
                      </m:sSup>
                    </m:e>
                    <m:e>
                      <m:r>
                        <w:rPr>
                          <w:rFonts w:ascii="Cambria Math" w:eastAsia="Times New Roman" w:hAnsi="Cambria Math" w:cs="Times New Roman"/>
                          <w:sz w:val="20"/>
                          <w:szCs w:val="20"/>
                          <w:lang w:bidi="en-US"/>
                        </w:rPr>
                        <m:t>∆x&lt;0</m:t>
                      </m:r>
                    </m:e>
                  </m:mr>
                </m:m>
              </m:e>
            </m:eqArr>
          </m:e>
        </m:d>
      </m:oMath>
      <w:r w:rsidRPr="0040227B">
        <w:rPr>
          <w:rFonts w:ascii="Times New Roman" w:eastAsia="Times New Roman" w:hAnsi="Times New Roman" w:cs="Times New Roman"/>
          <w:sz w:val="20"/>
          <w:szCs w:val="20"/>
          <w:lang w:bidi="en-US"/>
        </w:rPr>
        <w:tab/>
      </w:r>
      <w:r w:rsidRPr="0040227B">
        <w:rPr>
          <w:rFonts w:ascii="Times New Roman" w:eastAsia="Times New Roman" w:hAnsi="Times New Roman" w:cs="Times New Roman"/>
          <w:sz w:val="20"/>
          <w:szCs w:val="20"/>
          <w:lang w:bidi="en-US"/>
        </w:rPr>
        <w:tab/>
      </w:r>
      <w:r w:rsidRPr="0040227B">
        <w:rPr>
          <w:rFonts w:ascii="Times New Roman" w:eastAsia="Times New Roman" w:hAnsi="Times New Roman" w:cs="Times New Roman"/>
          <w:sz w:val="20"/>
          <w:szCs w:val="20"/>
          <w:lang w:bidi="en-US"/>
        </w:rPr>
        <w:tab/>
      </w:r>
      <w:r w:rsidRPr="0040227B">
        <w:rPr>
          <w:rFonts w:ascii="Times New Roman" w:eastAsia="Times New Roman" w:hAnsi="Times New Roman" w:cs="Times New Roman"/>
          <w:sz w:val="20"/>
          <w:szCs w:val="20"/>
          <w:lang w:bidi="en-US"/>
        </w:rPr>
        <w:tab/>
      </w:r>
      <w:r w:rsidRPr="0040227B">
        <w:rPr>
          <w:rFonts w:ascii="Times New Roman" w:eastAsia="Times New Roman" w:hAnsi="Times New Roman" w:cs="Times New Roman"/>
          <w:sz w:val="20"/>
          <w:szCs w:val="20"/>
          <w:lang w:bidi="en-US"/>
        </w:rPr>
        <w:tab/>
      </w:r>
      <w:r w:rsidRPr="0040227B">
        <w:rPr>
          <w:rFonts w:ascii="Times New Roman" w:eastAsia="Times New Roman" w:hAnsi="Times New Roman" w:cs="Times New Roman"/>
          <w:sz w:val="20"/>
          <w:szCs w:val="20"/>
          <w:lang w:bidi="en-US"/>
        </w:rPr>
        <w:tab/>
      </w:r>
      <w:r w:rsidRPr="0040227B">
        <w:rPr>
          <w:rFonts w:ascii="Times New Roman" w:eastAsia="Times New Roman" w:hAnsi="Times New Roman" w:cs="Times New Roman"/>
          <w:sz w:val="20"/>
          <w:szCs w:val="20"/>
          <w:lang w:bidi="en-US"/>
        </w:rPr>
        <w:tab/>
      </w:r>
      <w:r w:rsidRPr="0040227B">
        <w:rPr>
          <w:rFonts w:ascii="Times New Roman" w:eastAsia="Times New Roman" w:hAnsi="Times New Roman" w:cs="Times New Roman"/>
          <w:sz w:val="20"/>
          <w:szCs w:val="20"/>
          <w:lang w:bidi="en-US"/>
        </w:rPr>
        <w:tab/>
      </w:r>
      <w:r w:rsidRPr="0040227B">
        <w:rPr>
          <w:rFonts w:ascii="Times New Roman" w:eastAsia="Times New Roman" w:hAnsi="Times New Roman" w:cs="Times New Roman"/>
          <w:sz w:val="20"/>
          <w:szCs w:val="20"/>
          <w:lang w:bidi="en-US"/>
        </w:rPr>
        <w:tab/>
        <w:t>(2)</w:t>
      </w:r>
    </w:p>
    <w:p w:rsidR="00B16565" w:rsidRPr="0040227B" w:rsidRDefault="00B16565" w:rsidP="0040227B">
      <w:pPr>
        <w:spacing w:after="0" w:line="480" w:lineRule="auto"/>
        <w:jc w:val="both"/>
        <w:rPr>
          <w:rFonts w:ascii="Times New Roman" w:eastAsia="Times New Roman" w:hAnsi="Times New Roman" w:cs="Times New Roman"/>
          <w:sz w:val="20"/>
          <w:szCs w:val="20"/>
          <w:lang w:bidi="en-US"/>
        </w:rPr>
      </w:pPr>
    </w:p>
    <w:p w:rsidR="00A7716E" w:rsidRPr="0040227B" w:rsidRDefault="00880DD1" w:rsidP="0040227B">
      <w:pPr>
        <w:spacing w:after="0" w:line="480" w:lineRule="auto"/>
        <w:jc w:val="both"/>
        <w:rPr>
          <w:rFonts w:ascii="Times New Roman" w:eastAsia="Times New Roman" w:hAnsi="Times New Roman" w:cs="Times New Roman"/>
          <w:sz w:val="20"/>
          <w:szCs w:val="20"/>
          <w:lang w:bidi="en-US"/>
        </w:rPr>
      </w:pPr>
      <m:oMath>
        <m:sSub>
          <m:sSubPr>
            <m:ctrlPr>
              <w:rPr>
                <w:rFonts w:ascii="Cambria Math" w:eastAsia="Times New Roman" w:hAnsi="Cambria Math" w:cs="Times New Roman"/>
                <w:i/>
                <w:sz w:val="20"/>
                <w:szCs w:val="20"/>
                <w:lang w:bidi="en-US"/>
              </w:rPr>
            </m:ctrlPr>
          </m:sSubPr>
          <m:e>
            <m:r>
              <w:rPr>
                <w:rFonts w:ascii="Cambria Math" w:eastAsia="Times New Roman" w:hAnsi="Cambria Math" w:cs="Times New Roman"/>
                <w:sz w:val="20"/>
                <w:szCs w:val="20"/>
                <w:lang w:bidi="en-US"/>
              </w:rPr>
              <m:t>π</m:t>
            </m:r>
          </m:e>
          <m:sub>
            <m:r>
              <w:rPr>
                <w:rFonts w:ascii="Cambria Math" w:eastAsia="Times New Roman" w:hAnsi="Cambria Math" w:cs="Times New Roman"/>
                <w:sz w:val="20"/>
                <w:szCs w:val="20"/>
                <w:lang w:bidi="en-US"/>
              </w:rPr>
              <m:t>i</m:t>
            </m:r>
          </m:sub>
        </m:sSub>
        <m:r>
          <w:rPr>
            <w:rFonts w:ascii="Cambria Math" w:eastAsia="Times New Roman" w:hAnsi="Cambria Math" w:cs="Times New Roman"/>
            <w:sz w:val="20"/>
            <w:szCs w:val="20"/>
            <w:lang w:bidi="en-US"/>
          </w:rPr>
          <m:t>=</m:t>
        </m:r>
        <m:d>
          <m:dPr>
            <m:begChr m:val="{"/>
            <m:endChr m:val="}"/>
            <m:ctrlPr>
              <w:rPr>
                <w:rFonts w:ascii="Cambria Math" w:eastAsia="Times New Roman" w:hAnsi="Cambria Math" w:cs="Times New Roman"/>
                <w:i/>
                <w:sz w:val="20"/>
                <w:szCs w:val="20"/>
                <w:lang w:bidi="en-US"/>
              </w:rPr>
            </m:ctrlPr>
          </m:dPr>
          <m:e>
            <m:eqArr>
              <m:eqArrPr>
                <m:ctrlPr>
                  <w:rPr>
                    <w:rFonts w:ascii="Cambria Math" w:eastAsia="Times New Roman" w:hAnsi="Cambria Math" w:cs="Times New Roman"/>
                    <w:i/>
                    <w:sz w:val="20"/>
                    <w:szCs w:val="20"/>
                    <w:lang w:bidi="en-US"/>
                  </w:rPr>
                </m:ctrlPr>
              </m:eqArrPr>
              <m:e>
                <m:m>
                  <m:mPr>
                    <m:mcs>
                      <m:mc>
                        <m:mcPr>
                          <m:count m:val="2"/>
                          <m:mcJc m:val="center"/>
                        </m:mcPr>
                      </m:mc>
                    </m:mcs>
                    <m:ctrlPr>
                      <w:rPr>
                        <w:rFonts w:ascii="Cambria Math" w:eastAsia="Times New Roman" w:hAnsi="Cambria Math" w:cs="Times New Roman"/>
                        <w:i/>
                        <w:sz w:val="20"/>
                        <w:szCs w:val="20"/>
                        <w:lang w:bidi="en-US"/>
                      </w:rPr>
                    </m:ctrlPr>
                  </m:mPr>
                  <m:mr>
                    <m:e>
                      <m:sSubSup>
                        <m:sSubSupPr>
                          <m:ctrlPr>
                            <w:rPr>
                              <w:rFonts w:ascii="Cambria Math" w:eastAsia="Times New Roman" w:hAnsi="Cambria Math" w:cs="Times New Roman"/>
                              <w:i/>
                              <w:sz w:val="20"/>
                              <w:szCs w:val="20"/>
                              <w:lang w:bidi="en-US"/>
                            </w:rPr>
                          </m:ctrlPr>
                        </m:sSubSupPr>
                        <m:e>
                          <m:r>
                            <w:rPr>
                              <w:rFonts w:ascii="Cambria Math" w:eastAsia="Times New Roman" w:hAnsi="Cambria Math" w:cs="Times New Roman"/>
                              <w:sz w:val="20"/>
                              <w:szCs w:val="20"/>
                              <w:lang w:bidi="en-US"/>
                            </w:rPr>
                            <m:t>π</m:t>
                          </m:r>
                        </m:e>
                        <m:sub>
                          <m:r>
                            <w:rPr>
                              <w:rFonts w:ascii="Cambria Math" w:eastAsia="Times New Roman" w:hAnsi="Cambria Math" w:cs="Times New Roman"/>
                              <w:sz w:val="20"/>
                              <w:szCs w:val="20"/>
                              <w:lang w:bidi="en-US"/>
                            </w:rPr>
                            <m:t>i</m:t>
                          </m:r>
                        </m:sub>
                        <m:sup>
                          <m:r>
                            <w:rPr>
                              <w:rFonts w:ascii="Cambria Math" w:eastAsia="Times New Roman" w:hAnsi="Cambria Math" w:cs="Times New Roman"/>
                              <w:sz w:val="20"/>
                              <w:szCs w:val="20"/>
                              <w:lang w:bidi="en-US"/>
                            </w:rPr>
                            <m:t>-</m:t>
                          </m:r>
                        </m:sup>
                      </m:sSubSup>
                      <m:r>
                        <w:rPr>
                          <w:rFonts w:ascii="Cambria Math" w:eastAsia="Times New Roman" w:hAnsi="Cambria Math" w:cs="Times New Roman"/>
                          <w:sz w:val="20"/>
                          <w:szCs w:val="20"/>
                          <w:lang w:bidi="en-US"/>
                        </w:rPr>
                        <m:t>=</m:t>
                      </m:r>
                      <m:sSup>
                        <m:sSupPr>
                          <m:ctrlPr>
                            <w:rPr>
                              <w:rFonts w:ascii="Cambria Math" w:eastAsia="Times New Roman" w:hAnsi="Cambria Math" w:cs="Times New Roman"/>
                              <w:i/>
                              <w:sz w:val="20"/>
                              <w:szCs w:val="20"/>
                              <w:lang w:bidi="en-US"/>
                            </w:rPr>
                          </m:ctrlPr>
                        </m:sSupPr>
                        <m:e>
                          <m:r>
                            <w:rPr>
                              <w:rFonts w:ascii="Cambria Math" w:eastAsia="Times New Roman" w:hAnsi="Cambria Math" w:cs="Times New Roman"/>
                              <w:sz w:val="20"/>
                              <w:szCs w:val="20"/>
                              <w:lang w:bidi="en-US"/>
                            </w:rPr>
                            <m:t>w</m:t>
                          </m:r>
                        </m:e>
                        <m:sup>
                          <m:r>
                            <w:rPr>
                              <w:rFonts w:ascii="Cambria Math" w:eastAsia="Times New Roman" w:hAnsi="Cambria Math" w:cs="Times New Roman"/>
                              <w:sz w:val="20"/>
                              <w:szCs w:val="20"/>
                              <w:lang w:bidi="en-US"/>
                            </w:rPr>
                            <m:t>-</m:t>
                          </m:r>
                        </m:sup>
                      </m:sSup>
                      <m:d>
                        <m:dPr>
                          <m:ctrlPr>
                            <w:rPr>
                              <w:rFonts w:ascii="Cambria Math" w:eastAsia="Times New Roman" w:hAnsi="Cambria Math" w:cs="Times New Roman"/>
                              <w:i/>
                              <w:sz w:val="20"/>
                              <w:szCs w:val="20"/>
                              <w:lang w:bidi="en-US"/>
                            </w:rPr>
                          </m:ctrlPr>
                        </m:dPr>
                        <m:e>
                          <m:sSub>
                            <m:sSubPr>
                              <m:ctrlPr>
                                <w:rPr>
                                  <w:rFonts w:ascii="Cambria Math" w:eastAsia="Times New Roman" w:hAnsi="Cambria Math" w:cs="Times New Roman"/>
                                  <w:i/>
                                  <w:sz w:val="20"/>
                                  <w:szCs w:val="20"/>
                                  <w:lang w:bidi="en-US"/>
                                </w:rPr>
                              </m:ctrlPr>
                            </m:sSubPr>
                            <m:e>
                              <m:r>
                                <w:rPr>
                                  <w:rFonts w:ascii="Cambria Math" w:eastAsia="Times New Roman" w:hAnsi="Cambria Math" w:cs="Times New Roman"/>
                                  <w:sz w:val="20"/>
                                  <w:szCs w:val="20"/>
                                  <w:lang w:bidi="en-US"/>
                                </w:rPr>
                                <m:t>p</m:t>
                              </m:r>
                            </m:e>
                            <m:sub>
                              <m:r>
                                <w:rPr>
                                  <w:rFonts w:ascii="Cambria Math" w:eastAsia="Times New Roman" w:hAnsi="Cambria Math" w:cs="Times New Roman"/>
                                  <w:sz w:val="20"/>
                                  <w:szCs w:val="20"/>
                                  <w:lang w:bidi="en-US"/>
                                </w:rPr>
                                <m:t>1</m:t>
                              </m:r>
                            </m:sub>
                          </m:sSub>
                          <m:r>
                            <w:rPr>
                              <w:rFonts w:ascii="Cambria Math" w:eastAsia="Times New Roman" w:hAnsi="Cambria Math" w:cs="Times New Roman"/>
                              <w:sz w:val="20"/>
                              <w:szCs w:val="20"/>
                              <w:lang w:bidi="en-US"/>
                            </w:rPr>
                            <m:t>+…+</m:t>
                          </m:r>
                          <m:sSub>
                            <m:sSubPr>
                              <m:ctrlPr>
                                <w:rPr>
                                  <w:rFonts w:ascii="Cambria Math" w:eastAsia="Times New Roman" w:hAnsi="Cambria Math" w:cs="Times New Roman"/>
                                  <w:i/>
                                  <w:sz w:val="20"/>
                                  <w:szCs w:val="20"/>
                                  <w:lang w:bidi="en-US"/>
                                </w:rPr>
                              </m:ctrlPr>
                            </m:sSubPr>
                            <m:e>
                              <m:r>
                                <w:rPr>
                                  <w:rFonts w:ascii="Cambria Math" w:eastAsia="Times New Roman" w:hAnsi="Cambria Math" w:cs="Times New Roman"/>
                                  <w:sz w:val="20"/>
                                  <w:szCs w:val="20"/>
                                  <w:lang w:bidi="en-US"/>
                                </w:rPr>
                                <m:t>p</m:t>
                              </m:r>
                            </m:e>
                            <m:sub>
                              <m:r>
                                <w:rPr>
                                  <w:rFonts w:ascii="Cambria Math" w:eastAsia="Times New Roman" w:hAnsi="Cambria Math" w:cs="Times New Roman"/>
                                  <w:sz w:val="20"/>
                                  <w:szCs w:val="20"/>
                                  <w:lang w:bidi="en-US"/>
                                </w:rPr>
                                <m:t>i</m:t>
                              </m:r>
                            </m:sub>
                          </m:sSub>
                        </m:e>
                      </m:d>
                      <m:r>
                        <w:rPr>
                          <w:rFonts w:ascii="Cambria Math" w:eastAsia="Times New Roman" w:hAnsi="Cambria Math" w:cs="Times New Roman"/>
                          <w:sz w:val="20"/>
                          <w:szCs w:val="20"/>
                          <w:lang w:bidi="en-US"/>
                        </w:rPr>
                        <m:t>-</m:t>
                      </m:r>
                      <m:sSup>
                        <m:sSupPr>
                          <m:ctrlPr>
                            <w:rPr>
                              <w:rFonts w:ascii="Cambria Math" w:eastAsia="Times New Roman" w:hAnsi="Cambria Math" w:cs="Times New Roman"/>
                              <w:i/>
                              <w:sz w:val="20"/>
                              <w:szCs w:val="20"/>
                              <w:lang w:bidi="en-US"/>
                            </w:rPr>
                          </m:ctrlPr>
                        </m:sSupPr>
                        <m:e>
                          <m:r>
                            <w:rPr>
                              <w:rFonts w:ascii="Cambria Math" w:eastAsia="Times New Roman" w:hAnsi="Cambria Math" w:cs="Times New Roman"/>
                              <w:sz w:val="20"/>
                              <w:szCs w:val="20"/>
                              <w:lang w:bidi="en-US"/>
                            </w:rPr>
                            <m:t>w</m:t>
                          </m:r>
                        </m:e>
                        <m:sup>
                          <m:r>
                            <w:rPr>
                              <w:rFonts w:ascii="Cambria Math" w:eastAsia="Times New Roman" w:hAnsi="Cambria Math" w:cs="Times New Roman"/>
                              <w:sz w:val="20"/>
                              <w:szCs w:val="20"/>
                              <w:lang w:bidi="en-US"/>
                            </w:rPr>
                            <m:t>-</m:t>
                          </m:r>
                        </m:sup>
                      </m:sSup>
                      <m:d>
                        <m:dPr>
                          <m:ctrlPr>
                            <w:rPr>
                              <w:rFonts w:ascii="Cambria Math" w:eastAsia="Times New Roman" w:hAnsi="Cambria Math" w:cs="Times New Roman"/>
                              <w:i/>
                              <w:sz w:val="20"/>
                              <w:szCs w:val="20"/>
                              <w:lang w:bidi="en-US"/>
                            </w:rPr>
                          </m:ctrlPr>
                        </m:dPr>
                        <m:e>
                          <m:sSub>
                            <m:sSubPr>
                              <m:ctrlPr>
                                <w:rPr>
                                  <w:rFonts w:ascii="Cambria Math" w:eastAsia="Times New Roman" w:hAnsi="Cambria Math" w:cs="Times New Roman"/>
                                  <w:i/>
                                  <w:sz w:val="20"/>
                                  <w:szCs w:val="20"/>
                                  <w:lang w:bidi="en-US"/>
                                </w:rPr>
                              </m:ctrlPr>
                            </m:sSubPr>
                            <m:e>
                              <m:r>
                                <w:rPr>
                                  <w:rFonts w:ascii="Cambria Math" w:eastAsia="Times New Roman" w:hAnsi="Cambria Math" w:cs="Times New Roman"/>
                                  <w:sz w:val="20"/>
                                  <w:szCs w:val="20"/>
                                  <w:lang w:bidi="en-US"/>
                                </w:rPr>
                                <m:t>p</m:t>
                              </m:r>
                            </m:e>
                            <m:sub>
                              <m:r>
                                <w:rPr>
                                  <w:rFonts w:ascii="Cambria Math" w:eastAsia="Times New Roman" w:hAnsi="Cambria Math" w:cs="Times New Roman"/>
                                  <w:sz w:val="20"/>
                                  <w:szCs w:val="20"/>
                                  <w:lang w:bidi="en-US"/>
                                </w:rPr>
                                <m:t>1</m:t>
                              </m:r>
                            </m:sub>
                          </m:sSub>
                          <m:r>
                            <w:rPr>
                              <w:rFonts w:ascii="Cambria Math" w:eastAsia="Times New Roman" w:hAnsi="Cambria Math" w:cs="Times New Roman"/>
                              <w:sz w:val="20"/>
                              <w:szCs w:val="20"/>
                              <w:lang w:bidi="en-US"/>
                            </w:rPr>
                            <m:t>+…+</m:t>
                          </m:r>
                          <m:sSub>
                            <m:sSubPr>
                              <m:ctrlPr>
                                <w:rPr>
                                  <w:rFonts w:ascii="Cambria Math" w:eastAsia="Times New Roman" w:hAnsi="Cambria Math" w:cs="Times New Roman"/>
                                  <w:i/>
                                  <w:sz w:val="20"/>
                                  <w:szCs w:val="20"/>
                                  <w:lang w:bidi="en-US"/>
                                </w:rPr>
                              </m:ctrlPr>
                            </m:sSubPr>
                            <m:e>
                              <m:r>
                                <w:rPr>
                                  <w:rFonts w:ascii="Cambria Math" w:eastAsia="Times New Roman" w:hAnsi="Cambria Math" w:cs="Times New Roman"/>
                                  <w:sz w:val="20"/>
                                  <w:szCs w:val="20"/>
                                  <w:lang w:bidi="en-US"/>
                                </w:rPr>
                                <m:t>p</m:t>
                              </m:r>
                            </m:e>
                            <m:sub>
                              <m:r>
                                <w:rPr>
                                  <w:rFonts w:ascii="Cambria Math" w:eastAsia="Times New Roman" w:hAnsi="Cambria Math" w:cs="Times New Roman"/>
                                  <w:sz w:val="20"/>
                                  <w:szCs w:val="20"/>
                                  <w:lang w:bidi="en-US"/>
                                </w:rPr>
                                <m:t>i-1</m:t>
                              </m:r>
                            </m:sub>
                          </m:sSub>
                        </m:e>
                      </m:d>
                    </m:e>
                    <m:e>
                      <m:r>
                        <w:rPr>
                          <w:rFonts w:ascii="Cambria Math" w:eastAsia="Times New Roman" w:hAnsi="Cambria Math" w:cs="Times New Roman"/>
                          <w:sz w:val="20"/>
                          <w:szCs w:val="20"/>
                          <w:lang w:bidi="en-US"/>
                        </w:rPr>
                        <m:t>∆x&lt;0</m:t>
                      </m:r>
                    </m:e>
                  </m:mr>
                </m:m>
              </m:e>
              <m:e>
                <m:ctrlPr>
                  <w:rPr>
                    <w:rFonts w:ascii="Cambria Math" w:eastAsia="Cambria Math" w:hAnsi="Cambria Math" w:cs="Times New Roman"/>
                    <w:i/>
                    <w:sz w:val="20"/>
                    <w:szCs w:val="20"/>
                    <w:lang w:bidi="en-US"/>
                  </w:rPr>
                </m:ctrlPr>
              </m:e>
              <m:e>
                <m:m>
                  <m:mPr>
                    <m:mcs>
                      <m:mc>
                        <m:mcPr>
                          <m:count m:val="2"/>
                          <m:mcJc m:val="center"/>
                        </m:mcPr>
                      </m:mc>
                    </m:mcs>
                    <m:ctrlPr>
                      <w:rPr>
                        <w:rFonts w:ascii="Cambria Math" w:eastAsia="Cambria Math" w:hAnsi="Cambria Math" w:cs="Times New Roman"/>
                        <w:i/>
                        <w:sz w:val="20"/>
                        <w:szCs w:val="20"/>
                        <w:lang w:bidi="en-US"/>
                      </w:rPr>
                    </m:ctrlPr>
                  </m:mPr>
                  <m:mr>
                    <m:e>
                      <m:sSubSup>
                        <m:sSubSupPr>
                          <m:ctrlPr>
                            <w:rPr>
                              <w:rFonts w:ascii="Cambria Math" w:eastAsia="Cambria Math" w:hAnsi="Cambria Math" w:cs="Times New Roman"/>
                              <w:i/>
                              <w:sz w:val="20"/>
                              <w:szCs w:val="20"/>
                              <w:lang w:bidi="en-US"/>
                            </w:rPr>
                          </m:ctrlPr>
                        </m:sSubSupPr>
                        <m:e>
                          <m:r>
                            <w:rPr>
                              <w:rFonts w:ascii="Cambria Math" w:eastAsia="Cambria Math" w:hAnsi="Cambria Math" w:cs="Times New Roman"/>
                              <w:sz w:val="20"/>
                              <w:szCs w:val="20"/>
                              <w:lang w:bidi="en-US"/>
                            </w:rPr>
                            <m:t>π</m:t>
                          </m:r>
                        </m:e>
                        <m:sub>
                          <m:r>
                            <w:rPr>
                              <w:rFonts w:ascii="Cambria Math" w:eastAsia="Cambria Math" w:hAnsi="Cambria Math" w:cs="Times New Roman"/>
                              <w:sz w:val="20"/>
                              <w:szCs w:val="20"/>
                              <w:lang w:bidi="en-US"/>
                            </w:rPr>
                            <m:t>i</m:t>
                          </m:r>
                        </m:sub>
                        <m:sup>
                          <m:r>
                            <w:rPr>
                              <w:rFonts w:ascii="Cambria Math" w:eastAsia="Cambria Math" w:hAnsi="Cambria Math" w:cs="Times New Roman"/>
                              <w:sz w:val="20"/>
                              <w:szCs w:val="20"/>
                              <w:lang w:bidi="en-US"/>
                            </w:rPr>
                            <m:t>+</m:t>
                          </m:r>
                        </m:sup>
                      </m:sSubSup>
                      <m:r>
                        <w:rPr>
                          <w:rFonts w:ascii="Cambria Math" w:eastAsia="Cambria Math" w:hAnsi="Cambria Math" w:cs="Times New Roman"/>
                          <w:sz w:val="20"/>
                          <w:szCs w:val="20"/>
                          <w:lang w:bidi="en-US"/>
                        </w:rPr>
                        <m:t>=</m:t>
                      </m:r>
                      <m:sSup>
                        <m:sSupPr>
                          <m:ctrlPr>
                            <w:rPr>
                              <w:rFonts w:ascii="Cambria Math" w:eastAsia="Cambria Math" w:hAnsi="Cambria Math" w:cs="Times New Roman"/>
                              <w:i/>
                              <w:sz w:val="20"/>
                              <w:szCs w:val="20"/>
                              <w:lang w:bidi="en-US"/>
                            </w:rPr>
                          </m:ctrlPr>
                        </m:sSupPr>
                        <m:e>
                          <m:r>
                            <w:rPr>
                              <w:rFonts w:ascii="Cambria Math" w:eastAsia="Cambria Math" w:hAnsi="Cambria Math" w:cs="Times New Roman"/>
                              <w:sz w:val="20"/>
                              <w:szCs w:val="20"/>
                              <w:lang w:bidi="en-US"/>
                            </w:rPr>
                            <m:t>w</m:t>
                          </m:r>
                        </m:e>
                        <m:sup>
                          <m:r>
                            <w:rPr>
                              <w:rFonts w:ascii="Cambria Math" w:eastAsia="Cambria Math" w:hAnsi="Cambria Math" w:cs="Times New Roman"/>
                              <w:sz w:val="20"/>
                              <w:szCs w:val="20"/>
                              <w:lang w:bidi="en-US"/>
                            </w:rPr>
                            <m:t>+</m:t>
                          </m:r>
                        </m:sup>
                      </m:sSup>
                      <m:d>
                        <m:dPr>
                          <m:ctrlPr>
                            <w:rPr>
                              <w:rFonts w:ascii="Cambria Math" w:eastAsia="Cambria Math" w:hAnsi="Cambria Math" w:cs="Times New Roman"/>
                              <w:i/>
                              <w:sz w:val="20"/>
                              <w:szCs w:val="20"/>
                              <w:lang w:bidi="en-US"/>
                            </w:rPr>
                          </m:ctrlPr>
                        </m:dPr>
                        <m:e>
                          <m:sSub>
                            <m:sSubPr>
                              <m:ctrlPr>
                                <w:rPr>
                                  <w:rFonts w:ascii="Cambria Math" w:eastAsia="Cambria Math" w:hAnsi="Cambria Math" w:cs="Times New Roman"/>
                                  <w:i/>
                                  <w:sz w:val="20"/>
                                  <w:szCs w:val="20"/>
                                  <w:lang w:bidi="en-US"/>
                                </w:rPr>
                              </m:ctrlPr>
                            </m:sSubPr>
                            <m:e>
                              <m:r>
                                <w:rPr>
                                  <w:rFonts w:ascii="Cambria Math" w:eastAsia="Cambria Math" w:hAnsi="Cambria Math" w:cs="Times New Roman"/>
                                  <w:sz w:val="20"/>
                                  <w:szCs w:val="20"/>
                                  <w:lang w:bidi="en-US"/>
                                </w:rPr>
                                <m:t>p</m:t>
                              </m:r>
                            </m:e>
                            <m:sub>
                              <m:r>
                                <w:rPr>
                                  <w:rFonts w:ascii="Cambria Math" w:eastAsia="Cambria Math" w:hAnsi="Cambria Math" w:cs="Times New Roman"/>
                                  <w:sz w:val="20"/>
                                  <w:szCs w:val="20"/>
                                  <w:lang w:bidi="en-US"/>
                                </w:rPr>
                                <m:t>i</m:t>
                              </m:r>
                            </m:sub>
                          </m:sSub>
                          <m:r>
                            <w:rPr>
                              <w:rFonts w:ascii="Cambria Math" w:eastAsia="Cambria Math" w:hAnsi="Cambria Math" w:cs="Times New Roman"/>
                              <w:sz w:val="20"/>
                              <w:szCs w:val="20"/>
                              <w:lang w:bidi="en-US"/>
                            </w:rPr>
                            <m:t>+…+</m:t>
                          </m:r>
                          <m:sSub>
                            <m:sSubPr>
                              <m:ctrlPr>
                                <w:rPr>
                                  <w:rFonts w:ascii="Cambria Math" w:eastAsia="Cambria Math" w:hAnsi="Cambria Math" w:cs="Times New Roman"/>
                                  <w:i/>
                                  <w:sz w:val="20"/>
                                  <w:szCs w:val="20"/>
                                  <w:lang w:bidi="en-US"/>
                                </w:rPr>
                              </m:ctrlPr>
                            </m:sSubPr>
                            <m:e>
                              <m:r>
                                <w:rPr>
                                  <w:rFonts w:ascii="Cambria Math" w:eastAsia="Cambria Math" w:hAnsi="Cambria Math" w:cs="Times New Roman"/>
                                  <w:sz w:val="20"/>
                                  <w:szCs w:val="20"/>
                                  <w:lang w:bidi="en-US"/>
                                </w:rPr>
                                <m:t>p</m:t>
                              </m:r>
                            </m:e>
                            <m:sub>
                              <m:r>
                                <w:rPr>
                                  <w:rFonts w:ascii="Cambria Math" w:eastAsia="Cambria Math" w:hAnsi="Cambria Math" w:cs="Times New Roman"/>
                                  <w:sz w:val="20"/>
                                  <w:szCs w:val="20"/>
                                  <w:lang w:bidi="en-US"/>
                                </w:rPr>
                                <m:t>N</m:t>
                              </m:r>
                            </m:sub>
                          </m:sSub>
                        </m:e>
                      </m:d>
                      <m:r>
                        <w:rPr>
                          <w:rFonts w:ascii="Cambria Math" w:eastAsia="Cambria Math" w:hAnsi="Cambria Math" w:cs="Times New Roman"/>
                          <w:sz w:val="20"/>
                          <w:szCs w:val="20"/>
                          <w:lang w:bidi="en-US"/>
                        </w:rPr>
                        <m:t>-</m:t>
                      </m:r>
                      <m:sSup>
                        <m:sSupPr>
                          <m:ctrlPr>
                            <w:rPr>
                              <w:rFonts w:ascii="Cambria Math" w:eastAsia="Cambria Math" w:hAnsi="Cambria Math" w:cs="Times New Roman"/>
                              <w:i/>
                              <w:sz w:val="20"/>
                              <w:szCs w:val="20"/>
                              <w:lang w:bidi="en-US"/>
                            </w:rPr>
                          </m:ctrlPr>
                        </m:sSupPr>
                        <m:e>
                          <m:r>
                            <w:rPr>
                              <w:rFonts w:ascii="Cambria Math" w:eastAsia="Cambria Math" w:hAnsi="Cambria Math" w:cs="Times New Roman"/>
                              <w:sz w:val="20"/>
                              <w:szCs w:val="20"/>
                              <w:lang w:bidi="en-US"/>
                            </w:rPr>
                            <m:t>w</m:t>
                          </m:r>
                        </m:e>
                        <m:sup>
                          <m:r>
                            <w:rPr>
                              <w:rFonts w:ascii="Cambria Math" w:eastAsia="Cambria Math" w:hAnsi="Cambria Math" w:cs="Times New Roman"/>
                              <w:sz w:val="20"/>
                              <w:szCs w:val="20"/>
                              <w:lang w:bidi="en-US"/>
                            </w:rPr>
                            <m:t>+</m:t>
                          </m:r>
                        </m:sup>
                      </m:sSup>
                      <m:d>
                        <m:dPr>
                          <m:ctrlPr>
                            <w:rPr>
                              <w:rFonts w:ascii="Cambria Math" w:eastAsia="Cambria Math" w:hAnsi="Cambria Math" w:cs="Times New Roman"/>
                              <w:i/>
                              <w:sz w:val="20"/>
                              <w:szCs w:val="20"/>
                              <w:lang w:bidi="en-US"/>
                            </w:rPr>
                          </m:ctrlPr>
                        </m:dPr>
                        <m:e>
                          <m:sSub>
                            <m:sSubPr>
                              <m:ctrlPr>
                                <w:rPr>
                                  <w:rFonts w:ascii="Cambria Math" w:eastAsia="Cambria Math" w:hAnsi="Cambria Math" w:cs="Times New Roman"/>
                                  <w:i/>
                                  <w:sz w:val="20"/>
                                  <w:szCs w:val="20"/>
                                  <w:lang w:bidi="en-US"/>
                                </w:rPr>
                              </m:ctrlPr>
                            </m:sSubPr>
                            <m:e>
                              <m:r>
                                <w:rPr>
                                  <w:rFonts w:ascii="Cambria Math" w:eastAsia="Cambria Math" w:hAnsi="Cambria Math" w:cs="Times New Roman"/>
                                  <w:sz w:val="20"/>
                                  <w:szCs w:val="20"/>
                                  <w:lang w:bidi="en-US"/>
                                </w:rPr>
                                <m:t>p</m:t>
                              </m:r>
                            </m:e>
                            <m:sub>
                              <m:r>
                                <w:rPr>
                                  <w:rFonts w:ascii="Cambria Math" w:eastAsia="Cambria Math" w:hAnsi="Cambria Math" w:cs="Times New Roman"/>
                                  <w:sz w:val="20"/>
                                  <w:szCs w:val="20"/>
                                  <w:lang w:bidi="en-US"/>
                                </w:rPr>
                                <m:t>i+1</m:t>
                              </m:r>
                            </m:sub>
                          </m:sSub>
                          <m:r>
                            <w:rPr>
                              <w:rFonts w:ascii="Cambria Math" w:eastAsia="Cambria Math" w:hAnsi="Cambria Math" w:cs="Times New Roman"/>
                              <w:sz w:val="20"/>
                              <w:szCs w:val="20"/>
                              <w:lang w:bidi="en-US"/>
                            </w:rPr>
                            <m:t>+…+</m:t>
                          </m:r>
                          <m:sSub>
                            <m:sSubPr>
                              <m:ctrlPr>
                                <w:rPr>
                                  <w:rFonts w:ascii="Cambria Math" w:eastAsia="Cambria Math" w:hAnsi="Cambria Math" w:cs="Times New Roman"/>
                                  <w:i/>
                                  <w:sz w:val="20"/>
                                  <w:szCs w:val="20"/>
                                  <w:lang w:bidi="en-US"/>
                                </w:rPr>
                              </m:ctrlPr>
                            </m:sSubPr>
                            <m:e>
                              <m:r>
                                <w:rPr>
                                  <w:rFonts w:ascii="Cambria Math" w:eastAsia="Cambria Math" w:hAnsi="Cambria Math" w:cs="Times New Roman"/>
                                  <w:sz w:val="20"/>
                                  <w:szCs w:val="20"/>
                                  <w:lang w:bidi="en-US"/>
                                </w:rPr>
                                <m:t>p</m:t>
                              </m:r>
                            </m:e>
                            <m:sub>
                              <m:r>
                                <w:rPr>
                                  <w:rFonts w:ascii="Cambria Math" w:eastAsia="Cambria Math" w:hAnsi="Cambria Math" w:cs="Times New Roman"/>
                                  <w:sz w:val="20"/>
                                  <w:szCs w:val="20"/>
                                  <w:lang w:bidi="en-US"/>
                                </w:rPr>
                                <m:t>N</m:t>
                              </m:r>
                            </m:sub>
                          </m:sSub>
                        </m:e>
                      </m:d>
                    </m:e>
                    <m:e>
                      <m:r>
                        <w:rPr>
                          <w:rFonts w:ascii="Cambria Math" w:eastAsia="Cambria Math" w:hAnsi="Cambria Math" w:cs="Times New Roman"/>
                          <w:sz w:val="20"/>
                          <w:szCs w:val="20"/>
                          <w:lang w:bidi="en-US"/>
                        </w:rPr>
                        <m:t>∆x≥0</m:t>
                      </m:r>
                    </m:e>
                  </m:mr>
                </m:m>
              </m:e>
            </m:eqArr>
          </m:e>
        </m:d>
      </m:oMath>
      <w:r w:rsidR="00B86ABA" w:rsidRPr="0040227B">
        <w:rPr>
          <w:rFonts w:ascii="Times New Roman" w:eastAsia="Times New Roman" w:hAnsi="Times New Roman" w:cs="Times New Roman"/>
          <w:sz w:val="20"/>
          <w:szCs w:val="20"/>
          <w:lang w:bidi="en-US"/>
        </w:rPr>
        <w:tab/>
      </w:r>
      <w:r w:rsidR="00B86ABA" w:rsidRPr="0040227B">
        <w:rPr>
          <w:rFonts w:ascii="Times New Roman" w:eastAsia="Times New Roman" w:hAnsi="Times New Roman" w:cs="Times New Roman"/>
          <w:sz w:val="20"/>
          <w:szCs w:val="20"/>
          <w:lang w:bidi="en-US"/>
        </w:rPr>
        <w:tab/>
      </w:r>
      <w:r w:rsidR="00B86ABA" w:rsidRPr="0040227B">
        <w:rPr>
          <w:rFonts w:ascii="Times New Roman" w:eastAsia="Times New Roman" w:hAnsi="Times New Roman" w:cs="Times New Roman"/>
          <w:sz w:val="20"/>
          <w:szCs w:val="20"/>
          <w:lang w:bidi="en-US"/>
        </w:rPr>
        <w:tab/>
      </w:r>
      <w:r w:rsidR="00B86ABA" w:rsidRPr="0040227B">
        <w:rPr>
          <w:rFonts w:ascii="Times New Roman" w:eastAsia="Times New Roman" w:hAnsi="Times New Roman" w:cs="Times New Roman"/>
          <w:sz w:val="20"/>
          <w:szCs w:val="20"/>
          <w:lang w:bidi="en-US"/>
        </w:rPr>
        <w:tab/>
      </w:r>
      <w:r w:rsidR="00B86ABA" w:rsidRPr="0040227B">
        <w:rPr>
          <w:rFonts w:ascii="Times New Roman" w:eastAsia="Times New Roman" w:hAnsi="Times New Roman" w:cs="Times New Roman"/>
          <w:sz w:val="20"/>
          <w:szCs w:val="20"/>
          <w:lang w:bidi="en-US"/>
        </w:rPr>
        <w:tab/>
        <w:t>(3)</w:t>
      </w:r>
    </w:p>
    <w:p w:rsidR="00A7716E" w:rsidRPr="0040227B" w:rsidRDefault="00A7716E" w:rsidP="0040227B">
      <w:pPr>
        <w:spacing w:after="0" w:line="480" w:lineRule="auto"/>
        <w:jc w:val="both"/>
        <w:rPr>
          <w:rFonts w:ascii="Times New Roman" w:eastAsia="Times New Roman" w:hAnsi="Times New Roman" w:cs="Times New Roman"/>
          <w:sz w:val="20"/>
          <w:szCs w:val="20"/>
          <w:lang w:bidi="en-US"/>
        </w:rPr>
      </w:pPr>
    </w:p>
    <w:p w:rsidR="0074197E" w:rsidRPr="0040227B" w:rsidRDefault="0074197E" w:rsidP="0040227B">
      <w:pPr>
        <w:spacing w:after="0" w:line="480" w:lineRule="auto"/>
        <w:jc w:val="both"/>
        <w:rPr>
          <w:rFonts w:ascii="Times New Roman" w:eastAsia="Times New Roman" w:hAnsi="Times New Roman" w:cs="Times New Roman"/>
          <w:sz w:val="20"/>
          <w:szCs w:val="20"/>
          <w:lang w:bidi="en-US"/>
        </w:rPr>
      </w:pPr>
      <m:oMath>
        <m:r>
          <w:rPr>
            <w:rFonts w:ascii="Cambria Math" w:eastAsia="Times New Roman" w:hAnsi="Cambria Math" w:cs="Times New Roman"/>
            <w:sz w:val="20"/>
            <w:szCs w:val="20"/>
            <w:lang w:bidi="en-US"/>
          </w:rPr>
          <m:t>≔</m:t>
        </m:r>
        <m:d>
          <m:dPr>
            <m:begChr m:val="{"/>
            <m:endChr m:val="}"/>
            <m:ctrlPr>
              <w:rPr>
                <w:rFonts w:ascii="Cambria Math" w:eastAsia="Times New Roman" w:hAnsi="Cambria Math" w:cs="Times New Roman"/>
                <w:i/>
                <w:sz w:val="20"/>
                <w:szCs w:val="20"/>
                <w:lang w:bidi="en-US"/>
              </w:rPr>
            </m:ctrlPr>
          </m:dPr>
          <m:e>
            <m:eqArr>
              <m:eqArrPr>
                <m:ctrlPr>
                  <w:rPr>
                    <w:rFonts w:ascii="Cambria Math" w:eastAsia="Times New Roman" w:hAnsi="Cambria Math" w:cs="Times New Roman"/>
                    <w:i/>
                    <w:sz w:val="20"/>
                    <w:szCs w:val="20"/>
                    <w:lang w:bidi="en-US"/>
                  </w:rPr>
                </m:ctrlPr>
              </m:eqArrPr>
              <m:e>
                <m:m>
                  <m:mPr>
                    <m:mcs>
                      <m:mc>
                        <m:mcPr>
                          <m:count m:val="2"/>
                          <m:mcJc m:val="center"/>
                        </m:mcPr>
                      </m:mc>
                    </m:mcs>
                    <m:ctrlPr>
                      <w:rPr>
                        <w:rFonts w:ascii="Cambria Math" w:eastAsia="Times New Roman" w:hAnsi="Cambria Math" w:cs="Times New Roman"/>
                        <w:i/>
                        <w:sz w:val="20"/>
                        <w:szCs w:val="20"/>
                        <w:lang w:bidi="en-US"/>
                      </w:rPr>
                    </m:ctrlPr>
                  </m:mPr>
                  <m:mr>
                    <m:e>
                      <m:sSup>
                        <m:sSupPr>
                          <m:ctrlPr>
                            <w:rPr>
                              <w:rFonts w:ascii="Cambria Math" w:eastAsia="Times New Roman" w:hAnsi="Cambria Math" w:cs="Times New Roman"/>
                              <w:i/>
                              <w:sz w:val="20"/>
                              <w:szCs w:val="20"/>
                              <w:lang w:bidi="en-US"/>
                            </w:rPr>
                          </m:ctrlPr>
                        </m:sSupPr>
                        <m:e>
                          <m:r>
                            <w:rPr>
                              <w:rFonts w:ascii="Cambria Math" w:eastAsia="Times New Roman" w:hAnsi="Cambria Math" w:cs="Times New Roman"/>
                              <w:sz w:val="20"/>
                              <w:szCs w:val="20"/>
                              <w:lang w:bidi="en-US"/>
                            </w:rPr>
                            <m:t>w</m:t>
                          </m:r>
                        </m:e>
                        <m:sup>
                          <m:r>
                            <w:rPr>
                              <w:rFonts w:ascii="Cambria Math" w:eastAsia="Times New Roman" w:hAnsi="Cambria Math" w:cs="Times New Roman"/>
                              <w:sz w:val="20"/>
                              <w:szCs w:val="20"/>
                              <w:lang w:bidi="en-US"/>
                            </w:rPr>
                            <m:t>+</m:t>
                          </m:r>
                        </m:sup>
                      </m:sSup>
                      <m:d>
                        <m:dPr>
                          <m:ctrlPr>
                            <w:rPr>
                              <w:rFonts w:ascii="Cambria Math" w:eastAsia="Times New Roman" w:hAnsi="Cambria Math" w:cs="Times New Roman"/>
                              <w:i/>
                              <w:sz w:val="20"/>
                              <w:szCs w:val="20"/>
                              <w:lang w:bidi="en-US"/>
                            </w:rPr>
                          </m:ctrlPr>
                        </m:dPr>
                        <m:e>
                          <m:r>
                            <w:rPr>
                              <w:rFonts w:ascii="Cambria Math" w:eastAsia="Times New Roman" w:hAnsi="Cambria Math" w:cs="Times New Roman"/>
                              <w:sz w:val="20"/>
                              <w:szCs w:val="20"/>
                              <w:lang w:bidi="en-US"/>
                            </w:rPr>
                            <m:t>p</m:t>
                          </m:r>
                        </m:e>
                      </m:d>
                      <m:r>
                        <w:rPr>
                          <w:rFonts w:ascii="Cambria Math" w:eastAsia="Times New Roman" w:hAnsi="Cambria Math" w:cs="Times New Roman"/>
                          <w:sz w:val="20"/>
                          <w:szCs w:val="20"/>
                          <w:lang w:bidi="en-US"/>
                        </w:rPr>
                        <m:t>≔</m:t>
                      </m:r>
                      <m:f>
                        <m:fPr>
                          <m:ctrlPr>
                            <w:rPr>
                              <w:rFonts w:ascii="Cambria Math" w:eastAsia="Times New Roman" w:hAnsi="Cambria Math" w:cs="Times New Roman"/>
                              <w:i/>
                              <w:sz w:val="20"/>
                              <w:szCs w:val="20"/>
                              <w:lang w:bidi="en-US"/>
                            </w:rPr>
                          </m:ctrlPr>
                        </m:fPr>
                        <m:num>
                          <m:sSup>
                            <m:sSupPr>
                              <m:ctrlPr>
                                <w:rPr>
                                  <w:rFonts w:ascii="Cambria Math" w:eastAsia="Times New Roman" w:hAnsi="Cambria Math" w:cs="Times New Roman"/>
                                  <w:i/>
                                  <w:sz w:val="20"/>
                                  <w:szCs w:val="20"/>
                                  <w:lang w:bidi="en-US"/>
                                </w:rPr>
                              </m:ctrlPr>
                            </m:sSupPr>
                            <m:e>
                              <m:d>
                                <m:dPr>
                                  <m:ctrlPr>
                                    <w:rPr>
                                      <w:rFonts w:ascii="Cambria Math" w:eastAsia="Times New Roman" w:hAnsi="Cambria Math" w:cs="Times New Roman"/>
                                      <w:i/>
                                      <w:sz w:val="20"/>
                                      <w:szCs w:val="20"/>
                                      <w:lang w:bidi="en-US"/>
                                    </w:rPr>
                                  </m:ctrlPr>
                                </m:dPr>
                                <m:e>
                                  <m:r>
                                    <w:rPr>
                                      <w:rFonts w:ascii="Cambria Math" w:eastAsia="Times New Roman" w:hAnsi="Cambria Math" w:cs="Times New Roman"/>
                                      <w:sz w:val="20"/>
                                      <w:szCs w:val="20"/>
                                      <w:lang w:bidi="en-US"/>
                                    </w:rPr>
                                    <m:t>p</m:t>
                                  </m:r>
                                </m:e>
                              </m:d>
                            </m:e>
                            <m:sup>
                              <m:r>
                                <w:rPr>
                                  <w:rFonts w:ascii="Cambria Math" w:eastAsia="Times New Roman" w:hAnsi="Cambria Math" w:cs="Times New Roman"/>
                                  <w:sz w:val="20"/>
                                  <w:szCs w:val="20"/>
                                  <w:lang w:bidi="en-US"/>
                                </w:rPr>
                                <m:t>γ</m:t>
                              </m:r>
                            </m:sup>
                          </m:sSup>
                        </m:num>
                        <m:den>
                          <m:sSup>
                            <m:sSupPr>
                              <m:ctrlPr>
                                <w:rPr>
                                  <w:rFonts w:ascii="Cambria Math" w:eastAsia="Times New Roman" w:hAnsi="Cambria Math" w:cs="Times New Roman"/>
                                  <w:i/>
                                  <w:sz w:val="20"/>
                                  <w:szCs w:val="20"/>
                                  <w:lang w:bidi="en-US"/>
                                </w:rPr>
                              </m:ctrlPr>
                            </m:sSupPr>
                            <m:e>
                              <m:d>
                                <m:dPr>
                                  <m:ctrlPr>
                                    <w:rPr>
                                      <w:rFonts w:ascii="Cambria Math" w:eastAsia="Times New Roman" w:hAnsi="Cambria Math" w:cs="Times New Roman"/>
                                      <w:i/>
                                      <w:sz w:val="20"/>
                                      <w:szCs w:val="20"/>
                                      <w:lang w:bidi="en-US"/>
                                    </w:rPr>
                                  </m:ctrlPr>
                                </m:dPr>
                                <m:e>
                                  <m:sSup>
                                    <m:sSupPr>
                                      <m:ctrlPr>
                                        <w:rPr>
                                          <w:rFonts w:ascii="Cambria Math" w:eastAsia="Times New Roman" w:hAnsi="Cambria Math" w:cs="Times New Roman"/>
                                          <w:i/>
                                          <w:sz w:val="20"/>
                                          <w:szCs w:val="20"/>
                                          <w:lang w:bidi="en-US"/>
                                        </w:rPr>
                                      </m:ctrlPr>
                                    </m:sSupPr>
                                    <m:e>
                                      <m:r>
                                        <w:rPr>
                                          <w:rFonts w:ascii="Cambria Math" w:eastAsia="Times New Roman" w:hAnsi="Cambria Math" w:cs="Times New Roman"/>
                                          <w:sz w:val="20"/>
                                          <w:szCs w:val="20"/>
                                          <w:lang w:bidi="en-US"/>
                                        </w:rPr>
                                        <m:t>p</m:t>
                                      </m:r>
                                    </m:e>
                                    <m:sup>
                                      <m:r>
                                        <w:rPr>
                                          <w:rFonts w:ascii="Cambria Math" w:eastAsia="Times New Roman" w:hAnsi="Cambria Math" w:cs="Times New Roman"/>
                                          <w:sz w:val="20"/>
                                          <w:szCs w:val="20"/>
                                          <w:lang w:bidi="en-US"/>
                                        </w:rPr>
                                        <m:t>γ</m:t>
                                      </m:r>
                                    </m:sup>
                                  </m:sSup>
                                  <m:r>
                                    <w:rPr>
                                      <w:rFonts w:ascii="Cambria Math" w:eastAsia="Times New Roman" w:hAnsi="Cambria Math" w:cs="Times New Roman"/>
                                      <w:sz w:val="20"/>
                                      <w:szCs w:val="20"/>
                                      <w:lang w:bidi="en-US"/>
                                    </w:rPr>
                                    <m:t>+</m:t>
                                  </m:r>
                                  <m:sSup>
                                    <m:sSupPr>
                                      <m:ctrlPr>
                                        <w:rPr>
                                          <w:rFonts w:ascii="Cambria Math" w:eastAsia="Times New Roman" w:hAnsi="Cambria Math" w:cs="Times New Roman"/>
                                          <w:i/>
                                          <w:sz w:val="20"/>
                                          <w:szCs w:val="20"/>
                                          <w:lang w:bidi="en-US"/>
                                        </w:rPr>
                                      </m:ctrlPr>
                                    </m:sSupPr>
                                    <m:e>
                                      <m:d>
                                        <m:dPr>
                                          <m:ctrlPr>
                                            <w:rPr>
                                              <w:rFonts w:ascii="Cambria Math" w:eastAsia="Times New Roman" w:hAnsi="Cambria Math" w:cs="Times New Roman"/>
                                              <w:i/>
                                              <w:sz w:val="20"/>
                                              <w:szCs w:val="20"/>
                                              <w:lang w:bidi="en-US"/>
                                            </w:rPr>
                                          </m:ctrlPr>
                                        </m:dPr>
                                        <m:e>
                                          <m:r>
                                            <w:rPr>
                                              <w:rFonts w:ascii="Cambria Math" w:eastAsia="Times New Roman" w:hAnsi="Cambria Math" w:cs="Times New Roman"/>
                                              <w:sz w:val="20"/>
                                              <w:szCs w:val="20"/>
                                              <w:lang w:bidi="en-US"/>
                                            </w:rPr>
                                            <m:t>1-p</m:t>
                                          </m:r>
                                        </m:e>
                                      </m:d>
                                    </m:e>
                                    <m:sup>
                                      <m:r>
                                        <w:rPr>
                                          <w:rFonts w:ascii="Cambria Math" w:eastAsia="Times New Roman" w:hAnsi="Cambria Math" w:cs="Times New Roman"/>
                                          <w:sz w:val="20"/>
                                          <w:szCs w:val="20"/>
                                          <w:lang w:bidi="en-US"/>
                                        </w:rPr>
                                        <m:t>γ</m:t>
                                      </m:r>
                                    </m:sup>
                                  </m:sSup>
                                </m:e>
                              </m:d>
                            </m:e>
                            <m:sup>
                              <m:r>
                                <w:rPr>
                                  <w:rFonts w:ascii="Cambria Math" w:eastAsia="Times New Roman" w:hAnsi="Cambria Math" w:cs="Times New Roman"/>
                                  <w:sz w:val="20"/>
                                  <w:szCs w:val="20"/>
                                  <w:lang w:bidi="en-US"/>
                                </w:rPr>
                                <m:t>1/γ</m:t>
                              </m:r>
                            </m:sup>
                          </m:sSup>
                        </m:den>
                      </m:f>
                    </m:e>
                    <m:e>
                      <m:r>
                        <w:rPr>
                          <w:rFonts w:ascii="Cambria Math" w:eastAsia="Times New Roman" w:hAnsi="Cambria Math" w:cs="Times New Roman"/>
                          <w:sz w:val="20"/>
                          <w:szCs w:val="20"/>
                          <w:lang w:bidi="en-US"/>
                        </w:rPr>
                        <m:t>∆x≥0</m:t>
                      </m:r>
                    </m:e>
                  </m:mr>
                </m:m>
              </m:e>
              <m:e>
                <m:ctrlPr>
                  <w:rPr>
                    <w:rFonts w:ascii="Cambria Math" w:eastAsia="Cambria Math" w:hAnsi="Cambria Math" w:cs="Times New Roman"/>
                    <w:i/>
                    <w:sz w:val="20"/>
                    <w:szCs w:val="20"/>
                    <w:lang w:bidi="en-US"/>
                  </w:rPr>
                </m:ctrlPr>
              </m:e>
              <m:e>
                <m:m>
                  <m:mPr>
                    <m:mcs>
                      <m:mc>
                        <m:mcPr>
                          <m:count m:val="2"/>
                          <m:mcJc m:val="center"/>
                        </m:mcPr>
                      </m:mc>
                    </m:mcs>
                    <m:ctrlPr>
                      <w:rPr>
                        <w:rFonts w:ascii="Cambria Math" w:eastAsia="Cambria Math" w:hAnsi="Cambria Math" w:cs="Times New Roman"/>
                        <w:i/>
                        <w:sz w:val="20"/>
                        <w:szCs w:val="20"/>
                        <w:lang w:bidi="en-US"/>
                      </w:rPr>
                    </m:ctrlPr>
                  </m:mPr>
                  <m:mr>
                    <m:e>
                      <m:sSup>
                        <m:sSupPr>
                          <m:ctrlPr>
                            <w:rPr>
                              <w:rFonts w:ascii="Cambria Math" w:eastAsia="Cambria Math" w:hAnsi="Cambria Math" w:cs="Times New Roman"/>
                              <w:i/>
                              <w:sz w:val="20"/>
                              <w:szCs w:val="20"/>
                              <w:lang w:bidi="en-US"/>
                            </w:rPr>
                          </m:ctrlPr>
                        </m:sSupPr>
                        <m:e>
                          <m:r>
                            <w:rPr>
                              <w:rFonts w:ascii="Cambria Math" w:eastAsia="Cambria Math" w:hAnsi="Cambria Math" w:cs="Times New Roman"/>
                              <w:sz w:val="20"/>
                              <w:szCs w:val="20"/>
                              <w:lang w:bidi="en-US"/>
                            </w:rPr>
                            <m:t>w</m:t>
                          </m:r>
                        </m:e>
                        <m:sup>
                          <m:r>
                            <w:rPr>
                              <w:rFonts w:ascii="Cambria Math" w:eastAsia="Cambria Math" w:hAnsi="Cambria Math" w:cs="Times New Roman"/>
                              <w:sz w:val="20"/>
                              <w:szCs w:val="20"/>
                              <w:lang w:bidi="en-US"/>
                            </w:rPr>
                            <m:t>-</m:t>
                          </m:r>
                        </m:sup>
                      </m:sSup>
                      <m:d>
                        <m:dPr>
                          <m:ctrlPr>
                            <w:rPr>
                              <w:rFonts w:ascii="Cambria Math" w:eastAsia="Cambria Math" w:hAnsi="Cambria Math" w:cs="Times New Roman"/>
                              <w:i/>
                              <w:sz w:val="20"/>
                              <w:szCs w:val="20"/>
                              <w:lang w:bidi="en-US"/>
                            </w:rPr>
                          </m:ctrlPr>
                        </m:dPr>
                        <m:e>
                          <m:r>
                            <w:rPr>
                              <w:rFonts w:ascii="Cambria Math" w:eastAsia="Cambria Math" w:hAnsi="Cambria Math" w:cs="Times New Roman"/>
                              <w:sz w:val="20"/>
                              <w:szCs w:val="20"/>
                              <w:lang w:bidi="en-US"/>
                            </w:rPr>
                            <m:t>p</m:t>
                          </m:r>
                        </m:e>
                      </m:d>
                      <m:r>
                        <w:rPr>
                          <w:rFonts w:ascii="Cambria Math" w:eastAsia="Cambria Math" w:hAnsi="Cambria Math" w:cs="Times New Roman"/>
                          <w:sz w:val="20"/>
                          <w:szCs w:val="20"/>
                          <w:lang w:bidi="en-US"/>
                        </w:rPr>
                        <m:t>≔</m:t>
                      </m:r>
                      <m:f>
                        <m:fPr>
                          <m:ctrlPr>
                            <w:rPr>
                              <w:rFonts w:ascii="Cambria Math" w:eastAsia="Cambria Math" w:hAnsi="Cambria Math" w:cs="Times New Roman"/>
                              <w:i/>
                              <w:sz w:val="20"/>
                              <w:szCs w:val="20"/>
                              <w:lang w:bidi="en-US"/>
                            </w:rPr>
                          </m:ctrlPr>
                        </m:fPr>
                        <m:num>
                          <m:sSup>
                            <m:sSupPr>
                              <m:ctrlPr>
                                <w:rPr>
                                  <w:rFonts w:ascii="Cambria Math" w:eastAsia="Cambria Math" w:hAnsi="Cambria Math" w:cs="Times New Roman"/>
                                  <w:i/>
                                  <w:sz w:val="20"/>
                                  <w:szCs w:val="20"/>
                                  <w:lang w:bidi="en-US"/>
                                </w:rPr>
                              </m:ctrlPr>
                            </m:sSupPr>
                            <m:e>
                              <m:d>
                                <m:dPr>
                                  <m:ctrlPr>
                                    <w:rPr>
                                      <w:rFonts w:ascii="Cambria Math" w:eastAsia="Cambria Math" w:hAnsi="Cambria Math" w:cs="Times New Roman"/>
                                      <w:i/>
                                      <w:sz w:val="20"/>
                                      <w:szCs w:val="20"/>
                                      <w:lang w:bidi="en-US"/>
                                    </w:rPr>
                                  </m:ctrlPr>
                                </m:dPr>
                                <m:e>
                                  <m:r>
                                    <w:rPr>
                                      <w:rFonts w:ascii="Cambria Math" w:eastAsia="Cambria Math" w:hAnsi="Cambria Math" w:cs="Times New Roman"/>
                                      <w:sz w:val="20"/>
                                      <w:szCs w:val="20"/>
                                      <w:lang w:bidi="en-US"/>
                                    </w:rPr>
                                    <m:t>p</m:t>
                                  </m:r>
                                </m:e>
                              </m:d>
                            </m:e>
                            <m:sup>
                              <m:r>
                                <w:rPr>
                                  <w:rFonts w:ascii="Cambria Math" w:eastAsia="Cambria Math" w:hAnsi="Cambria Math" w:cs="Times New Roman"/>
                                  <w:sz w:val="20"/>
                                  <w:szCs w:val="20"/>
                                  <w:lang w:bidi="en-US"/>
                                </w:rPr>
                                <m:t>δ</m:t>
                              </m:r>
                            </m:sup>
                          </m:sSup>
                        </m:num>
                        <m:den>
                          <m:sSup>
                            <m:sSupPr>
                              <m:ctrlPr>
                                <w:rPr>
                                  <w:rFonts w:ascii="Cambria Math" w:eastAsia="Cambria Math" w:hAnsi="Cambria Math" w:cs="Times New Roman"/>
                                  <w:i/>
                                  <w:sz w:val="20"/>
                                  <w:szCs w:val="20"/>
                                  <w:lang w:bidi="en-US"/>
                                </w:rPr>
                              </m:ctrlPr>
                            </m:sSupPr>
                            <m:e>
                              <m:d>
                                <m:dPr>
                                  <m:ctrlPr>
                                    <w:rPr>
                                      <w:rFonts w:ascii="Cambria Math" w:eastAsia="Cambria Math" w:hAnsi="Cambria Math" w:cs="Times New Roman"/>
                                      <w:i/>
                                      <w:sz w:val="20"/>
                                      <w:szCs w:val="20"/>
                                      <w:lang w:bidi="en-US"/>
                                    </w:rPr>
                                  </m:ctrlPr>
                                </m:dPr>
                                <m:e>
                                  <m:sSup>
                                    <m:sSupPr>
                                      <m:ctrlPr>
                                        <w:rPr>
                                          <w:rFonts w:ascii="Cambria Math" w:eastAsia="Cambria Math" w:hAnsi="Cambria Math" w:cs="Times New Roman"/>
                                          <w:i/>
                                          <w:sz w:val="20"/>
                                          <w:szCs w:val="20"/>
                                          <w:lang w:bidi="en-US"/>
                                        </w:rPr>
                                      </m:ctrlPr>
                                    </m:sSupPr>
                                    <m:e>
                                      <m:r>
                                        <w:rPr>
                                          <w:rFonts w:ascii="Cambria Math" w:eastAsia="Cambria Math" w:hAnsi="Cambria Math" w:cs="Times New Roman"/>
                                          <w:sz w:val="20"/>
                                          <w:szCs w:val="20"/>
                                          <w:lang w:bidi="en-US"/>
                                        </w:rPr>
                                        <m:t>p</m:t>
                                      </m:r>
                                    </m:e>
                                    <m:sup>
                                      <m:r>
                                        <w:rPr>
                                          <w:rFonts w:ascii="Cambria Math" w:eastAsia="Cambria Math" w:hAnsi="Cambria Math" w:cs="Times New Roman"/>
                                          <w:sz w:val="20"/>
                                          <w:szCs w:val="20"/>
                                          <w:lang w:bidi="en-US"/>
                                        </w:rPr>
                                        <m:t>δ</m:t>
                                      </m:r>
                                    </m:sup>
                                  </m:sSup>
                                  <m:r>
                                    <w:rPr>
                                      <w:rFonts w:ascii="Cambria Math" w:eastAsia="Cambria Math" w:hAnsi="Cambria Math" w:cs="Times New Roman"/>
                                      <w:sz w:val="20"/>
                                      <w:szCs w:val="20"/>
                                      <w:lang w:bidi="en-US"/>
                                    </w:rPr>
                                    <m:t>+</m:t>
                                  </m:r>
                                  <m:sSup>
                                    <m:sSupPr>
                                      <m:ctrlPr>
                                        <w:rPr>
                                          <w:rFonts w:ascii="Cambria Math" w:eastAsia="Cambria Math" w:hAnsi="Cambria Math" w:cs="Times New Roman"/>
                                          <w:i/>
                                          <w:sz w:val="20"/>
                                          <w:szCs w:val="20"/>
                                          <w:lang w:bidi="en-US"/>
                                        </w:rPr>
                                      </m:ctrlPr>
                                    </m:sSupPr>
                                    <m:e>
                                      <m:d>
                                        <m:dPr>
                                          <m:ctrlPr>
                                            <w:rPr>
                                              <w:rFonts w:ascii="Cambria Math" w:eastAsia="Cambria Math" w:hAnsi="Cambria Math" w:cs="Times New Roman"/>
                                              <w:i/>
                                              <w:sz w:val="20"/>
                                              <w:szCs w:val="20"/>
                                              <w:lang w:bidi="en-US"/>
                                            </w:rPr>
                                          </m:ctrlPr>
                                        </m:dPr>
                                        <m:e>
                                          <m:r>
                                            <w:rPr>
                                              <w:rFonts w:ascii="Cambria Math" w:eastAsia="Cambria Math" w:hAnsi="Cambria Math" w:cs="Times New Roman"/>
                                              <w:sz w:val="20"/>
                                              <w:szCs w:val="20"/>
                                              <w:lang w:bidi="en-US"/>
                                            </w:rPr>
                                            <m:t>1-p</m:t>
                                          </m:r>
                                        </m:e>
                                      </m:d>
                                    </m:e>
                                    <m:sup>
                                      <m:r>
                                        <w:rPr>
                                          <w:rFonts w:ascii="Cambria Math" w:eastAsia="Cambria Math" w:hAnsi="Cambria Math" w:cs="Times New Roman"/>
                                          <w:sz w:val="20"/>
                                          <w:szCs w:val="20"/>
                                          <w:lang w:bidi="en-US"/>
                                        </w:rPr>
                                        <m:t>δ</m:t>
                                      </m:r>
                                    </m:sup>
                                  </m:sSup>
                                </m:e>
                              </m:d>
                            </m:e>
                            <m:sup>
                              <m:r>
                                <w:rPr>
                                  <w:rFonts w:ascii="Cambria Math" w:eastAsia="Cambria Math" w:hAnsi="Cambria Math" w:cs="Times New Roman"/>
                                  <w:sz w:val="20"/>
                                  <w:szCs w:val="20"/>
                                  <w:lang w:bidi="en-US"/>
                                </w:rPr>
                                <m:t>1/δ</m:t>
                              </m:r>
                            </m:sup>
                          </m:sSup>
                        </m:den>
                      </m:f>
                    </m:e>
                    <m:e>
                      <m:r>
                        <w:rPr>
                          <w:rFonts w:ascii="Cambria Math" w:eastAsia="Cambria Math" w:hAnsi="Cambria Math" w:cs="Times New Roman"/>
                          <w:sz w:val="20"/>
                          <w:szCs w:val="20"/>
                          <w:lang w:bidi="en-US"/>
                        </w:rPr>
                        <m:t>∆x&lt;0</m:t>
                      </m:r>
                    </m:e>
                  </m:mr>
                </m:m>
              </m:e>
            </m:eqArr>
          </m:e>
        </m:d>
      </m:oMath>
      <w:r w:rsidRPr="0040227B">
        <w:rPr>
          <w:rFonts w:ascii="Times New Roman" w:eastAsia="Times New Roman" w:hAnsi="Times New Roman" w:cs="Times New Roman"/>
          <w:sz w:val="20"/>
          <w:szCs w:val="20"/>
          <w:lang w:bidi="en-US"/>
        </w:rPr>
        <w:tab/>
      </w:r>
      <w:r w:rsidRPr="0040227B">
        <w:rPr>
          <w:rFonts w:ascii="Times New Roman" w:eastAsia="Times New Roman" w:hAnsi="Times New Roman" w:cs="Times New Roman"/>
          <w:sz w:val="20"/>
          <w:szCs w:val="20"/>
          <w:lang w:bidi="en-US"/>
        </w:rPr>
        <w:tab/>
      </w:r>
      <w:r w:rsidRPr="0040227B">
        <w:rPr>
          <w:rFonts w:ascii="Times New Roman" w:eastAsia="Times New Roman" w:hAnsi="Times New Roman" w:cs="Times New Roman"/>
          <w:sz w:val="20"/>
          <w:szCs w:val="20"/>
          <w:lang w:bidi="en-US"/>
        </w:rPr>
        <w:tab/>
      </w:r>
      <w:r w:rsidRPr="0040227B">
        <w:rPr>
          <w:rFonts w:ascii="Times New Roman" w:eastAsia="Times New Roman" w:hAnsi="Times New Roman" w:cs="Times New Roman"/>
          <w:sz w:val="20"/>
          <w:szCs w:val="20"/>
          <w:lang w:bidi="en-US"/>
        </w:rPr>
        <w:tab/>
      </w:r>
      <w:r w:rsidRPr="0040227B">
        <w:rPr>
          <w:rFonts w:ascii="Times New Roman" w:eastAsia="Times New Roman" w:hAnsi="Times New Roman" w:cs="Times New Roman"/>
          <w:sz w:val="20"/>
          <w:szCs w:val="20"/>
          <w:lang w:bidi="en-US"/>
        </w:rPr>
        <w:tab/>
      </w:r>
      <w:r w:rsidRPr="0040227B">
        <w:rPr>
          <w:rFonts w:ascii="Times New Roman" w:eastAsia="Times New Roman" w:hAnsi="Times New Roman" w:cs="Times New Roman"/>
          <w:sz w:val="20"/>
          <w:szCs w:val="20"/>
          <w:lang w:bidi="en-US"/>
        </w:rPr>
        <w:tab/>
      </w:r>
      <w:r w:rsidRPr="0040227B">
        <w:rPr>
          <w:rFonts w:ascii="Times New Roman" w:eastAsia="Times New Roman" w:hAnsi="Times New Roman" w:cs="Times New Roman"/>
          <w:sz w:val="20"/>
          <w:szCs w:val="20"/>
          <w:lang w:bidi="en-US"/>
        </w:rPr>
        <w:tab/>
      </w:r>
      <w:r w:rsidRPr="0040227B">
        <w:rPr>
          <w:rFonts w:ascii="Times New Roman" w:eastAsia="Times New Roman" w:hAnsi="Times New Roman" w:cs="Times New Roman"/>
          <w:sz w:val="20"/>
          <w:szCs w:val="20"/>
          <w:lang w:bidi="en-US"/>
        </w:rPr>
        <w:tab/>
        <w:t>(4)</w:t>
      </w:r>
    </w:p>
    <w:p w:rsidR="00A7716E" w:rsidRPr="0040227B" w:rsidRDefault="00A7716E" w:rsidP="0040227B">
      <w:pPr>
        <w:spacing w:after="0" w:line="480" w:lineRule="auto"/>
        <w:jc w:val="both"/>
        <w:rPr>
          <w:rFonts w:ascii="Times New Roman" w:eastAsia="Times New Roman" w:hAnsi="Times New Roman" w:cs="Times New Roman"/>
          <w:sz w:val="20"/>
          <w:szCs w:val="20"/>
          <w:lang w:bidi="en-US"/>
        </w:rPr>
      </w:pPr>
    </w:p>
    <w:p w:rsidR="006D3F5E" w:rsidRPr="0040227B" w:rsidRDefault="00A7716E" w:rsidP="0040227B">
      <w:pPr>
        <w:spacing w:after="0" w:line="480" w:lineRule="auto"/>
        <w:jc w:val="both"/>
        <w:rPr>
          <w:rFonts w:ascii="Times New Roman" w:eastAsia="Times New Roman" w:hAnsi="Times New Roman" w:cs="Times New Roman"/>
          <w:sz w:val="20"/>
          <w:szCs w:val="20"/>
          <w:lang w:bidi="en-US"/>
        </w:rPr>
      </w:pPr>
      <w:r w:rsidRPr="0040227B">
        <w:rPr>
          <w:rFonts w:ascii="Times New Roman" w:eastAsia="Times New Roman" w:hAnsi="Times New Roman" w:cs="Times New Roman"/>
          <w:sz w:val="20"/>
          <w:szCs w:val="20"/>
          <w:lang w:bidi="en-US"/>
        </w:rPr>
        <w:t xml:space="preserve">The values for the parameters, </w:t>
      </w:r>
      <w:r w:rsidRPr="0040227B">
        <w:rPr>
          <w:rFonts w:ascii="Times New Roman" w:eastAsia="Times New Roman" w:hAnsi="Times New Roman" w:cs="Times New Roman"/>
          <w:i/>
          <w:sz w:val="20"/>
          <w:szCs w:val="20"/>
          <w:lang w:bidi="en-US"/>
        </w:rPr>
        <w:t>α</w:t>
      </w:r>
      <w:r w:rsidRPr="0040227B">
        <w:rPr>
          <w:rFonts w:ascii="Times New Roman" w:eastAsia="Times New Roman" w:hAnsi="Times New Roman" w:cs="Times New Roman"/>
          <w:sz w:val="20"/>
          <w:szCs w:val="20"/>
          <w:lang w:bidi="en-US"/>
        </w:rPr>
        <w:t xml:space="preserve">, </w:t>
      </w:r>
      <w:r w:rsidRPr="0040227B">
        <w:rPr>
          <w:rFonts w:ascii="Times New Roman" w:eastAsia="Times New Roman" w:hAnsi="Times New Roman" w:cs="Times New Roman"/>
          <w:i/>
          <w:sz w:val="20"/>
          <w:szCs w:val="20"/>
          <w:lang w:bidi="en-US"/>
        </w:rPr>
        <w:t>β</w:t>
      </w:r>
      <w:r w:rsidRPr="0040227B">
        <w:rPr>
          <w:rFonts w:ascii="Times New Roman" w:eastAsia="Times New Roman" w:hAnsi="Times New Roman" w:cs="Times New Roman"/>
          <w:sz w:val="20"/>
          <w:szCs w:val="20"/>
          <w:lang w:bidi="en-US"/>
        </w:rPr>
        <w:t xml:space="preserve"> and </w:t>
      </w:r>
      <w:r w:rsidRPr="0040227B">
        <w:rPr>
          <w:rFonts w:ascii="Times New Roman" w:eastAsia="Times New Roman" w:hAnsi="Times New Roman" w:cs="Times New Roman"/>
          <w:i/>
          <w:sz w:val="20"/>
          <w:szCs w:val="20"/>
          <w:lang w:bidi="en-US"/>
        </w:rPr>
        <w:t>λ</w:t>
      </w:r>
      <w:r w:rsidRPr="0040227B">
        <w:rPr>
          <w:rFonts w:ascii="Times New Roman" w:eastAsia="Times New Roman" w:hAnsi="Times New Roman" w:cs="Times New Roman"/>
          <w:sz w:val="20"/>
          <w:szCs w:val="20"/>
          <w:lang w:bidi="en-US"/>
        </w:rPr>
        <w:t xml:space="preserve"> are inferred or obtained from empirical or experimental e</w:t>
      </w:r>
      <w:r w:rsidR="00BA7849">
        <w:rPr>
          <w:rFonts w:ascii="Times New Roman" w:eastAsia="Times New Roman" w:hAnsi="Times New Roman" w:cs="Times New Roman"/>
          <w:sz w:val="20"/>
          <w:szCs w:val="20"/>
          <w:lang w:bidi="en-US"/>
        </w:rPr>
        <w:t xml:space="preserve">vidence. According to Tversky and Kahneman </w:t>
      </w:r>
      <w:r w:rsidRPr="0040227B">
        <w:rPr>
          <w:rFonts w:ascii="Times New Roman" w:eastAsia="Times New Roman" w:hAnsi="Times New Roman" w:cs="Times New Roman"/>
          <w:sz w:val="20"/>
          <w:szCs w:val="20"/>
          <w:lang w:bidi="en-US"/>
        </w:rPr>
        <w:t>(1992</w:t>
      </w:r>
      <w:r w:rsidR="00BA7849">
        <w:rPr>
          <w:rFonts w:ascii="Times New Roman" w:eastAsia="Times New Roman" w:hAnsi="Times New Roman" w:cs="Times New Roman"/>
          <w:sz w:val="20"/>
          <w:szCs w:val="20"/>
          <w:lang w:bidi="en-US"/>
        </w:rPr>
        <w:t>, p.311</w:t>
      </w:r>
      <w:r w:rsidRPr="0040227B">
        <w:rPr>
          <w:rFonts w:ascii="Times New Roman" w:eastAsia="Times New Roman" w:hAnsi="Times New Roman" w:cs="Times New Roman"/>
          <w:sz w:val="20"/>
          <w:szCs w:val="20"/>
          <w:lang w:bidi="en-US"/>
        </w:rPr>
        <w:t xml:space="preserve">) values are 0.88 for </w:t>
      </w:r>
      <w:r w:rsidRPr="0040227B">
        <w:rPr>
          <w:rFonts w:ascii="Times New Roman" w:eastAsia="Times New Roman" w:hAnsi="Times New Roman" w:cs="Times New Roman"/>
          <w:i/>
          <w:sz w:val="20"/>
          <w:szCs w:val="20"/>
          <w:lang w:bidi="en-US"/>
        </w:rPr>
        <w:t xml:space="preserve">α </w:t>
      </w:r>
      <w:r w:rsidRPr="0040227B">
        <w:rPr>
          <w:rFonts w:ascii="Times New Roman" w:eastAsia="Times New Roman" w:hAnsi="Times New Roman" w:cs="Times New Roman"/>
          <w:sz w:val="20"/>
          <w:szCs w:val="20"/>
          <w:lang w:bidi="en-US"/>
        </w:rPr>
        <w:t>and</w:t>
      </w:r>
      <w:r w:rsidRPr="0040227B">
        <w:rPr>
          <w:rFonts w:ascii="Times New Roman" w:eastAsia="Times New Roman" w:hAnsi="Times New Roman" w:cs="Times New Roman"/>
          <w:i/>
          <w:sz w:val="20"/>
          <w:szCs w:val="20"/>
          <w:lang w:bidi="en-US"/>
        </w:rPr>
        <w:t xml:space="preserve"> β</w:t>
      </w:r>
      <w:r w:rsidRPr="0040227B">
        <w:rPr>
          <w:rFonts w:ascii="Times New Roman" w:eastAsia="Times New Roman" w:hAnsi="Times New Roman" w:cs="Times New Roman"/>
          <w:sz w:val="20"/>
          <w:szCs w:val="20"/>
          <w:lang w:bidi="en-US"/>
        </w:rPr>
        <w:t xml:space="preserve">, 2.25 for </w:t>
      </w:r>
      <w:r w:rsidRPr="0040227B">
        <w:rPr>
          <w:rFonts w:ascii="Times New Roman" w:eastAsia="Times New Roman" w:hAnsi="Times New Roman" w:cs="Times New Roman"/>
          <w:i/>
          <w:sz w:val="20"/>
          <w:szCs w:val="20"/>
          <w:lang w:bidi="en-US"/>
        </w:rPr>
        <w:t>λ</w:t>
      </w:r>
      <w:r w:rsidRPr="0040227B">
        <w:rPr>
          <w:rFonts w:ascii="Times New Roman" w:eastAsia="Times New Roman" w:hAnsi="Times New Roman" w:cs="Times New Roman"/>
          <w:sz w:val="20"/>
          <w:szCs w:val="20"/>
          <w:lang w:bidi="en-US"/>
        </w:rPr>
        <w:t xml:space="preserve">, 0.69 for </w:t>
      </w:r>
      <w:r w:rsidRPr="0040227B">
        <w:rPr>
          <w:rFonts w:ascii="Times New Roman" w:eastAsia="Times New Roman" w:hAnsi="Times New Roman" w:cs="Times New Roman"/>
          <w:i/>
          <w:sz w:val="20"/>
          <w:szCs w:val="20"/>
          <w:lang w:bidi="en-US"/>
        </w:rPr>
        <w:t>δ</w:t>
      </w:r>
      <w:r w:rsidRPr="0040227B">
        <w:rPr>
          <w:rFonts w:ascii="Times New Roman" w:eastAsia="Times New Roman" w:hAnsi="Times New Roman" w:cs="Times New Roman"/>
          <w:sz w:val="20"/>
          <w:szCs w:val="20"/>
          <w:lang w:bidi="en-US"/>
        </w:rPr>
        <w:t xml:space="preserve">, and 0.61 for </w:t>
      </w:r>
      <w:r w:rsidRPr="0040227B">
        <w:rPr>
          <w:rFonts w:ascii="Times New Roman" w:eastAsia="Times New Roman" w:hAnsi="Times New Roman" w:cs="Times New Roman"/>
          <w:i/>
          <w:sz w:val="20"/>
          <w:szCs w:val="20"/>
          <w:lang w:bidi="en-US"/>
        </w:rPr>
        <w:t>γ</w:t>
      </w:r>
      <w:r w:rsidRPr="0040227B">
        <w:rPr>
          <w:rFonts w:ascii="Times New Roman" w:eastAsia="Times New Roman" w:hAnsi="Times New Roman" w:cs="Times New Roman"/>
          <w:sz w:val="20"/>
          <w:szCs w:val="20"/>
          <w:lang w:bidi="en-US"/>
        </w:rPr>
        <w:t>. Although these values are accepted and used in empirical and experimental analysis, it must be noted that there are often large cross-study differences between experiments (</w:t>
      </w:r>
      <w:proofErr w:type="spellStart"/>
      <w:r w:rsidRPr="0040227B">
        <w:rPr>
          <w:rFonts w:ascii="Times New Roman" w:eastAsia="Times New Roman" w:hAnsi="Times New Roman" w:cs="Times New Roman"/>
          <w:sz w:val="20"/>
          <w:szCs w:val="20"/>
          <w:lang w:bidi="en-US"/>
        </w:rPr>
        <w:t>Pesendorfer</w:t>
      </w:r>
      <w:proofErr w:type="spellEnd"/>
      <w:r w:rsidRPr="0040227B">
        <w:rPr>
          <w:rFonts w:ascii="Times New Roman" w:eastAsia="Times New Roman" w:hAnsi="Times New Roman" w:cs="Times New Roman"/>
          <w:sz w:val="20"/>
          <w:szCs w:val="20"/>
          <w:lang w:bidi="en-US"/>
        </w:rPr>
        <w:t xml:space="preserve"> 2006, p.717). This implies that </w:t>
      </w:r>
      <w:r w:rsidRPr="0040227B">
        <w:rPr>
          <w:rFonts w:ascii="Times New Roman" w:eastAsia="Times New Roman" w:hAnsi="Times New Roman" w:cs="Times New Roman"/>
          <w:sz w:val="20"/>
          <w:szCs w:val="20"/>
          <w:lang w:bidi="en-US"/>
        </w:rPr>
        <w:lastRenderedPageBreak/>
        <w:t xml:space="preserve">experimental results cannot be used to ‘calibrate’ utility functions used in different contexts. The values for the parameters </w:t>
      </w:r>
      <w:r w:rsidRPr="0040227B">
        <w:rPr>
          <w:rFonts w:ascii="Times New Roman" w:eastAsia="Times New Roman" w:hAnsi="Times New Roman" w:cs="Times New Roman"/>
          <w:i/>
          <w:sz w:val="20"/>
          <w:szCs w:val="20"/>
          <w:lang w:bidi="en-US"/>
        </w:rPr>
        <w:t>α</w:t>
      </w:r>
      <w:r w:rsidRPr="0040227B">
        <w:rPr>
          <w:rFonts w:ascii="Times New Roman" w:eastAsia="Times New Roman" w:hAnsi="Times New Roman" w:cs="Times New Roman"/>
          <w:sz w:val="20"/>
          <w:szCs w:val="20"/>
          <w:lang w:bidi="en-US"/>
        </w:rPr>
        <w:t xml:space="preserve">, </w:t>
      </w:r>
      <w:r w:rsidRPr="0040227B">
        <w:rPr>
          <w:rFonts w:ascii="Times New Roman" w:eastAsia="Times New Roman" w:hAnsi="Times New Roman" w:cs="Times New Roman"/>
          <w:i/>
          <w:sz w:val="20"/>
          <w:szCs w:val="20"/>
          <w:lang w:bidi="en-US"/>
        </w:rPr>
        <w:t>β</w:t>
      </w:r>
      <w:r w:rsidRPr="0040227B">
        <w:rPr>
          <w:rFonts w:ascii="Times New Roman" w:eastAsia="Times New Roman" w:hAnsi="Times New Roman" w:cs="Times New Roman"/>
          <w:sz w:val="20"/>
          <w:szCs w:val="20"/>
          <w:lang w:bidi="en-US"/>
        </w:rPr>
        <w:t xml:space="preserve"> and </w:t>
      </w:r>
      <w:r w:rsidRPr="0040227B">
        <w:rPr>
          <w:rFonts w:ascii="Times New Roman" w:eastAsia="Times New Roman" w:hAnsi="Times New Roman" w:cs="Times New Roman"/>
          <w:i/>
          <w:sz w:val="20"/>
          <w:szCs w:val="20"/>
          <w:lang w:bidi="en-US"/>
        </w:rPr>
        <w:t>λ</w:t>
      </w:r>
      <w:r w:rsidRPr="0040227B">
        <w:rPr>
          <w:rFonts w:ascii="Times New Roman" w:eastAsia="Times New Roman" w:hAnsi="Times New Roman" w:cs="Times New Roman"/>
          <w:sz w:val="20"/>
          <w:szCs w:val="20"/>
          <w:lang w:bidi="en-US"/>
        </w:rPr>
        <w:t xml:space="preserve"> determined by Tversky and Kahneman (1992) may therefore not have much meaning outside of the context of their particular experimental design. Kahneman and Tversky (1979) and Tversky and Kahneman (1992) counter this criticism by highlighting the systematic nature of departures from expected utility theory. We would note that if behavioural economics and its d</w:t>
      </w:r>
      <w:r w:rsidR="00892100" w:rsidRPr="0040227B">
        <w:rPr>
          <w:rFonts w:ascii="Times New Roman" w:eastAsia="Times New Roman" w:hAnsi="Times New Roman" w:cs="Times New Roman"/>
          <w:sz w:val="20"/>
          <w:szCs w:val="20"/>
          <w:lang w:bidi="en-US"/>
        </w:rPr>
        <w:t>ominant models are to be used to analyse terrorist behaviour</w:t>
      </w:r>
      <w:r w:rsidRPr="0040227B">
        <w:rPr>
          <w:rFonts w:ascii="Times New Roman" w:eastAsia="Times New Roman" w:hAnsi="Times New Roman" w:cs="Times New Roman"/>
          <w:sz w:val="20"/>
          <w:szCs w:val="20"/>
          <w:lang w:bidi="en-US"/>
        </w:rPr>
        <w:t>, it is an important task for future research to determine the values of these parameters within each terrorism context.</w:t>
      </w:r>
    </w:p>
    <w:p w:rsidR="00472F7E" w:rsidRPr="0040227B" w:rsidRDefault="00472F7E" w:rsidP="0040227B">
      <w:pPr>
        <w:spacing w:after="0" w:line="480" w:lineRule="auto"/>
        <w:jc w:val="both"/>
        <w:rPr>
          <w:rFonts w:ascii="Times New Roman" w:eastAsia="Times New Roman" w:hAnsi="Times New Roman" w:cs="Times New Roman"/>
          <w:sz w:val="20"/>
          <w:szCs w:val="20"/>
          <w:lang w:bidi="en-US"/>
        </w:rPr>
      </w:pPr>
    </w:p>
    <w:p w:rsidR="00892100" w:rsidRPr="0040227B" w:rsidRDefault="001A518A" w:rsidP="0040227B">
      <w:pPr>
        <w:spacing w:after="0" w:line="480" w:lineRule="auto"/>
        <w:jc w:val="both"/>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III</w:t>
      </w:r>
      <w:r w:rsidR="00D86907" w:rsidRPr="0040227B">
        <w:rPr>
          <w:rFonts w:ascii="Times New Roman" w:eastAsia="Times New Roman" w:hAnsi="Times New Roman" w:cs="Times New Roman"/>
          <w:b/>
          <w:sz w:val="20"/>
          <w:szCs w:val="20"/>
          <w:lang w:bidi="en-US"/>
        </w:rPr>
        <w:t>. ‘Predecessor’ or ‘Reference Point’ Lone Wolf Terrorists</w:t>
      </w:r>
    </w:p>
    <w:p w:rsidR="00BA142E" w:rsidRPr="0040227B" w:rsidRDefault="00BA142E" w:rsidP="0040227B">
      <w:pPr>
        <w:spacing w:after="0" w:line="480" w:lineRule="auto"/>
        <w:jc w:val="both"/>
        <w:rPr>
          <w:rFonts w:ascii="Times New Roman" w:hAnsi="Times New Roman" w:cs="Times New Roman"/>
          <w:sz w:val="20"/>
          <w:szCs w:val="20"/>
        </w:rPr>
      </w:pPr>
    </w:p>
    <w:p w:rsidR="0094705B" w:rsidRPr="0040227B" w:rsidRDefault="000C6C7C" w:rsidP="0040227B">
      <w:pPr>
        <w:spacing w:after="0" w:line="480" w:lineRule="auto"/>
        <w:jc w:val="both"/>
        <w:rPr>
          <w:rFonts w:ascii="Times New Roman" w:eastAsia="Times New Roman" w:hAnsi="Times New Roman" w:cs="Times New Roman"/>
          <w:sz w:val="20"/>
          <w:szCs w:val="20"/>
          <w:lang w:bidi="en-US"/>
        </w:rPr>
      </w:pPr>
      <w:r w:rsidRPr="0040227B">
        <w:rPr>
          <w:rFonts w:ascii="Times New Roman" w:eastAsia="Times New Roman" w:hAnsi="Times New Roman" w:cs="Times New Roman"/>
          <w:sz w:val="20"/>
          <w:szCs w:val="20"/>
          <w:lang w:bidi="en-US"/>
        </w:rPr>
        <w:t>Because prospect theory identifies reference dependence as an important component of the deci</w:t>
      </w:r>
      <w:r w:rsidR="0042390E" w:rsidRPr="0040227B">
        <w:rPr>
          <w:rFonts w:ascii="Times New Roman" w:eastAsia="Times New Roman" w:hAnsi="Times New Roman" w:cs="Times New Roman"/>
          <w:sz w:val="20"/>
          <w:szCs w:val="20"/>
          <w:lang w:bidi="en-US"/>
        </w:rPr>
        <w:t xml:space="preserve">sion-making process, it </w:t>
      </w:r>
      <w:r w:rsidRPr="0040227B">
        <w:rPr>
          <w:rFonts w:ascii="Times New Roman" w:eastAsia="Times New Roman" w:hAnsi="Times New Roman" w:cs="Times New Roman"/>
          <w:sz w:val="20"/>
          <w:szCs w:val="20"/>
          <w:lang w:bidi="en-US"/>
        </w:rPr>
        <w:t xml:space="preserve">lends itself to the analysis </w:t>
      </w:r>
      <w:r w:rsidR="007C0BA6" w:rsidRPr="0040227B">
        <w:rPr>
          <w:rFonts w:ascii="Times New Roman" w:eastAsia="Times New Roman" w:hAnsi="Times New Roman" w:cs="Times New Roman"/>
          <w:sz w:val="20"/>
          <w:szCs w:val="20"/>
          <w:lang w:bidi="en-US"/>
        </w:rPr>
        <w:t xml:space="preserve">of </w:t>
      </w:r>
      <w:r w:rsidRPr="0040227B">
        <w:rPr>
          <w:rFonts w:ascii="Times New Roman" w:eastAsia="Times New Roman" w:hAnsi="Times New Roman" w:cs="Times New Roman"/>
          <w:sz w:val="20"/>
          <w:szCs w:val="20"/>
          <w:lang w:bidi="en-US"/>
        </w:rPr>
        <w:t>‘</w:t>
      </w:r>
      <w:r w:rsidR="00623894" w:rsidRPr="0040227B">
        <w:rPr>
          <w:rFonts w:ascii="Times New Roman" w:eastAsia="Times New Roman" w:hAnsi="Times New Roman" w:cs="Times New Roman"/>
          <w:sz w:val="20"/>
          <w:szCs w:val="20"/>
          <w:lang w:bidi="en-US"/>
        </w:rPr>
        <w:t xml:space="preserve">copycat’ </w:t>
      </w:r>
      <w:r w:rsidRPr="0040227B">
        <w:rPr>
          <w:rFonts w:ascii="Times New Roman" w:eastAsia="Times New Roman" w:hAnsi="Times New Roman" w:cs="Times New Roman"/>
          <w:sz w:val="20"/>
          <w:szCs w:val="20"/>
          <w:lang w:bidi="en-US"/>
        </w:rPr>
        <w:t xml:space="preserve">or ‘referenced’ behaviour. </w:t>
      </w:r>
      <w:r w:rsidR="0094705B" w:rsidRPr="0040227B">
        <w:rPr>
          <w:rFonts w:ascii="Times New Roman" w:hAnsi="Times New Roman" w:cs="Times New Roman"/>
          <w:sz w:val="20"/>
          <w:szCs w:val="20"/>
        </w:rPr>
        <w:t>In the United States approximately 30 individuals have been classified as lone wolf terrorists since the late 1960s</w:t>
      </w:r>
      <w:r w:rsidR="0094705B" w:rsidRPr="0040227B">
        <w:rPr>
          <w:rStyle w:val="FootnoteReference"/>
          <w:rFonts w:ascii="Times New Roman" w:hAnsi="Times New Roman" w:cs="Times New Roman"/>
          <w:sz w:val="20"/>
          <w:szCs w:val="20"/>
        </w:rPr>
        <w:footnoteReference w:id="8"/>
      </w:r>
      <w:r w:rsidR="00EB4374" w:rsidRPr="0040227B">
        <w:rPr>
          <w:rFonts w:ascii="Times New Roman" w:hAnsi="Times New Roman" w:cs="Times New Roman"/>
          <w:sz w:val="20"/>
          <w:szCs w:val="20"/>
        </w:rPr>
        <w:t>. D</w:t>
      </w:r>
      <w:r w:rsidR="0094705B" w:rsidRPr="0040227B">
        <w:rPr>
          <w:rFonts w:ascii="Times New Roman" w:hAnsi="Times New Roman" w:cs="Times New Roman"/>
          <w:sz w:val="20"/>
          <w:szCs w:val="20"/>
        </w:rPr>
        <w:t xml:space="preserve">espite this relatively low number, lone wolf terrorists have generally dominated the share of inflicted injuries and fatalities </w:t>
      </w:r>
      <w:r w:rsidR="00090508" w:rsidRPr="0040227B">
        <w:rPr>
          <w:rFonts w:ascii="Times New Roman" w:hAnsi="Times New Roman" w:cs="Times New Roman"/>
          <w:sz w:val="20"/>
          <w:szCs w:val="20"/>
        </w:rPr>
        <w:t>in recent decades</w:t>
      </w:r>
      <w:r w:rsidR="0094705B" w:rsidRPr="0040227B">
        <w:rPr>
          <w:rFonts w:ascii="Times New Roman" w:hAnsi="Times New Roman" w:cs="Times New Roman"/>
          <w:sz w:val="20"/>
          <w:szCs w:val="20"/>
        </w:rPr>
        <w:t>. During the 1970s, there were 174 fatalities attributable to acts of terrorism in the United Sta</w:t>
      </w:r>
      <w:r w:rsidR="006622B0" w:rsidRPr="0040227B">
        <w:rPr>
          <w:rFonts w:ascii="Times New Roman" w:hAnsi="Times New Roman" w:cs="Times New Roman"/>
          <w:sz w:val="20"/>
          <w:szCs w:val="20"/>
        </w:rPr>
        <w:t>tes. Only 11—6 percent—</w:t>
      </w:r>
      <w:r w:rsidR="0094705B" w:rsidRPr="0040227B">
        <w:rPr>
          <w:rFonts w:ascii="Times New Roman" w:hAnsi="Times New Roman" w:cs="Times New Roman"/>
          <w:sz w:val="20"/>
          <w:szCs w:val="20"/>
        </w:rPr>
        <w:t xml:space="preserve">of these fatalities </w:t>
      </w:r>
      <w:r w:rsidR="006622B0" w:rsidRPr="0040227B">
        <w:rPr>
          <w:rFonts w:ascii="Times New Roman" w:hAnsi="Times New Roman" w:cs="Times New Roman"/>
          <w:sz w:val="20"/>
          <w:szCs w:val="20"/>
        </w:rPr>
        <w:t>were</w:t>
      </w:r>
      <w:r w:rsidR="0094705B" w:rsidRPr="0040227B">
        <w:rPr>
          <w:rFonts w:ascii="Times New Roman" w:hAnsi="Times New Roman" w:cs="Times New Roman"/>
          <w:sz w:val="20"/>
          <w:szCs w:val="20"/>
        </w:rPr>
        <w:t xml:space="preserve"> victims of lone wolf terrorism. In the</w:t>
      </w:r>
      <w:r w:rsidR="006622B0" w:rsidRPr="0040227B">
        <w:rPr>
          <w:rFonts w:ascii="Times New Roman" w:hAnsi="Times New Roman" w:cs="Times New Roman"/>
          <w:sz w:val="20"/>
          <w:szCs w:val="20"/>
        </w:rPr>
        <w:t xml:space="preserve"> 1980s, 45 fatalities were attributed to acts of terrorism. In that decade, 12—26 percent—were victims of lone wolf terrorism. In the 1990s, lone wolf terrorists or individuals with loose affiliations, in particular Timothy McVeigh, accounted for 191—80 percent—of victims. </w:t>
      </w:r>
      <w:r w:rsidR="00090508" w:rsidRPr="0040227B">
        <w:rPr>
          <w:rFonts w:ascii="Times New Roman" w:hAnsi="Times New Roman" w:cs="Times New Roman"/>
          <w:sz w:val="20"/>
          <w:szCs w:val="20"/>
        </w:rPr>
        <w:t>The</w:t>
      </w:r>
      <w:r w:rsidR="006622B0" w:rsidRPr="0040227B">
        <w:rPr>
          <w:rFonts w:ascii="Times New Roman" w:hAnsi="Times New Roman" w:cs="Times New Roman"/>
          <w:sz w:val="20"/>
          <w:szCs w:val="20"/>
        </w:rPr>
        <w:t xml:space="preserve"> historical record of terrorism in the 2000s </w:t>
      </w:r>
      <w:r w:rsidR="00090508" w:rsidRPr="0040227B">
        <w:rPr>
          <w:rFonts w:ascii="Times New Roman" w:hAnsi="Times New Roman" w:cs="Times New Roman"/>
          <w:sz w:val="20"/>
          <w:szCs w:val="20"/>
        </w:rPr>
        <w:t xml:space="preserve">is </w:t>
      </w:r>
      <w:r w:rsidR="0042390E" w:rsidRPr="0040227B">
        <w:rPr>
          <w:rFonts w:ascii="Times New Roman" w:hAnsi="Times New Roman" w:cs="Times New Roman"/>
          <w:sz w:val="20"/>
          <w:szCs w:val="20"/>
        </w:rPr>
        <w:t>dominated</w:t>
      </w:r>
      <w:r w:rsidR="00243164" w:rsidRPr="0040227B">
        <w:rPr>
          <w:rFonts w:ascii="Times New Roman" w:hAnsi="Times New Roman" w:cs="Times New Roman"/>
          <w:sz w:val="20"/>
          <w:szCs w:val="20"/>
        </w:rPr>
        <w:t xml:space="preserve"> by </w:t>
      </w:r>
      <w:r w:rsidR="006622B0" w:rsidRPr="0040227B">
        <w:rPr>
          <w:rFonts w:ascii="Times New Roman" w:hAnsi="Times New Roman" w:cs="Times New Roman"/>
          <w:sz w:val="20"/>
          <w:szCs w:val="20"/>
        </w:rPr>
        <w:t xml:space="preserve">the September 11 </w:t>
      </w:r>
      <w:r w:rsidR="00243164" w:rsidRPr="0040227B">
        <w:rPr>
          <w:rFonts w:ascii="Times New Roman" w:hAnsi="Times New Roman" w:cs="Times New Roman"/>
          <w:sz w:val="20"/>
          <w:szCs w:val="20"/>
        </w:rPr>
        <w:t xml:space="preserve">2001 </w:t>
      </w:r>
      <w:r w:rsidR="006622B0" w:rsidRPr="0040227B">
        <w:rPr>
          <w:rFonts w:ascii="Times New Roman" w:hAnsi="Times New Roman" w:cs="Times New Roman"/>
          <w:sz w:val="20"/>
          <w:szCs w:val="20"/>
        </w:rPr>
        <w:t>attacks</w:t>
      </w:r>
      <w:r w:rsidR="00EB4374" w:rsidRPr="0040227B">
        <w:rPr>
          <w:rFonts w:ascii="Times New Roman" w:hAnsi="Times New Roman" w:cs="Times New Roman"/>
          <w:sz w:val="20"/>
          <w:szCs w:val="20"/>
        </w:rPr>
        <w:t xml:space="preserve"> but lone wolf terrorists were</w:t>
      </w:r>
      <w:r w:rsidR="006622B0" w:rsidRPr="0040227B">
        <w:rPr>
          <w:rFonts w:ascii="Times New Roman" w:hAnsi="Times New Roman" w:cs="Times New Roman"/>
          <w:sz w:val="20"/>
          <w:szCs w:val="20"/>
        </w:rPr>
        <w:t xml:space="preserve"> responsible for 27—72 percent—of the 37 fatalities attributable to acts of terrorism other than the 9/11 attacks during the period 2000 to 2013</w:t>
      </w:r>
      <w:r w:rsidR="006622B0" w:rsidRPr="0040227B">
        <w:rPr>
          <w:rStyle w:val="FootnoteReference"/>
          <w:rFonts w:ascii="Times New Roman" w:hAnsi="Times New Roman" w:cs="Times New Roman"/>
          <w:sz w:val="20"/>
          <w:szCs w:val="20"/>
        </w:rPr>
        <w:footnoteReference w:id="9"/>
      </w:r>
      <w:r w:rsidR="006622B0" w:rsidRPr="0040227B">
        <w:rPr>
          <w:rFonts w:ascii="Times New Roman" w:hAnsi="Times New Roman" w:cs="Times New Roman"/>
          <w:sz w:val="20"/>
          <w:szCs w:val="20"/>
        </w:rPr>
        <w:t xml:space="preserve">. Although only 1.28 percent of </w:t>
      </w:r>
      <w:r w:rsidR="00B20518" w:rsidRPr="0040227B">
        <w:rPr>
          <w:rFonts w:ascii="Times New Roman" w:hAnsi="Times New Roman" w:cs="Times New Roman"/>
          <w:sz w:val="20"/>
          <w:szCs w:val="20"/>
        </w:rPr>
        <w:t xml:space="preserve">all </w:t>
      </w:r>
      <w:r w:rsidR="006622B0" w:rsidRPr="0040227B">
        <w:rPr>
          <w:rFonts w:ascii="Times New Roman" w:hAnsi="Times New Roman" w:cs="Times New Roman"/>
          <w:sz w:val="20"/>
          <w:szCs w:val="20"/>
        </w:rPr>
        <w:t>terrorist incidences between 1968 and 2007 were lone wolf attacks, 26 percent of victims of terrorism during that period were victims of lone wolf terrorism (</w:t>
      </w:r>
      <w:proofErr w:type="spellStart"/>
      <w:r w:rsidR="006622B0" w:rsidRPr="0040227B">
        <w:rPr>
          <w:rFonts w:ascii="Times New Roman" w:hAnsi="Times New Roman" w:cs="Times New Roman"/>
          <w:sz w:val="20"/>
          <w:szCs w:val="20"/>
        </w:rPr>
        <w:t>Spaaij</w:t>
      </w:r>
      <w:proofErr w:type="spellEnd"/>
      <w:r w:rsidR="006622B0" w:rsidRPr="0040227B">
        <w:rPr>
          <w:rFonts w:ascii="Times New Roman" w:hAnsi="Times New Roman" w:cs="Times New Roman"/>
          <w:sz w:val="20"/>
          <w:szCs w:val="20"/>
        </w:rPr>
        <w:t xml:space="preserve"> 2010, p.859-860). </w:t>
      </w:r>
    </w:p>
    <w:p w:rsidR="000C6C7C" w:rsidRPr="0040227B" w:rsidRDefault="000C6C7C" w:rsidP="0040227B">
      <w:pPr>
        <w:spacing w:after="0" w:line="480" w:lineRule="auto"/>
        <w:jc w:val="both"/>
        <w:rPr>
          <w:rFonts w:ascii="Times New Roman" w:hAnsi="Times New Roman" w:cs="Times New Roman"/>
          <w:sz w:val="20"/>
          <w:szCs w:val="20"/>
        </w:rPr>
      </w:pPr>
    </w:p>
    <w:p w:rsidR="0042390E" w:rsidRPr="0040227B" w:rsidRDefault="0042390E" w:rsidP="0040227B">
      <w:pPr>
        <w:spacing w:after="0" w:line="480" w:lineRule="auto"/>
        <w:jc w:val="both"/>
        <w:rPr>
          <w:rFonts w:ascii="Times New Roman" w:eastAsia="Times New Roman" w:hAnsi="Times New Roman" w:cs="Times New Roman"/>
          <w:sz w:val="20"/>
          <w:szCs w:val="20"/>
          <w:lang w:bidi="en-US"/>
        </w:rPr>
      </w:pPr>
      <w:r w:rsidRPr="0040227B">
        <w:rPr>
          <w:rFonts w:ascii="Times New Roman" w:eastAsia="Times New Roman" w:hAnsi="Times New Roman" w:cs="Times New Roman"/>
          <w:sz w:val="20"/>
          <w:szCs w:val="20"/>
          <w:lang w:bidi="en-US"/>
        </w:rPr>
        <w:t xml:space="preserve">Lone wolf terrorism in America may be depicted as outbursts of violent extremist behaviour. </w:t>
      </w:r>
      <w:r w:rsidR="00817701" w:rsidRPr="0040227B">
        <w:rPr>
          <w:rFonts w:ascii="Times New Roman" w:eastAsia="Times New Roman" w:hAnsi="Times New Roman" w:cs="Times New Roman"/>
          <w:sz w:val="20"/>
          <w:szCs w:val="20"/>
          <w:lang w:bidi="en-US"/>
        </w:rPr>
        <w:t>The types of extremist motivations</w:t>
      </w:r>
      <w:r w:rsidRPr="0040227B">
        <w:rPr>
          <w:rFonts w:ascii="Times New Roman" w:eastAsia="Times New Roman" w:hAnsi="Times New Roman" w:cs="Times New Roman"/>
          <w:sz w:val="20"/>
          <w:szCs w:val="20"/>
          <w:lang w:bidi="en-US"/>
        </w:rPr>
        <w:t xml:space="preserve"> have included racism, religion</w:t>
      </w:r>
      <w:r w:rsidR="00E757E2" w:rsidRPr="0040227B">
        <w:rPr>
          <w:rFonts w:ascii="Times New Roman" w:eastAsia="Times New Roman" w:hAnsi="Times New Roman" w:cs="Times New Roman"/>
          <w:sz w:val="20"/>
          <w:szCs w:val="20"/>
          <w:lang w:bidi="en-US"/>
        </w:rPr>
        <w:t xml:space="preserve">, </w:t>
      </w:r>
      <w:r w:rsidRPr="0040227B">
        <w:rPr>
          <w:rFonts w:ascii="Times New Roman" w:eastAsia="Times New Roman" w:hAnsi="Times New Roman" w:cs="Times New Roman"/>
          <w:sz w:val="20"/>
          <w:szCs w:val="20"/>
          <w:lang w:bidi="en-US"/>
        </w:rPr>
        <w:t>environmental politics</w:t>
      </w:r>
      <w:r w:rsidR="00E757E2" w:rsidRPr="0040227B">
        <w:rPr>
          <w:rFonts w:ascii="Times New Roman" w:eastAsia="Times New Roman" w:hAnsi="Times New Roman" w:cs="Times New Roman"/>
          <w:sz w:val="20"/>
          <w:szCs w:val="20"/>
          <w:lang w:bidi="en-US"/>
        </w:rPr>
        <w:t xml:space="preserve"> and violent anti-abortion activism</w:t>
      </w:r>
      <w:r w:rsidRPr="0040227B">
        <w:rPr>
          <w:rFonts w:ascii="Times New Roman" w:eastAsia="Times New Roman" w:hAnsi="Times New Roman" w:cs="Times New Roman"/>
          <w:sz w:val="20"/>
          <w:szCs w:val="20"/>
          <w:lang w:bidi="en-US"/>
        </w:rPr>
        <w:t>.</w:t>
      </w:r>
      <w:r w:rsidR="00E757E2" w:rsidRPr="0040227B">
        <w:rPr>
          <w:rFonts w:ascii="Times New Roman" w:eastAsia="Times New Roman" w:hAnsi="Times New Roman" w:cs="Times New Roman"/>
          <w:sz w:val="20"/>
          <w:szCs w:val="20"/>
          <w:lang w:bidi="en-US"/>
        </w:rPr>
        <w:t xml:space="preserve"> Because perceptions of </w:t>
      </w:r>
      <w:r w:rsidR="00817701" w:rsidRPr="0040227B">
        <w:rPr>
          <w:rFonts w:ascii="Times New Roman" w:eastAsia="Times New Roman" w:hAnsi="Times New Roman" w:cs="Times New Roman"/>
          <w:sz w:val="20"/>
          <w:szCs w:val="20"/>
          <w:lang w:bidi="en-US"/>
        </w:rPr>
        <w:t>terrorism can be shaped</w:t>
      </w:r>
      <w:r w:rsidR="00723F67" w:rsidRPr="0040227B">
        <w:rPr>
          <w:rFonts w:ascii="Times New Roman" w:eastAsia="Times New Roman" w:hAnsi="Times New Roman" w:cs="Times New Roman"/>
          <w:sz w:val="20"/>
          <w:szCs w:val="20"/>
          <w:lang w:bidi="en-US"/>
        </w:rPr>
        <w:t xml:space="preserve"> by</w:t>
      </w:r>
      <w:r w:rsidR="00817701" w:rsidRPr="0040227B">
        <w:rPr>
          <w:rFonts w:ascii="Times New Roman" w:eastAsia="Times New Roman" w:hAnsi="Times New Roman" w:cs="Times New Roman"/>
          <w:sz w:val="20"/>
          <w:szCs w:val="20"/>
          <w:lang w:bidi="en-US"/>
        </w:rPr>
        <w:t xml:space="preserve"> </w:t>
      </w:r>
      <w:r w:rsidR="00E757E2" w:rsidRPr="0040227B">
        <w:rPr>
          <w:rFonts w:ascii="Times New Roman" w:eastAsia="Times New Roman" w:hAnsi="Times New Roman" w:cs="Times New Roman"/>
          <w:sz w:val="20"/>
          <w:szCs w:val="20"/>
          <w:lang w:bidi="en-US"/>
        </w:rPr>
        <w:t>recent events it is important to note that only 22 of 318 acts of terrorism</w:t>
      </w:r>
      <w:r w:rsidR="00E757E2" w:rsidRPr="0040227B">
        <w:rPr>
          <w:rStyle w:val="FootnoteReference"/>
          <w:rFonts w:ascii="Times New Roman" w:eastAsia="Times New Roman" w:hAnsi="Times New Roman" w:cs="Times New Roman"/>
          <w:sz w:val="20"/>
          <w:szCs w:val="20"/>
          <w:lang w:bidi="en-US"/>
        </w:rPr>
        <w:footnoteReference w:id="10"/>
      </w:r>
      <w:r w:rsidR="00E757E2" w:rsidRPr="0040227B">
        <w:rPr>
          <w:rFonts w:ascii="Times New Roman" w:eastAsia="Times New Roman" w:hAnsi="Times New Roman" w:cs="Times New Roman"/>
          <w:sz w:val="20"/>
          <w:szCs w:val="20"/>
          <w:lang w:bidi="en-US"/>
        </w:rPr>
        <w:t xml:space="preserve"> carried out in the United States</w:t>
      </w:r>
      <w:r w:rsidRPr="0040227B">
        <w:rPr>
          <w:rFonts w:ascii="Times New Roman" w:eastAsia="Times New Roman" w:hAnsi="Times New Roman" w:cs="Times New Roman"/>
          <w:sz w:val="20"/>
          <w:szCs w:val="20"/>
          <w:lang w:bidi="en-US"/>
        </w:rPr>
        <w:t xml:space="preserve"> </w:t>
      </w:r>
      <w:r w:rsidR="00E757E2" w:rsidRPr="0040227B">
        <w:rPr>
          <w:rFonts w:ascii="Times New Roman" w:eastAsia="Times New Roman" w:hAnsi="Times New Roman" w:cs="Times New Roman"/>
          <w:sz w:val="20"/>
          <w:szCs w:val="20"/>
          <w:lang w:bidi="en-US"/>
        </w:rPr>
        <w:t>between 1980 and 2005 were attributable to Islamic extremists (Webster Commission 2012, p.6). Lone wolf terrorists who carried out attack</w:t>
      </w:r>
      <w:r w:rsidR="000A24B8" w:rsidRPr="0040227B">
        <w:rPr>
          <w:rFonts w:ascii="Times New Roman" w:eastAsia="Times New Roman" w:hAnsi="Times New Roman" w:cs="Times New Roman"/>
          <w:sz w:val="20"/>
          <w:szCs w:val="20"/>
          <w:lang w:bidi="en-US"/>
        </w:rPr>
        <w:t>s</w:t>
      </w:r>
      <w:r w:rsidR="00E757E2" w:rsidRPr="0040227B">
        <w:rPr>
          <w:rFonts w:ascii="Times New Roman" w:eastAsia="Times New Roman" w:hAnsi="Times New Roman" w:cs="Times New Roman"/>
          <w:sz w:val="20"/>
          <w:szCs w:val="20"/>
          <w:lang w:bidi="en-US"/>
        </w:rPr>
        <w:t xml:space="preserve"> on abortion clinics and staff and </w:t>
      </w:r>
      <w:r w:rsidR="00E757E2" w:rsidRPr="0040227B">
        <w:rPr>
          <w:rFonts w:ascii="Times New Roman" w:eastAsia="Times New Roman" w:hAnsi="Times New Roman" w:cs="Times New Roman"/>
          <w:sz w:val="20"/>
          <w:szCs w:val="20"/>
          <w:lang w:bidi="en-US"/>
        </w:rPr>
        <w:lastRenderedPageBreak/>
        <w:t xml:space="preserve">the number of injuries and fatalities they inflicted are Michael Griffin (1), Rachelle Shannon (1), Paul J. Hill (3), John </w:t>
      </w:r>
      <w:proofErr w:type="spellStart"/>
      <w:r w:rsidR="00E757E2" w:rsidRPr="0040227B">
        <w:rPr>
          <w:rFonts w:ascii="Times New Roman" w:eastAsia="Times New Roman" w:hAnsi="Times New Roman" w:cs="Times New Roman"/>
          <w:sz w:val="20"/>
          <w:szCs w:val="20"/>
          <w:lang w:bidi="en-US"/>
        </w:rPr>
        <w:t>Salvi</w:t>
      </w:r>
      <w:proofErr w:type="spellEnd"/>
      <w:r w:rsidR="00E757E2" w:rsidRPr="0040227B">
        <w:rPr>
          <w:rFonts w:ascii="Times New Roman" w:eastAsia="Times New Roman" w:hAnsi="Times New Roman" w:cs="Times New Roman"/>
          <w:sz w:val="20"/>
          <w:szCs w:val="20"/>
          <w:lang w:bidi="en-US"/>
        </w:rPr>
        <w:t xml:space="preserve"> (7), James C. Kopp (1) and Scott Roeder</w:t>
      </w:r>
      <w:r w:rsidR="00E757E2" w:rsidRPr="0040227B">
        <w:rPr>
          <w:rStyle w:val="FootnoteReference"/>
          <w:rFonts w:ascii="Times New Roman" w:hAnsi="Times New Roman" w:cs="Times New Roman"/>
          <w:sz w:val="20"/>
          <w:szCs w:val="20"/>
        </w:rPr>
        <w:footnoteReference w:id="11"/>
      </w:r>
      <w:r w:rsidR="00E757E2" w:rsidRPr="0040227B">
        <w:rPr>
          <w:rFonts w:ascii="Times New Roman" w:eastAsia="Times New Roman" w:hAnsi="Times New Roman" w:cs="Times New Roman"/>
          <w:sz w:val="20"/>
          <w:szCs w:val="20"/>
          <w:lang w:bidi="en-US"/>
        </w:rPr>
        <w:t xml:space="preserve"> (1). Lone wolf terrorists who accumulated victims in serial attacks over time are </w:t>
      </w:r>
      <w:r w:rsidR="003C6D56" w:rsidRPr="0040227B">
        <w:rPr>
          <w:rFonts w:ascii="Times New Roman" w:eastAsia="Times New Roman" w:hAnsi="Times New Roman" w:cs="Times New Roman"/>
          <w:sz w:val="20"/>
          <w:szCs w:val="20"/>
          <w:lang w:bidi="en-US"/>
        </w:rPr>
        <w:t xml:space="preserve">Byron De La Beckwith (1), </w:t>
      </w:r>
      <w:r w:rsidR="00E757E2" w:rsidRPr="0040227B">
        <w:rPr>
          <w:rFonts w:ascii="Times New Roman" w:eastAsia="Times New Roman" w:hAnsi="Times New Roman" w:cs="Times New Roman"/>
          <w:sz w:val="20"/>
          <w:szCs w:val="20"/>
          <w:lang w:bidi="en-US"/>
        </w:rPr>
        <w:t xml:space="preserve">Neal Long (17), Joseph Paul Franklin (23), Joseph Christopher (12) and Frank </w:t>
      </w:r>
      <w:proofErr w:type="spellStart"/>
      <w:r w:rsidR="00E757E2" w:rsidRPr="0040227B">
        <w:rPr>
          <w:rFonts w:ascii="Times New Roman" w:eastAsia="Times New Roman" w:hAnsi="Times New Roman" w:cs="Times New Roman"/>
          <w:sz w:val="20"/>
          <w:szCs w:val="20"/>
          <w:lang w:bidi="en-US"/>
        </w:rPr>
        <w:t>Spisak</w:t>
      </w:r>
      <w:proofErr w:type="spellEnd"/>
      <w:r w:rsidR="00E757E2" w:rsidRPr="0040227B">
        <w:rPr>
          <w:rFonts w:ascii="Times New Roman" w:eastAsia="Times New Roman" w:hAnsi="Times New Roman" w:cs="Times New Roman"/>
          <w:sz w:val="20"/>
          <w:szCs w:val="20"/>
          <w:lang w:bidi="en-US"/>
        </w:rPr>
        <w:t xml:space="preserve"> Jr. (5). </w:t>
      </w:r>
      <w:r w:rsidR="009777C8" w:rsidRPr="0040227B">
        <w:rPr>
          <w:rFonts w:ascii="Times New Roman" w:eastAsia="Times New Roman" w:hAnsi="Times New Roman" w:cs="Times New Roman"/>
          <w:sz w:val="20"/>
          <w:szCs w:val="20"/>
          <w:lang w:bidi="en-US"/>
        </w:rPr>
        <w:t xml:space="preserve">The largest category is that which contains the spree shooters or lone wolf terrorists who inflicted multiple injuries and fatalities in time-concentrated acts of violence. These individuals are: Mark Essex (22), Mir </w:t>
      </w:r>
      <w:proofErr w:type="spellStart"/>
      <w:r w:rsidR="009777C8" w:rsidRPr="0040227B">
        <w:rPr>
          <w:rFonts w:ascii="Times New Roman" w:eastAsia="Times New Roman" w:hAnsi="Times New Roman" w:cs="Times New Roman"/>
          <w:sz w:val="20"/>
          <w:szCs w:val="20"/>
          <w:lang w:bidi="en-US"/>
        </w:rPr>
        <w:t>Aimal</w:t>
      </w:r>
      <w:proofErr w:type="spellEnd"/>
      <w:r w:rsidR="009777C8" w:rsidRPr="0040227B">
        <w:rPr>
          <w:rFonts w:ascii="Times New Roman" w:eastAsia="Times New Roman" w:hAnsi="Times New Roman" w:cs="Times New Roman"/>
          <w:sz w:val="20"/>
          <w:szCs w:val="20"/>
          <w:lang w:bidi="en-US"/>
        </w:rPr>
        <w:t xml:space="preserve"> </w:t>
      </w:r>
      <w:proofErr w:type="spellStart"/>
      <w:r w:rsidR="009777C8" w:rsidRPr="0040227B">
        <w:rPr>
          <w:rFonts w:ascii="Times New Roman" w:eastAsia="Times New Roman" w:hAnsi="Times New Roman" w:cs="Times New Roman"/>
          <w:sz w:val="20"/>
          <w:szCs w:val="20"/>
          <w:lang w:bidi="en-US"/>
        </w:rPr>
        <w:t>Kansi</w:t>
      </w:r>
      <w:proofErr w:type="spellEnd"/>
      <w:r w:rsidR="009777C8" w:rsidRPr="0040227B">
        <w:rPr>
          <w:rFonts w:ascii="Times New Roman" w:eastAsia="Times New Roman" w:hAnsi="Times New Roman" w:cs="Times New Roman"/>
          <w:sz w:val="20"/>
          <w:szCs w:val="20"/>
          <w:lang w:bidi="en-US"/>
        </w:rPr>
        <w:t xml:space="preserve"> (5), Colin Ferguson (25), Rashid </w:t>
      </w:r>
      <w:proofErr w:type="spellStart"/>
      <w:r w:rsidR="009777C8" w:rsidRPr="0040227B">
        <w:rPr>
          <w:rFonts w:ascii="Times New Roman" w:eastAsia="Times New Roman" w:hAnsi="Times New Roman" w:cs="Times New Roman"/>
          <w:sz w:val="20"/>
          <w:szCs w:val="20"/>
          <w:lang w:bidi="en-US"/>
        </w:rPr>
        <w:t>Baz</w:t>
      </w:r>
      <w:proofErr w:type="spellEnd"/>
      <w:r w:rsidR="009777C8" w:rsidRPr="0040227B">
        <w:rPr>
          <w:rFonts w:ascii="Times New Roman" w:eastAsia="Times New Roman" w:hAnsi="Times New Roman" w:cs="Times New Roman"/>
          <w:sz w:val="20"/>
          <w:szCs w:val="20"/>
          <w:lang w:bidi="en-US"/>
        </w:rPr>
        <w:t xml:space="preserve"> (3), Larry Shoemake (12), Ali Hasan Abu Kamal (8), Buford Furrow (6), Ronald Taylor (5), Richard </w:t>
      </w:r>
      <w:proofErr w:type="spellStart"/>
      <w:r w:rsidR="009777C8" w:rsidRPr="0040227B">
        <w:rPr>
          <w:rFonts w:ascii="Times New Roman" w:eastAsia="Times New Roman" w:hAnsi="Times New Roman" w:cs="Times New Roman"/>
          <w:sz w:val="20"/>
          <w:szCs w:val="20"/>
          <w:lang w:bidi="en-US"/>
        </w:rPr>
        <w:t>Bauhammers</w:t>
      </w:r>
      <w:proofErr w:type="spellEnd"/>
      <w:r w:rsidR="009777C8" w:rsidRPr="0040227B">
        <w:rPr>
          <w:rFonts w:ascii="Times New Roman" w:eastAsia="Times New Roman" w:hAnsi="Times New Roman" w:cs="Times New Roman"/>
          <w:sz w:val="20"/>
          <w:szCs w:val="20"/>
          <w:lang w:bidi="en-US"/>
        </w:rPr>
        <w:t xml:space="preserve"> (6), </w:t>
      </w:r>
      <w:proofErr w:type="spellStart"/>
      <w:r w:rsidR="009777C8" w:rsidRPr="0040227B">
        <w:rPr>
          <w:rFonts w:ascii="Times New Roman" w:eastAsia="Times New Roman" w:hAnsi="Times New Roman" w:cs="Times New Roman"/>
          <w:sz w:val="20"/>
          <w:szCs w:val="20"/>
          <w:lang w:bidi="en-US"/>
        </w:rPr>
        <w:t>Hesham</w:t>
      </w:r>
      <w:proofErr w:type="spellEnd"/>
      <w:r w:rsidR="009777C8" w:rsidRPr="0040227B">
        <w:rPr>
          <w:rFonts w:ascii="Times New Roman" w:eastAsia="Times New Roman" w:hAnsi="Times New Roman" w:cs="Times New Roman"/>
          <w:sz w:val="20"/>
          <w:szCs w:val="20"/>
          <w:lang w:bidi="en-US"/>
        </w:rPr>
        <w:t xml:space="preserve"> Mohamed Ali </w:t>
      </w:r>
      <w:proofErr w:type="spellStart"/>
      <w:r w:rsidR="009777C8" w:rsidRPr="0040227B">
        <w:rPr>
          <w:rFonts w:ascii="Times New Roman" w:eastAsia="Times New Roman" w:hAnsi="Times New Roman" w:cs="Times New Roman"/>
          <w:sz w:val="20"/>
          <w:szCs w:val="20"/>
          <w:lang w:bidi="en-US"/>
        </w:rPr>
        <w:t>Hadayet</w:t>
      </w:r>
      <w:proofErr w:type="spellEnd"/>
      <w:r w:rsidR="009777C8" w:rsidRPr="0040227B">
        <w:rPr>
          <w:rFonts w:ascii="Times New Roman" w:eastAsia="Times New Roman" w:hAnsi="Times New Roman" w:cs="Times New Roman"/>
          <w:sz w:val="20"/>
          <w:szCs w:val="20"/>
          <w:lang w:bidi="en-US"/>
        </w:rPr>
        <w:t xml:space="preserve"> (6), </w:t>
      </w:r>
      <w:proofErr w:type="spellStart"/>
      <w:r w:rsidR="009777C8" w:rsidRPr="0040227B">
        <w:rPr>
          <w:rFonts w:ascii="Times New Roman" w:eastAsia="Times New Roman" w:hAnsi="Times New Roman" w:cs="Times New Roman"/>
          <w:sz w:val="20"/>
          <w:szCs w:val="20"/>
          <w:lang w:bidi="en-US"/>
        </w:rPr>
        <w:t>Naveed</w:t>
      </w:r>
      <w:proofErr w:type="spellEnd"/>
      <w:r w:rsidR="009777C8" w:rsidRPr="0040227B">
        <w:rPr>
          <w:rFonts w:ascii="Times New Roman" w:eastAsia="Times New Roman" w:hAnsi="Times New Roman" w:cs="Times New Roman"/>
          <w:sz w:val="20"/>
          <w:szCs w:val="20"/>
          <w:lang w:bidi="en-US"/>
        </w:rPr>
        <w:t xml:space="preserve"> Afzal </w:t>
      </w:r>
      <w:proofErr w:type="spellStart"/>
      <w:r w:rsidR="009777C8" w:rsidRPr="0040227B">
        <w:rPr>
          <w:rFonts w:ascii="Times New Roman" w:eastAsia="Times New Roman" w:hAnsi="Times New Roman" w:cs="Times New Roman"/>
          <w:sz w:val="20"/>
          <w:szCs w:val="20"/>
          <w:lang w:bidi="en-US"/>
        </w:rPr>
        <w:t>H</w:t>
      </w:r>
      <w:r w:rsidR="00CD547A" w:rsidRPr="0040227B">
        <w:rPr>
          <w:rFonts w:ascii="Times New Roman" w:eastAsia="Times New Roman" w:hAnsi="Times New Roman" w:cs="Times New Roman"/>
          <w:sz w:val="20"/>
          <w:szCs w:val="20"/>
          <w:lang w:bidi="en-US"/>
        </w:rPr>
        <w:t>aq</w:t>
      </w:r>
      <w:proofErr w:type="spellEnd"/>
      <w:r w:rsidR="00CD547A" w:rsidRPr="0040227B">
        <w:rPr>
          <w:rFonts w:ascii="Times New Roman" w:eastAsia="Times New Roman" w:hAnsi="Times New Roman" w:cs="Times New Roman"/>
          <w:sz w:val="20"/>
          <w:szCs w:val="20"/>
          <w:lang w:bidi="en-US"/>
        </w:rPr>
        <w:t xml:space="preserve"> (6) and </w:t>
      </w:r>
      <w:proofErr w:type="spellStart"/>
      <w:r w:rsidR="00CD547A" w:rsidRPr="0040227B">
        <w:rPr>
          <w:rFonts w:ascii="Times New Roman" w:eastAsia="Times New Roman" w:hAnsi="Times New Roman" w:cs="Times New Roman"/>
          <w:sz w:val="20"/>
          <w:szCs w:val="20"/>
          <w:lang w:bidi="en-US"/>
        </w:rPr>
        <w:t>Nidal</w:t>
      </w:r>
      <w:proofErr w:type="spellEnd"/>
      <w:r w:rsidR="00CD547A" w:rsidRPr="0040227B">
        <w:rPr>
          <w:rFonts w:ascii="Times New Roman" w:eastAsia="Times New Roman" w:hAnsi="Times New Roman" w:cs="Times New Roman"/>
          <w:sz w:val="20"/>
          <w:szCs w:val="20"/>
          <w:lang w:bidi="en-US"/>
        </w:rPr>
        <w:t xml:space="preserve"> Malik Hasan (55</w:t>
      </w:r>
      <w:r w:rsidR="009777C8" w:rsidRPr="0040227B">
        <w:rPr>
          <w:rFonts w:ascii="Times New Roman" w:eastAsia="Times New Roman" w:hAnsi="Times New Roman" w:cs="Times New Roman"/>
          <w:sz w:val="20"/>
          <w:szCs w:val="20"/>
          <w:lang w:bidi="en-US"/>
        </w:rPr>
        <w:t xml:space="preserve">). Lastly, there are the lone wolf terrorist bombers. These individuals are George </w:t>
      </w:r>
      <w:proofErr w:type="spellStart"/>
      <w:r w:rsidR="009777C8" w:rsidRPr="0040227B">
        <w:rPr>
          <w:rFonts w:ascii="Times New Roman" w:eastAsia="Times New Roman" w:hAnsi="Times New Roman" w:cs="Times New Roman"/>
          <w:sz w:val="20"/>
          <w:szCs w:val="20"/>
          <w:lang w:bidi="en-US"/>
        </w:rPr>
        <w:t>Metesky</w:t>
      </w:r>
      <w:proofErr w:type="spellEnd"/>
      <w:r w:rsidR="009777C8" w:rsidRPr="0040227B">
        <w:rPr>
          <w:rFonts w:ascii="Times New Roman" w:eastAsia="Times New Roman" w:hAnsi="Times New Roman" w:cs="Times New Roman"/>
          <w:sz w:val="20"/>
          <w:szCs w:val="20"/>
          <w:lang w:bidi="en-US"/>
        </w:rPr>
        <w:t xml:space="preserve"> (15), </w:t>
      </w:r>
      <w:proofErr w:type="spellStart"/>
      <w:r w:rsidR="009777C8" w:rsidRPr="0040227B">
        <w:rPr>
          <w:rFonts w:ascii="Times New Roman" w:eastAsia="Times New Roman" w:hAnsi="Times New Roman" w:cs="Times New Roman"/>
          <w:sz w:val="20"/>
          <w:szCs w:val="20"/>
          <w:lang w:bidi="en-US"/>
        </w:rPr>
        <w:t>Muharem</w:t>
      </w:r>
      <w:proofErr w:type="spellEnd"/>
      <w:r w:rsidR="009777C8" w:rsidRPr="0040227B">
        <w:rPr>
          <w:rFonts w:ascii="Times New Roman" w:eastAsia="Times New Roman" w:hAnsi="Times New Roman" w:cs="Times New Roman"/>
          <w:sz w:val="20"/>
          <w:szCs w:val="20"/>
          <w:lang w:bidi="en-US"/>
        </w:rPr>
        <w:t xml:space="preserve"> </w:t>
      </w:r>
      <w:proofErr w:type="spellStart"/>
      <w:r w:rsidR="009777C8" w:rsidRPr="0040227B">
        <w:rPr>
          <w:rFonts w:ascii="Times New Roman" w:eastAsia="Times New Roman" w:hAnsi="Times New Roman" w:cs="Times New Roman"/>
          <w:sz w:val="20"/>
          <w:szCs w:val="20"/>
          <w:lang w:bidi="en-US"/>
        </w:rPr>
        <w:t>Kurbegovich</w:t>
      </w:r>
      <w:proofErr w:type="spellEnd"/>
      <w:r w:rsidR="009777C8" w:rsidRPr="0040227B">
        <w:rPr>
          <w:rFonts w:ascii="Times New Roman" w:eastAsia="Times New Roman" w:hAnsi="Times New Roman" w:cs="Times New Roman"/>
          <w:sz w:val="20"/>
          <w:szCs w:val="20"/>
          <w:lang w:bidi="en-US"/>
        </w:rPr>
        <w:t xml:space="preserve"> (38), Theodore Kaczynski (26), Walter Leroy Moody Jr. (2) and Eric Rudolph (153). </w:t>
      </w:r>
    </w:p>
    <w:p w:rsidR="009777C8" w:rsidRPr="0040227B" w:rsidRDefault="009777C8" w:rsidP="0040227B">
      <w:pPr>
        <w:spacing w:after="0" w:line="480" w:lineRule="auto"/>
        <w:jc w:val="both"/>
        <w:rPr>
          <w:rFonts w:ascii="Times New Roman" w:eastAsia="Times New Roman" w:hAnsi="Times New Roman" w:cs="Times New Roman"/>
          <w:sz w:val="20"/>
          <w:szCs w:val="20"/>
          <w:lang w:bidi="en-US"/>
        </w:rPr>
      </w:pPr>
    </w:p>
    <w:p w:rsidR="00646E2C" w:rsidRPr="0040227B" w:rsidRDefault="007C0BA6" w:rsidP="0040227B">
      <w:pPr>
        <w:spacing w:after="0" w:line="480" w:lineRule="auto"/>
        <w:jc w:val="both"/>
        <w:rPr>
          <w:rFonts w:ascii="Times New Roman" w:eastAsia="Times New Roman" w:hAnsi="Times New Roman" w:cs="Times New Roman"/>
          <w:sz w:val="20"/>
          <w:szCs w:val="20"/>
          <w:lang w:bidi="en-US"/>
        </w:rPr>
      </w:pPr>
      <w:r w:rsidRPr="0040227B">
        <w:rPr>
          <w:rFonts w:ascii="Times New Roman" w:eastAsia="Times New Roman" w:hAnsi="Times New Roman" w:cs="Times New Roman"/>
          <w:sz w:val="20"/>
          <w:szCs w:val="20"/>
          <w:lang w:bidi="en-US"/>
        </w:rPr>
        <w:t>Across the history of American lone wolf terrorism the average (mean) number of injuries and fatalities inflicted by each lone wolf terrorist in the United States is 14.64 injuries and fatalities</w:t>
      </w:r>
      <w:r w:rsidRPr="0040227B">
        <w:rPr>
          <w:rStyle w:val="FootnoteReference"/>
          <w:rFonts w:ascii="Times New Roman" w:eastAsia="Times New Roman" w:hAnsi="Times New Roman" w:cs="Times New Roman"/>
          <w:sz w:val="20"/>
          <w:szCs w:val="20"/>
          <w:lang w:bidi="en-US"/>
        </w:rPr>
        <w:footnoteReference w:id="12"/>
      </w:r>
      <w:r w:rsidRPr="0040227B">
        <w:rPr>
          <w:rFonts w:ascii="Times New Roman" w:eastAsia="Times New Roman" w:hAnsi="Times New Roman" w:cs="Times New Roman"/>
          <w:sz w:val="20"/>
          <w:szCs w:val="20"/>
          <w:lang w:bidi="en-US"/>
        </w:rPr>
        <w:t xml:space="preserve">. </w:t>
      </w:r>
      <w:r w:rsidR="00243164" w:rsidRPr="0040227B">
        <w:rPr>
          <w:rFonts w:ascii="Times New Roman" w:eastAsia="Times New Roman" w:hAnsi="Times New Roman" w:cs="Times New Roman"/>
          <w:sz w:val="20"/>
          <w:szCs w:val="20"/>
          <w:lang w:bidi="en-US"/>
        </w:rPr>
        <w:t>By comparison, l</w:t>
      </w:r>
      <w:r w:rsidR="00C41C82" w:rsidRPr="0040227B">
        <w:rPr>
          <w:rFonts w:ascii="Times New Roman" w:eastAsia="Times New Roman" w:hAnsi="Times New Roman" w:cs="Times New Roman"/>
          <w:sz w:val="20"/>
          <w:szCs w:val="20"/>
          <w:lang w:bidi="en-US"/>
        </w:rPr>
        <w:t xml:space="preserve">one wolf terrorists in Europe have, </w:t>
      </w:r>
      <w:r w:rsidR="00723F67" w:rsidRPr="0040227B">
        <w:rPr>
          <w:rFonts w:ascii="Times New Roman" w:eastAsia="Times New Roman" w:hAnsi="Times New Roman" w:cs="Times New Roman"/>
          <w:sz w:val="20"/>
          <w:szCs w:val="20"/>
          <w:lang w:bidi="en-US"/>
        </w:rPr>
        <w:t>in general</w:t>
      </w:r>
      <w:r w:rsidR="00C41C82" w:rsidRPr="0040227B">
        <w:rPr>
          <w:rFonts w:ascii="Times New Roman" w:eastAsia="Times New Roman" w:hAnsi="Times New Roman" w:cs="Times New Roman"/>
          <w:sz w:val="20"/>
          <w:szCs w:val="20"/>
          <w:lang w:bidi="en-US"/>
        </w:rPr>
        <w:t>, inflicted far fewer injuries and fatalities per attack than their counterparts in the United States</w:t>
      </w:r>
      <w:r w:rsidR="00C41C82" w:rsidRPr="0040227B">
        <w:rPr>
          <w:rFonts w:ascii="Times New Roman" w:eastAsia="Times New Roman" w:hAnsi="Times New Roman" w:cs="Times New Roman"/>
          <w:sz w:val="20"/>
          <w:szCs w:val="20"/>
          <w:vertAlign w:val="superscript"/>
          <w:lang w:bidi="en-US"/>
        </w:rPr>
        <w:footnoteReference w:id="13"/>
      </w:r>
      <w:r w:rsidR="00C41C82" w:rsidRPr="0040227B">
        <w:rPr>
          <w:rFonts w:ascii="Times New Roman" w:eastAsia="Times New Roman" w:hAnsi="Times New Roman" w:cs="Times New Roman"/>
          <w:sz w:val="20"/>
          <w:szCs w:val="20"/>
          <w:lang w:bidi="en-US"/>
        </w:rPr>
        <w:t xml:space="preserve">. Across 38 incidences of lone wolf terrorism </w:t>
      </w:r>
      <w:r w:rsidR="00090508" w:rsidRPr="0040227B">
        <w:rPr>
          <w:rFonts w:ascii="Times New Roman" w:eastAsia="Times New Roman" w:hAnsi="Times New Roman" w:cs="Times New Roman"/>
          <w:sz w:val="20"/>
          <w:szCs w:val="20"/>
          <w:lang w:bidi="en-US"/>
        </w:rPr>
        <w:t xml:space="preserve">in Europe </w:t>
      </w:r>
      <w:r w:rsidR="00C41C82" w:rsidRPr="0040227B">
        <w:rPr>
          <w:rFonts w:ascii="Times New Roman" w:eastAsia="Times New Roman" w:hAnsi="Times New Roman" w:cs="Times New Roman"/>
          <w:sz w:val="20"/>
          <w:szCs w:val="20"/>
          <w:lang w:bidi="en-US"/>
        </w:rPr>
        <w:t xml:space="preserve">between 1968 and 2007, those lone </w:t>
      </w:r>
      <w:r w:rsidR="00090508" w:rsidRPr="0040227B">
        <w:rPr>
          <w:rFonts w:ascii="Times New Roman" w:eastAsia="Times New Roman" w:hAnsi="Times New Roman" w:cs="Times New Roman"/>
          <w:sz w:val="20"/>
          <w:szCs w:val="20"/>
          <w:lang w:bidi="en-US"/>
        </w:rPr>
        <w:t>terrorists</w:t>
      </w:r>
      <w:r w:rsidR="00C41C82" w:rsidRPr="0040227B">
        <w:rPr>
          <w:rFonts w:ascii="Times New Roman" w:eastAsia="Times New Roman" w:hAnsi="Times New Roman" w:cs="Times New Roman"/>
          <w:sz w:val="20"/>
          <w:szCs w:val="20"/>
          <w:lang w:bidi="en-US"/>
        </w:rPr>
        <w:t xml:space="preserve"> who inflicted more than one injury or fatality included ‘The Italian Unabomber’ who injured 7 people between 2000 and 2005, </w:t>
      </w:r>
      <w:proofErr w:type="spellStart"/>
      <w:r w:rsidR="00C41C82" w:rsidRPr="0040227B">
        <w:rPr>
          <w:rFonts w:ascii="Times New Roman" w:eastAsia="Times New Roman" w:hAnsi="Times New Roman" w:cs="Times New Roman"/>
          <w:sz w:val="20"/>
          <w:szCs w:val="20"/>
          <w:lang w:bidi="en-US"/>
        </w:rPr>
        <w:t>Guillem</w:t>
      </w:r>
      <w:proofErr w:type="spellEnd"/>
      <w:r w:rsidR="00C41C82" w:rsidRPr="0040227B">
        <w:rPr>
          <w:rFonts w:ascii="Times New Roman" w:eastAsia="Times New Roman" w:hAnsi="Times New Roman" w:cs="Times New Roman"/>
          <w:sz w:val="20"/>
          <w:szCs w:val="20"/>
          <w:lang w:bidi="en-US"/>
        </w:rPr>
        <w:t xml:space="preserve"> G.B. who injured 2 people in Spain in 2002, Franz Fuchs who killed 4 and injured 15 in Austria in the 1990s, David Copeland who killed 3 and injured 129 in England in 1999 and an unidentified assailant who killed 1 and injured 4 in an armed attack on a salon in Germany i</w:t>
      </w:r>
      <w:r w:rsidR="00623838">
        <w:rPr>
          <w:rFonts w:ascii="Times New Roman" w:eastAsia="Times New Roman" w:hAnsi="Times New Roman" w:cs="Times New Roman"/>
          <w:sz w:val="20"/>
          <w:szCs w:val="20"/>
          <w:lang w:bidi="en-US"/>
        </w:rPr>
        <w:t>n 2000. Anders Behring Breivik</w:t>
      </w:r>
      <w:r w:rsidR="00C41C82" w:rsidRPr="0040227B">
        <w:rPr>
          <w:rFonts w:ascii="Times New Roman" w:eastAsia="Times New Roman" w:hAnsi="Times New Roman" w:cs="Times New Roman"/>
          <w:sz w:val="20"/>
          <w:szCs w:val="20"/>
          <w:lang w:bidi="en-US"/>
        </w:rPr>
        <w:t xml:space="preserve"> </w:t>
      </w:r>
      <w:r w:rsidR="00623838">
        <w:rPr>
          <w:rFonts w:ascii="Times New Roman" w:eastAsia="Times New Roman" w:hAnsi="Times New Roman" w:cs="Times New Roman"/>
          <w:sz w:val="20"/>
          <w:szCs w:val="20"/>
          <w:lang w:bidi="en-US"/>
        </w:rPr>
        <w:t xml:space="preserve">combined </w:t>
      </w:r>
      <w:r w:rsidR="000A24B8" w:rsidRPr="0040227B">
        <w:rPr>
          <w:rFonts w:ascii="Times New Roman" w:eastAsia="Times New Roman" w:hAnsi="Times New Roman" w:cs="Times New Roman"/>
          <w:sz w:val="20"/>
          <w:szCs w:val="20"/>
          <w:lang w:bidi="en-US"/>
        </w:rPr>
        <w:t>bombing and armed attack (shooting spree)</w:t>
      </w:r>
      <w:r w:rsidR="00623838">
        <w:rPr>
          <w:rFonts w:ascii="Times New Roman" w:eastAsia="Times New Roman" w:hAnsi="Times New Roman" w:cs="Times New Roman"/>
          <w:sz w:val="20"/>
          <w:szCs w:val="20"/>
          <w:lang w:bidi="en-US"/>
        </w:rPr>
        <w:t xml:space="preserve"> in Norway in 2011. He </w:t>
      </w:r>
      <w:r w:rsidR="00C41C82" w:rsidRPr="0040227B">
        <w:rPr>
          <w:rFonts w:ascii="Times New Roman" w:eastAsia="Times New Roman" w:hAnsi="Times New Roman" w:cs="Times New Roman"/>
          <w:sz w:val="20"/>
          <w:szCs w:val="20"/>
          <w:lang w:bidi="en-US"/>
        </w:rPr>
        <w:t xml:space="preserve">inflicted 77 fatalities and injured 151. </w:t>
      </w:r>
      <w:r w:rsidR="00F06C67" w:rsidRPr="0040227B">
        <w:rPr>
          <w:rFonts w:ascii="Times New Roman" w:eastAsia="Times New Roman" w:hAnsi="Times New Roman" w:cs="Times New Roman"/>
          <w:sz w:val="20"/>
          <w:szCs w:val="20"/>
          <w:lang w:bidi="en-US"/>
        </w:rPr>
        <w:t>These outcomes of terrorist actions perpetrated by predecessor lone wolf terrorists may become the reference points in t</w:t>
      </w:r>
      <w:r w:rsidR="000A24B8" w:rsidRPr="0040227B">
        <w:rPr>
          <w:rFonts w:ascii="Times New Roman" w:eastAsia="Times New Roman" w:hAnsi="Times New Roman" w:cs="Times New Roman"/>
          <w:sz w:val="20"/>
          <w:szCs w:val="20"/>
          <w:lang w:bidi="en-US"/>
        </w:rPr>
        <w:t xml:space="preserve">he choices of potential </w:t>
      </w:r>
      <w:r w:rsidR="00F06C67" w:rsidRPr="0040227B">
        <w:rPr>
          <w:rFonts w:ascii="Times New Roman" w:eastAsia="Times New Roman" w:hAnsi="Times New Roman" w:cs="Times New Roman"/>
          <w:sz w:val="20"/>
          <w:szCs w:val="20"/>
          <w:lang w:bidi="en-US"/>
        </w:rPr>
        <w:t>lone wolf terrorists</w:t>
      </w:r>
      <w:r w:rsidR="000A24B8" w:rsidRPr="0040227B">
        <w:rPr>
          <w:rFonts w:ascii="Times New Roman" w:eastAsia="Times New Roman" w:hAnsi="Times New Roman" w:cs="Times New Roman"/>
          <w:sz w:val="20"/>
          <w:szCs w:val="20"/>
          <w:lang w:bidi="en-US"/>
        </w:rPr>
        <w:t xml:space="preserve"> who seek to emulate a particular predecessor</w:t>
      </w:r>
      <w:r w:rsidR="00F06C67" w:rsidRPr="0040227B">
        <w:rPr>
          <w:rFonts w:ascii="Times New Roman" w:eastAsia="Times New Roman" w:hAnsi="Times New Roman" w:cs="Times New Roman"/>
          <w:sz w:val="20"/>
          <w:szCs w:val="20"/>
          <w:lang w:bidi="en-US"/>
        </w:rPr>
        <w:t xml:space="preserve">. </w:t>
      </w:r>
    </w:p>
    <w:p w:rsidR="007739D7" w:rsidRPr="0040227B" w:rsidRDefault="007739D7" w:rsidP="0040227B">
      <w:pPr>
        <w:spacing w:after="0" w:line="480" w:lineRule="auto"/>
        <w:jc w:val="both"/>
        <w:rPr>
          <w:rFonts w:ascii="Times New Roman" w:hAnsi="Times New Roman" w:cs="Times New Roman"/>
          <w:b/>
          <w:sz w:val="20"/>
          <w:szCs w:val="20"/>
        </w:rPr>
      </w:pPr>
    </w:p>
    <w:p w:rsidR="00BA142E" w:rsidRPr="0040227B" w:rsidRDefault="001A518A" w:rsidP="0040227B">
      <w:pPr>
        <w:spacing w:after="0" w:line="480" w:lineRule="auto"/>
        <w:jc w:val="both"/>
        <w:rPr>
          <w:rFonts w:ascii="Times New Roman" w:hAnsi="Times New Roman" w:cs="Times New Roman"/>
          <w:b/>
          <w:sz w:val="20"/>
          <w:szCs w:val="20"/>
        </w:rPr>
      </w:pPr>
      <w:r>
        <w:rPr>
          <w:rFonts w:ascii="Times New Roman" w:hAnsi="Times New Roman" w:cs="Times New Roman"/>
          <w:b/>
          <w:sz w:val="20"/>
          <w:szCs w:val="20"/>
        </w:rPr>
        <w:t>IV</w:t>
      </w:r>
      <w:r w:rsidR="00C90192" w:rsidRPr="0040227B">
        <w:rPr>
          <w:rFonts w:ascii="Times New Roman" w:hAnsi="Times New Roman" w:cs="Times New Roman"/>
          <w:b/>
          <w:sz w:val="20"/>
          <w:szCs w:val="20"/>
        </w:rPr>
        <w:t>. Preference Orderings of Attack Methods</w:t>
      </w:r>
    </w:p>
    <w:p w:rsidR="00BA142E" w:rsidRPr="0040227B" w:rsidRDefault="00BA142E" w:rsidP="0040227B">
      <w:pPr>
        <w:spacing w:after="0" w:line="480" w:lineRule="auto"/>
        <w:jc w:val="both"/>
        <w:rPr>
          <w:rFonts w:ascii="Times New Roman" w:hAnsi="Times New Roman" w:cs="Times New Roman"/>
          <w:sz w:val="20"/>
          <w:szCs w:val="20"/>
        </w:rPr>
      </w:pPr>
    </w:p>
    <w:p w:rsidR="00BA142E" w:rsidRPr="0040227B" w:rsidRDefault="00485E79" w:rsidP="0040227B">
      <w:pPr>
        <w:spacing w:after="0" w:line="480" w:lineRule="auto"/>
        <w:jc w:val="both"/>
        <w:rPr>
          <w:rFonts w:ascii="Times New Roman" w:eastAsia="Times New Roman" w:hAnsi="Times New Roman" w:cs="Times New Roman"/>
          <w:sz w:val="20"/>
          <w:szCs w:val="20"/>
          <w:lang w:bidi="en-US"/>
        </w:rPr>
      </w:pPr>
      <w:r w:rsidRPr="0040227B">
        <w:rPr>
          <w:rFonts w:ascii="Times New Roman" w:eastAsia="Times New Roman" w:hAnsi="Times New Roman" w:cs="Times New Roman"/>
          <w:sz w:val="20"/>
          <w:szCs w:val="20"/>
          <w:lang w:bidi="en-US"/>
        </w:rPr>
        <w:t>The</w:t>
      </w:r>
      <w:r w:rsidR="00881E2E" w:rsidRPr="0040227B">
        <w:rPr>
          <w:rFonts w:ascii="Times New Roman" w:eastAsia="Times New Roman" w:hAnsi="Times New Roman" w:cs="Times New Roman"/>
          <w:sz w:val="20"/>
          <w:szCs w:val="20"/>
          <w:lang w:bidi="en-US"/>
        </w:rPr>
        <w:t xml:space="preserve"> predecessor lone </w:t>
      </w:r>
      <w:r w:rsidR="00712D1D" w:rsidRPr="0040227B">
        <w:rPr>
          <w:rFonts w:ascii="Times New Roman" w:eastAsia="Times New Roman" w:hAnsi="Times New Roman" w:cs="Times New Roman"/>
          <w:sz w:val="20"/>
          <w:szCs w:val="20"/>
          <w:lang w:bidi="en-US"/>
        </w:rPr>
        <w:t>wolf terrorists</w:t>
      </w:r>
      <w:r w:rsidR="00881E2E" w:rsidRPr="0040227B">
        <w:rPr>
          <w:rFonts w:ascii="Times New Roman" w:eastAsia="Times New Roman" w:hAnsi="Times New Roman" w:cs="Times New Roman"/>
          <w:sz w:val="20"/>
          <w:szCs w:val="20"/>
          <w:lang w:bidi="en-US"/>
        </w:rPr>
        <w:t xml:space="preserve"> provide reference points </w:t>
      </w:r>
      <w:r w:rsidR="00D9520D" w:rsidRPr="0040227B">
        <w:rPr>
          <w:rFonts w:ascii="Times New Roman" w:eastAsia="Times New Roman" w:hAnsi="Times New Roman" w:cs="Times New Roman"/>
          <w:sz w:val="20"/>
          <w:szCs w:val="20"/>
          <w:lang w:bidi="en-US"/>
        </w:rPr>
        <w:t xml:space="preserve">that range from a single injury or fatality (offenders such as Griffin, Shannon and Roeder) </w:t>
      </w:r>
      <w:r w:rsidR="00881E2E" w:rsidRPr="0040227B">
        <w:rPr>
          <w:rFonts w:ascii="Times New Roman" w:eastAsia="Times New Roman" w:hAnsi="Times New Roman" w:cs="Times New Roman"/>
          <w:sz w:val="20"/>
          <w:szCs w:val="20"/>
          <w:lang w:bidi="en-US"/>
        </w:rPr>
        <w:t>to 228 injuries and fatalities</w:t>
      </w:r>
      <w:r w:rsidR="00D9520D" w:rsidRPr="0040227B">
        <w:rPr>
          <w:rFonts w:ascii="Times New Roman" w:eastAsia="Times New Roman" w:hAnsi="Times New Roman" w:cs="Times New Roman"/>
          <w:sz w:val="20"/>
          <w:szCs w:val="20"/>
          <w:lang w:bidi="en-US"/>
        </w:rPr>
        <w:t xml:space="preserve"> (Breivik)</w:t>
      </w:r>
      <w:r w:rsidR="00881E2E" w:rsidRPr="0040227B">
        <w:rPr>
          <w:rFonts w:ascii="Times New Roman" w:eastAsia="Times New Roman" w:hAnsi="Times New Roman" w:cs="Times New Roman"/>
          <w:sz w:val="20"/>
          <w:szCs w:val="20"/>
          <w:lang w:bidi="en-US"/>
        </w:rPr>
        <w:t xml:space="preserve">. These values </w:t>
      </w:r>
      <w:r w:rsidRPr="0040227B">
        <w:rPr>
          <w:rFonts w:ascii="Times New Roman" w:eastAsia="Times New Roman" w:hAnsi="Times New Roman" w:cs="Times New Roman"/>
          <w:sz w:val="20"/>
          <w:szCs w:val="20"/>
          <w:lang w:bidi="en-US"/>
        </w:rPr>
        <w:t xml:space="preserve">may be </w:t>
      </w:r>
      <w:r w:rsidRPr="0040227B">
        <w:rPr>
          <w:rFonts w:ascii="Times New Roman" w:eastAsia="Times New Roman" w:hAnsi="Times New Roman" w:cs="Times New Roman"/>
          <w:sz w:val="20"/>
          <w:szCs w:val="20"/>
          <w:lang w:bidi="en-US"/>
        </w:rPr>
        <w:lastRenderedPageBreak/>
        <w:t>relevant</w:t>
      </w:r>
      <w:r w:rsidR="00D9520D" w:rsidRPr="0040227B">
        <w:rPr>
          <w:rFonts w:ascii="Times New Roman" w:eastAsia="Times New Roman" w:hAnsi="Times New Roman" w:cs="Times New Roman"/>
          <w:sz w:val="20"/>
          <w:szCs w:val="20"/>
          <w:lang w:bidi="en-US"/>
        </w:rPr>
        <w:t xml:space="preserve"> to a potential</w:t>
      </w:r>
      <w:r w:rsidR="00881E2E" w:rsidRPr="0040227B">
        <w:rPr>
          <w:rFonts w:ascii="Times New Roman" w:eastAsia="Times New Roman" w:hAnsi="Times New Roman" w:cs="Times New Roman"/>
          <w:sz w:val="20"/>
          <w:szCs w:val="20"/>
          <w:lang w:bidi="en-US"/>
        </w:rPr>
        <w:t xml:space="preserve"> lone wolf terrorist who uses the outcomes of the terrorist actions of a predecessor as a reference point in evaluating and ranking alternative attack methods that he will pot</w:t>
      </w:r>
      <w:r w:rsidR="00D9520D" w:rsidRPr="0040227B">
        <w:rPr>
          <w:rFonts w:ascii="Times New Roman" w:eastAsia="Times New Roman" w:hAnsi="Times New Roman" w:cs="Times New Roman"/>
          <w:sz w:val="20"/>
          <w:szCs w:val="20"/>
          <w:lang w:bidi="en-US"/>
        </w:rPr>
        <w:t xml:space="preserve">entially deploy. We use prospect theory to </w:t>
      </w:r>
      <w:r w:rsidR="00881E2E" w:rsidRPr="0040227B">
        <w:rPr>
          <w:rFonts w:ascii="Times New Roman" w:eastAsia="Times New Roman" w:hAnsi="Times New Roman" w:cs="Times New Roman"/>
          <w:sz w:val="20"/>
          <w:szCs w:val="20"/>
          <w:lang w:bidi="en-US"/>
        </w:rPr>
        <w:t xml:space="preserve">determine the preference ordering over the available attack methods </w:t>
      </w:r>
      <w:r w:rsidR="00243164" w:rsidRPr="0040227B">
        <w:rPr>
          <w:rFonts w:ascii="Times New Roman" w:eastAsia="Times New Roman" w:hAnsi="Times New Roman" w:cs="Times New Roman"/>
          <w:sz w:val="20"/>
          <w:szCs w:val="20"/>
          <w:lang w:bidi="en-US"/>
        </w:rPr>
        <w:t>for</w:t>
      </w:r>
      <w:r w:rsidR="00881E2E" w:rsidRPr="0040227B">
        <w:rPr>
          <w:rFonts w:ascii="Times New Roman" w:eastAsia="Times New Roman" w:hAnsi="Times New Roman" w:cs="Times New Roman"/>
          <w:sz w:val="20"/>
          <w:szCs w:val="20"/>
          <w:lang w:bidi="en-US"/>
        </w:rPr>
        <w:t xml:space="preserve"> a prospective lone wolf terrorist whose decision making is described by prospect theory and who use</w:t>
      </w:r>
      <w:r w:rsidR="00743BED">
        <w:rPr>
          <w:rFonts w:ascii="Times New Roman" w:eastAsia="Times New Roman" w:hAnsi="Times New Roman" w:cs="Times New Roman"/>
          <w:sz w:val="20"/>
          <w:szCs w:val="20"/>
          <w:lang w:bidi="en-US"/>
        </w:rPr>
        <w:t xml:space="preserve">s the outcomes of the </w:t>
      </w:r>
      <w:r w:rsidR="00881E2E" w:rsidRPr="0040227B">
        <w:rPr>
          <w:rFonts w:ascii="Times New Roman" w:eastAsia="Times New Roman" w:hAnsi="Times New Roman" w:cs="Times New Roman"/>
          <w:sz w:val="20"/>
          <w:szCs w:val="20"/>
          <w:lang w:bidi="en-US"/>
        </w:rPr>
        <w:t>actions of a predecessor lone wolf as his reference point when choosing an attack method.</w:t>
      </w:r>
      <w:r w:rsidRPr="0040227B">
        <w:rPr>
          <w:rFonts w:ascii="Times New Roman" w:eastAsia="Times New Roman" w:hAnsi="Times New Roman" w:cs="Times New Roman"/>
          <w:sz w:val="20"/>
          <w:szCs w:val="20"/>
          <w:lang w:bidi="en-US"/>
        </w:rPr>
        <w:t xml:space="preserve"> The attack methods from which the lone wolf terrorist may choose are those encompassed by the RAND-MIPT attack method categories: armed attacks, arson, </w:t>
      </w:r>
      <w:proofErr w:type="gramStart"/>
      <w:r w:rsidRPr="0040227B">
        <w:rPr>
          <w:rFonts w:ascii="Times New Roman" w:eastAsia="Times New Roman" w:hAnsi="Times New Roman" w:cs="Times New Roman"/>
          <w:sz w:val="20"/>
          <w:szCs w:val="20"/>
          <w:lang w:bidi="en-US"/>
        </w:rPr>
        <w:t>assassination</w:t>
      </w:r>
      <w:proofErr w:type="gramEnd"/>
      <w:r w:rsidRPr="0040227B">
        <w:rPr>
          <w:rFonts w:ascii="Times New Roman" w:eastAsia="Times New Roman" w:hAnsi="Times New Roman" w:cs="Times New Roman"/>
          <w:sz w:val="20"/>
          <w:szCs w:val="20"/>
          <w:lang w:bidi="en-US"/>
        </w:rPr>
        <w:t>, hostage-taking, bombing, hijacking, kidnapping and unconventional attacks.</w:t>
      </w:r>
      <w:r w:rsidR="004238B5" w:rsidRPr="0040227B">
        <w:rPr>
          <w:rFonts w:ascii="Times New Roman" w:eastAsia="Times New Roman" w:hAnsi="Times New Roman" w:cs="Times New Roman"/>
          <w:sz w:val="20"/>
          <w:szCs w:val="20"/>
          <w:lang w:bidi="en-US"/>
        </w:rPr>
        <w:t xml:space="preserve"> The data that were used in this analysis are the RAND-MIPT historical record of injuries and fatalities associated with incidences of transnational terro</w:t>
      </w:r>
      <w:r w:rsidR="00712D1D" w:rsidRPr="0040227B">
        <w:rPr>
          <w:rFonts w:ascii="Times New Roman" w:eastAsia="Times New Roman" w:hAnsi="Times New Roman" w:cs="Times New Roman"/>
          <w:sz w:val="20"/>
          <w:szCs w:val="20"/>
          <w:lang w:bidi="en-US"/>
        </w:rPr>
        <w:t>rism for the period 1967 to 2007</w:t>
      </w:r>
      <w:r w:rsidR="004238B5" w:rsidRPr="0040227B">
        <w:rPr>
          <w:rFonts w:ascii="Times New Roman" w:eastAsia="Times New Roman" w:hAnsi="Times New Roman" w:cs="Times New Roman"/>
          <w:sz w:val="20"/>
          <w:szCs w:val="20"/>
          <w:lang w:bidi="en-US"/>
        </w:rPr>
        <w:t>. This serves two purposes. First, it provides a dataset that sits beyond the sample—lone wolf behaviour—being considered. Second, it provides a lengthy and comprehensive dataset on which to base an estimation of t</w:t>
      </w:r>
      <w:r w:rsidR="00D9520D" w:rsidRPr="0040227B">
        <w:rPr>
          <w:rFonts w:ascii="Times New Roman" w:eastAsia="Times New Roman" w:hAnsi="Times New Roman" w:cs="Times New Roman"/>
          <w:sz w:val="20"/>
          <w:szCs w:val="20"/>
          <w:lang w:bidi="en-US"/>
        </w:rPr>
        <w:t xml:space="preserve">he likelihood that a </w:t>
      </w:r>
      <w:r w:rsidR="004238B5" w:rsidRPr="0040227B">
        <w:rPr>
          <w:rFonts w:ascii="Times New Roman" w:eastAsia="Times New Roman" w:hAnsi="Times New Roman" w:cs="Times New Roman"/>
          <w:sz w:val="20"/>
          <w:szCs w:val="20"/>
          <w:lang w:bidi="en-US"/>
        </w:rPr>
        <w:t>level of injury and fatality will result from the use of a particular attack method.</w:t>
      </w:r>
    </w:p>
    <w:p w:rsidR="00485E79" w:rsidRPr="0040227B" w:rsidRDefault="00485E79" w:rsidP="0040227B">
      <w:pPr>
        <w:spacing w:after="0" w:line="480" w:lineRule="auto"/>
        <w:jc w:val="both"/>
        <w:rPr>
          <w:rFonts w:ascii="Times New Roman" w:eastAsia="Times New Roman" w:hAnsi="Times New Roman" w:cs="Times New Roman"/>
          <w:sz w:val="20"/>
          <w:szCs w:val="20"/>
          <w:lang w:bidi="en-US"/>
        </w:rPr>
      </w:pPr>
    </w:p>
    <w:p w:rsidR="00743BED" w:rsidRDefault="004238B5" w:rsidP="0040227B">
      <w:pPr>
        <w:spacing w:after="0" w:line="480" w:lineRule="auto"/>
        <w:jc w:val="both"/>
        <w:rPr>
          <w:rFonts w:ascii="Times New Roman" w:hAnsi="Times New Roman" w:cs="Times New Roman"/>
          <w:sz w:val="20"/>
          <w:szCs w:val="20"/>
        </w:rPr>
      </w:pPr>
      <w:r w:rsidRPr="0040227B">
        <w:rPr>
          <w:rFonts w:ascii="Times New Roman" w:hAnsi="Times New Roman" w:cs="Times New Roman"/>
          <w:sz w:val="20"/>
          <w:szCs w:val="20"/>
        </w:rPr>
        <w:t>Using this data, p</w:t>
      </w:r>
      <w:r w:rsidR="001A3AC6" w:rsidRPr="0040227B">
        <w:rPr>
          <w:rFonts w:ascii="Times New Roman" w:hAnsi="Times New Roman" w:cs="Times New Roman"/>
          <w:sz w:val="20"/>
          <w:szCs w:val="20"/>
        </w:rPr>
        <w:t xml:space="preserve">reference orderings across these attack methods can be obtained by applying equations (1), (2), (3) and (4). </w:t>
      </w:r>
      <w:r w:rsidR="003731DF" w:rsidRPr="0040227B">
        <w:rPr>
          <w:rFonts w:ascii="Times New Roman" w:hAnsi="Times New Roman" w:cs="Times New Roman"/>
          <w:sz w:val="20"/>
          <w:szCs w:val="20"/>
        </w:rPr>
        <w:t>A</w:t>
      </w:r>
      <w:r w:rsidR="001A3AC6" w:rsidRPr="0040227B">
        <w:rPr>
          <w:rFonts w:ascii="Times New Roman" w:hAnsi="Times New Roman" w:cs="Times New Roman"/>
          <w:sz w:val="20"/>
          <w:szCs w:val="20"/>
        </w:rPr>
        <w:t>ssuming</w:t>
      </w:r>
      <w:r w:rsidR="003731DF" w:rsidRPr="0040227B">
        <w:rPr>
          <w:rFonts w:ascii="Times New Roman" w:hAnsi="Times New Roman" w:cs="Times New Roman"/>
          <w:sz w:val="20"/>
          <w:szCs w:val="20"/>
        </w:rPr>
        <w:t xml:space="preserve"> that the injuries and fatalities inflicted per attack per year follow </w:t>
      </w:r>
      <w:r w:rsidR="00761D27" w:rsidRPr="0040227B">
        <w:rPr>
          <w:rFonts w:ascii="Times New Roman" w:hAnsi="Times New Roman" w:cs="Times New Roman"/>
          <w:sz w:val="20"/>
          <w:szCs w:val="20"/>
        </w:rPr>
        <w:t xml:space="preserve">either </w:t>
      </w:r>
      <w:r w:rsidR="003731DF" w:rsidRPr="0040227B">
        <w:rPr>
          <w:rFonts w:ascii="Times New Roman" w:hAnsi="Times New Roman" w:cs="Times New Roman"/>
          <w:sz w:val="20"/>
          <w:szCs w:val="20"/>
        </w:rPr>
        <w:t xml:space="preserve">a </w:t>
      </w:r>
      <w:r w:rsidR="001A3AC6" w:rsidRPr="0040227B">
        <w:rPr>
          <w:rFonts w:ascii="Times New Roman" w:hAnsi="Times New Roman" w:cs="Times New Roman"/>
          <w:sz w:val="20"/>
          <w:szCs w:val="20"/>
        </w:rPr>
        <w:t>normal distribution</w:t>
      </w:r>
      <w:r w:rsidR="00761D27" w:rsidRPr="0040227B">
        <w:rPr>
          <w:rFonts w:ascii="Times New Roman" w:hAnsi="Times New Roman" w:cs="Times New Roman"/>
          <w:sz w:val="20"/>
          <w:szCs w:val="20"/>
        </w:rPr>
        <w:t xml:space="preserve"> or a log normal distribution</w:t>
      </w:r>
      <w:r w:rsidR="00761D27" w:rsidRPr="0040227B">
        <w:rPr>
          <w:rStyle w:val="FootnoteReference"/>
          <w:rFonts w:ascii="Times New Roman" w:hAnsi="Times New Roman" w:cs="Times New Roman"/>
          <w:sz w:val="20"/>
          <w:szCs w:val="20"/>
        </w:rPr>
        <w:footnoteReference w:id="14"/>
      </w:r>
      <w:r w:rsidR="001A3AC6" w:rsidRPr="0040227B">
        <w:rPr>
          <w:rFonts w:ascii="Times New Roman" w:hAnsi="Times New Roman" w:cs="Times New Roman"/>
          <w:sz w:val="20"/>
          <w:szCs w:val="20"/>
        </w:rPr>
        <w:t xml:space="preserve">, the probabilities for each number of injuries and fatalities per attack were computed for each attack method. The weights </w:t>
      </w:r>
      <w:r w:rsidR="00761D27" w:rsidRPr="0040227B">
        <w:rPr>
          <w:rFonts w:ascii="Times New Roman" w:hAnsi="Times New Roman" w:cs="Times New Roman"/>
          <w:sz w:val="20"/>
          <w:szCs w:val="20"/>
        </w:rPr>
        <w:t>to</w:t>
      </w:r>
      <w:r w:rsidR="001A3AC6" w:rsidRPr="0040227B">
        <w:rPr>
          <w:rFonts w:ascii="Times New Roman" w:hAnsi="Times New Roman" w:cs="Times New Roman"/>
          <w:sz w:val="20"/>
          <w:szCs w:val="20"/>
        </w:rPr>
        <w:t xml:space="preserve"> be applied to the probabilities are determined using equations (3) and (4). Using a particular reference point, the change in </w:t>
      </w:r>
      <w:r w:rsidR="001A3AC6" w:rsidRPr="0040227B">
        <w:rPr>
          <w:rFonts w:ascii="Times New Roman" w:hAnsi="Times New Roman" w:cs="Times New Roman"/>
          <w:i/>
          <w:sz w:val="20"/>
          <w:szCs w:val="20"/>
        </w:rPr>
        <w:t>x</w:t>
      </w:r>
      <w:r w:rsidR="001A3AC6" w:rsidRPr="0040227B">
        <w:rPr>
          <w:rFonts w:ascii="Times New Roman" w:hAnsi="Times New Roman" w:cs="Times New Roman"/>
          <w:sz w:val="20"/>
          <w:szCs w:val="20"/>
        </w:rPr>
        <w:t xml:space="preserve"> is computed for each level of injury and fatality. If, for example, the reference point is 3, then the change in </w:t>
      </w:r>
      <w:r w:rsidR="001A3AC6" w:rsidRPr="0040227B">
        <w:rPr>
          <w:rFonts w:ascii="Times New Roman" w:hAnsi="Times New Roman" w:cs="Times New Roman"/>
          <w:i/>
          <w:sz w:val="20"/>
          <w:szCs w:val="20"/>
        </w:rPr>
        <w:t>x</w:t>
      </w:r>
      <w:r w:rsidR="001A3AC6" w:rsidRPr="0040227B">
        <w:rPr>
          <w:rFonts w:ascii="Times New Roman" w:hAnsi="Times New Roman" w:cs="Times New Roman"/>
          <w:sz w:val="20"/>
          <w:szCs w:val="20"/>
        </w:rPr>
        <w:t xml:space="preserve"> for 2 injuries and fatalities is – 1. These changes in </w:t>
      </w:r>
      <w:r w:rsidR="001A3AC6" w:rsidRPr="0040227B">
        <w:rPr>
          <w:rFonts w:ascii="Times New Roman" w:hAnsi="Times New Roman" w:cs="Times New Roman"/>
          <w:i/>
          <w:sz w:val="20"/>
          <w:szCs w:val="20"/>
        </w:rPr>
        <w:t xml:space="preserve">x </w:t>
      </w:r>
      <w:r w:rsidR="001A3AC6" w:rsidRPr="0040227B">
        <w:rPr>
          <w:rFonts w:ascii="Times New Roman" w:hAnsi="Times New Roman" w:cs="Times New Roman"/>
          <w:sz w:val="20"/>
          <w:szCs w:val="20"/>
        </w:rPr>
        <w:t xml:space="preserve">are subject to the parameters </w:t>
      </w:r>
      <w:r w:rsidR="001A3AC6" w:rsidRPr="0040227B">
        <w:rPr>
          <w:rFonts w:ascii="Times New Roman" w:hAnsi="Times New Roman" w:cs="Times New Roman"/>
          <w:i/>
          <w:sz w:val="20"/>
          <w:szCs w:val="20"/>
        </w:rPr>
        <w:t>λ</w:t>
      </w:r>
      <w:r w:rsidR="001A3AC6" w:rsidRPr="0040227B">
        <w:rPr>
          <w:rFonts w:ascii="Times New Roman" w:hAnsi="Times New Roman" w:cs="Times New Roman"/>
          <w:sz w:val="20"/>
          <w:szCs w:val="20"/>
        </w:rPr>
        <w:t xml:space="preserve">, </w:t>
      </w:r>
      <w:r w:rsidR="001A3AC6" w:rsidRPr="0040227B">
        <w:rPr>
          <w:rFonts w:ascii="Times New Roman" w:hAnsi="Times New Roman" w:cs="Times New Roman"/>
          <w:i/>
          <w:sz w:val="20"/>
          <w:szCs w:val="20"/>
        </w:rPr>
        <w:t>α</w:t>
      </w:r>
      <w:r w:rsidR="001A3AC6" w:rsidRPr="0040227B">
        <w:rPr>
          <w:rFonts w:ascii="Times New Roman" w:hAnsi="Times New Roman" w:cs="Times New Roman"/>
          <w:sz w:val="20"/>
          <w:szCs w:val="20"/>
        </w:rPr>
        <w:t xml:space="preserve"> and </w:t>
      </w:r>
      <w:r w:rsidR="001A3AC6" w:rsidRPr="0040227B">
        <w:rPr>
          <w:rFonts w:ascii="Times New Roman" w:hAnsi="Times New Roman" w:cs="Times New Roman"/>
          <w:i/>
          <w:sz w:val="20"/>
          <w:szCs w:val="20"/>
        </w:rPr>
        <w:t>β</w:t>
      </w:r>
      <w:r w:rsidR="001A3AC6" w:rsidRPr="0040227B">
        <w:rPr>
          <w:rFonts w:ascii="Times New Roman" w:hAnsi="Times New Roman" w:cs="Times New Roman"/>
          <w:sz w:val="20"/>
          <w:szCs w:val="20"/>
        </w:rPr>
        <w:t xml:space="preserve"> as in equation (2). The result is a set of values for the various changes in </w:t>
      </w:r>
      <w:r w:rsidR="001A3AC6" w:rsidRPr="0040227B">
        <w:rPr>
          <w:rFonts w:ascii="Times New Roman" w:hAnsi="Times New Roman" w:cs="Times New Roman"/>
          <w:i/>
          <w:sz w:val="20"/>
          <w:szCs w:val="20"/>
        </w:rPr>
        <w:t>x</w:t>
      </w:r>
      <w:r w:rsidR="001A3AC6" w:rsidRPr="0040227B">
        <w:rPr>
          <w:rFonts w:ascii="Times New Roman" w:hAnsi="Times New Roman" w:cs="Times New Roman"/>
          <w:sz w:val="20"/>
          <w:szCs w:val="20"/>
        </w:rPr>
        <w:t xml:space="preserve"> above and below the reference point</w:t>
      </w:r>
      <w:r w:rsidR="00761D27" w:rsidRPr="0040227B">
        <w:rPr>
          <w:rFonts w:ascii="Times New Roman" w:hAnsi="Times New Roman" w:cs="Times New Roman"/>
          <w:sz w:val="20"/>
          <w:szCs w:val="20"/>
        </w:rPr>
        <w:t xml:space="preserve"> which are</w:t>
      </w:r>
      <w:r w:rsidR="001A3AC6" w:rsidRPr="0040227B">
        <w:rPr>
          <w:rFonts w:ascii="Times New Roman" w:hAnsi="Times New Roman" w:cs="Times New Roman"/>
          <w:sz w:val="20"/>
          <w:szCs w:val="20"/>
        </w:rPr>
        <w:t xml:space="preserve"> weighted and sum</w:t>
      </w:r>
      <w:r w:rsidR="00761D27" w:rsidRPr="0040227B">
        <w:rPr>
          <w:rFonts w:ascii="Times New Roman" w:hAnsi="Times New Roman" w:cs="Times New Roman"/>
          <w:sz w:val="20"/>
          <w:szCs w:val="20"/>
        </w:rPr>
        <w:t>med</w:t>
      </w:r>
      <w:r w:rsidR="001A3AC6" w:rsidRPr="0040227B">
        <w:rPr>
          <w:rFonts w:ascii="Times New Roman" w:hAnsi="Times New Roman" w:cs="Times New Roman"/>
          <w:sz w:val="20"/>
          <w:szCs w:val="20"/>
        </w:rPr>
        <w:t xml:space="preserve"> to find the value of the prospect. </w:t>
      </w:r>
      <w:r w:rsidR="00761D27" w:rsidRPr="0040227B">
        <w:rPr>
          <w:rFonts w:ascii="Times New Roman" w:hAnsi="Times New Roman" w:cs="Times New Roman"/>
          <w:sz w:val="20"/>
          <w:szCs w:val="20"/>
        </w:rPr>
        <w:t xml:space="preserve">In this case, the prospect is an </w:t>
      </w:r>
      <w:r w:rsidR="001A3AC6" w:rsidRPr="0040227B">
        <w:rPr>
          <w:rFonts w:ascii="Times New Roman" w:hAnsi="Times New Roman" w:cs="Times New Roman"/>
          <w:sz w:val="20"/>
          <w:szCs w:val="20"/>
        </w:rPr>
        <w:t xml:space="preserve">attack method. The value of the prospect varies depending on the reference point </w:t>
      </w:r>
      <w:r w:rsidR="00761D27" w:rsidRPr="0040227B">
        <w:rPr>
          <w:rFonts w:ascii="Times New Roman" w:hAnsi="Times New Roman" w:cs="Times New Roman"/>
          <w:sz w:val="20"/>
          <w:szCs w:val="20"/>
        </w:rPr>
        <w:t xml:space="preserve">number of injuries and fatalities. </w:t>
      </w:r>
      <w:r w:rsidR="00743BED">
        <w:rPr>
          <w:rFonts w:ascii="Times New Roman" w:hAnsi="Times New Roman" w:cs="Times New Roman"/>
          <w:sz w:val="20"/>
          <w:szCs w:val="20"/>
        </w:rPr>
        <w:t>T</w:t>
      </w:r>
      <w:r w:rsidR="00743BED" w:rsidRPr="0040227B">
        <w:rPr>
          <w:rFonts w:ascii="Times New Roman" w:hAnsi="Times New Roman" w:cs="Times New Roman"/>
          <w:sz w:val="20"/>
          <w:szCs w:val="20"/>
        </w:rPr>
        <w:t>he preference ordering</w:t>
      </w:r>
      <w:r w:rsidR="00743BED">
        <w:rPr>
          <w:rFonts w:ascii="Times New Roman" w:hAnsi="Times New Roman" w:cs="Times New Roman"/>
          <w:sz w:val="20"/>
          <w:szCs w:val="20"/>
        </w:rPr>
        <w:t>s that emerge</w:t>
      </w:r>
      <w:r w:rsidR="00743BED" w:rsidRPr="0040227B">
        <w:rPr>
          <w:rFonts w:ascii="Times New Roman" w:hAnsi="Times New Roman" w:cs="Times New Roman"/>
          <w:sz w:val="20"/>
          <w:szCs w:val="20"/>
        </w:rPr>
        <w:t xml:space="preserve"> when each attack method category is ranked on the basis of its prospect value</w:t>
      </w:r>
      <w:r w:rsidR="00743BED">
        <w:rPr>
          <w:rFonts w:ascii="Times New Roman" w:hAnsi="Times New Roman" w:cs="Times New Roman"/>
          <w:sz w:val="20"/>
          <w:szCs w:val="20"/>
        </w:rPr>
        <w:t xml:space="preserve"> are</w:t>
      </w:r>
      <w:r w:rsidR="00743BED" w:rsidRPr="0040227B">
        <w:rPr>
          <w:rFonts w:ascii="Times New Roman" w:hAnsi="Times New Roman" w:cs="Times New Roman"/>
          <w:sz w:val="20"/>
          <w:szCs w:val="20"/>
        </w:rPr>
        <w:t xml:space="preserve"> presented in Table 1</w:t>
      </w:r>
      <w:r w:rsidR="00743BED">
        <w:rPr>
          <w:rFonts w:ascii="Times New Roman" w:hAnsi="Times New Roman" w:cs="Times New Roman"/>
          <w:sz w:val="20"/>
          <w:szCs w:val="20"/>
        </w:rPr>
        <w:t xml:space="preserve"> (normal distribution) and Table 2 (log normal distribution) for </w:t>
      </w:r>
      <w:r w:rsidR="00743BED" w:rsidRPr="0040227B">
        <w:rPr>
          <w:rFonts w:ascii="Times New Roman" w:hAnsi="Times New Roman" w:cs="Times New Roman"/>
          <w:sz w:val="20"/>
          <w:szCs w:val="20"/>
        </w:rPr>
        <w:t>prospective lone wolf terrori</w:t>
      </w:r>
      <w:r w:rsidR="00743BED">
        <w:rPr>
          <w:rFonts w:ascii="Times New Roman" w:hAnsi="Times New Roman" w:cs="Times New Roman"/>
          <w:sz w:val="20"/>
          <w:szCs w:val="20"/>
        </w:rPr>
        <w:t xml:space="preserve">sts with reference points of 1, 2, 3, 4 or 5 injuries and fatalities.  </w:t>
      </w:r>
    </w:p>
    <w:p w:rsidR="00743BED" w:rsidRDefault="00743BED" w:rsidP="00743BED">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[INSERT TABLE 1]</w:t>
      </w:r>
    </w:p>
    <w:p w:rsidR="004D3CB3" w:rsidRDefault="004D3CB3" w:rsidP="00743BED">
      <w:pPr>
        <w:spacing w:after="0" w:line="480" w:lineRule="auto"/>
        <w:jc w:val="center"/>
        <w:rPr>
          <w:rFonts w:ascii="Times New Roman" w:hAnsi="Times New Roman" w:cs="Times New Roman"/>
          <w:sz w:val="20"/>
          <w:szCs w:val="20"/>
        </w:rPr>
      </w:pPr>
    </w:p>
    <w:p w:rsidR="00743BED" w:rsidRDefault="00743BED" w:rsidP="00743BED">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[INSERT TABLE 2]</w:t>
      </w:r>
    </w:p>
    <w:p w:rsidR="00C74F08" w:rsidRPr="0040227B" w:rsidRDefault="00C74F08" w:rsidP="0040227B">
      <w:pPr>
        <w:spacing w:after="0" w:line="480" w:lineRule="auto"/>
        <w:jc w:val="both"/>
        <w:rPr>
          <w:rFonts w:ascii="Times New Roman" w:hAnsi="Times New Roman" w:cs="Times New Roman"/>
          <w:sz w:val="20"/>
          <w:szCs w:val="20"/>
        </w:rPr>
      </w:pPr>
    </w:p>
    <w:p w:rsidR="00A93748" w:rsidRPr="0040227B" w:rsidRDefault="00E85169" w:rsidP="0040227B">
      <w:pPr>
        <w:spacing w:after="0" w:line="480" w:lineRule="auto"/>
        <w:jc w:val="both"/>
        <w:rPr>
          <w:rFonts w:ascii="Times New Roman" w:hAnsi="Times New Roman" w:cs="Times New Roman"/>
          <w:sz w:val="20"/>
          <w:szCs w:val="20"/>
        </w:rPr>
      </w:pPr>
      <w:r w:rsidRPr="0040227B">
        <w:rPr>
          <w:rFonts w:ascii="Times New Roman" w:hAnsi="Times New Roman" w:cs="Times New Roman"/>
          <w:sz w:val="20"/>
          <w:szCs w:val="20"/>
        </w:rPr>
        <w:t xml:space="preserve">We </w:t>
      </w:r>
      <w:r w:rsidR="00CF7BCF" w:rsidRPr="0040227B">
        <w:rPr>
          <w:rFonts w:ascii="Times New Roman" w:hAnsi="Times New Roman" w:cs="Times New Roman"/>
          <w:sz w:val="20"/>
          <w:szCs w:val="20"/>
        </w:rPr>
        <w:t>commence</w:t>
      </w:r>
      <w:r w:rsidR="00C63210" w:rsidRPr="0040227B">
        <w:rPr>
          <w:rFonts w:ascii="Times New Roman" w:hAnsi="Times New Roman" w:cs="Times New Roman"/>
          <w:sz w:val="20"/>
          <w:szCs w:val="20"/>
        </w:rPr>
        <w:t xml:space="preserve"> </w:t>
      </w:r>
      <w:r w:rsidRPr="0040227B">
        <w:rPr>
          <w:rFonts w:ascii="Times New Roman" w:hAnsi="Times New Roman" w:cs="Times New Roman"/>
          <w:sz w:val="20"/>
          <w:szCs w:val="20"/>
        </w:rPr>
        <w:t xml:space="preserve">with </w:t>
      </w:r>
      <w:r w:rsidR="004D5C2E">
        <w:rPr>
          <w:rFonts w:ascii="Times New Roman" w:hAnsi="Times New Roman" w:cs="Times New Roman"/>
          <w:sz w:val="20"/>
          <w:szCs w:val="20"/>
        </w:rPr>
        <w:t>a discussion</w:t>
      </w:r>
      <w:r w:rsidR="00C63210" w:rsidRPr="0040227B">
        <w:rPr>
          <w:rFonts w:ascii="Times New Roman" w:hAnsi="Times New Roman" w:cs="Times New Roman"/>
          <w:sz w:val="20"/>
          <w:szCs w:val="20"/>
        </w:rPr>
        <w:t xml:space="preserve"> of the choices predicted by prospect theory for a lone wolf terrorist with </w:t>
      </w:r>
      <w:r w:rsidRPr="0040227B">
        <w:rPr>
          <w:rFonts w:ascii="Times New Roman" w:hAnsi="Times New Roman" w:cs="Times New Roman"/>
          <w:sz w:val="20"/>
          <w:szCs w:val="20"/>
        </w:rPr>
        <w:t xml:space="preserve">a reference point of a single injury or fatality. An offender with a reference point of </w:t>
      </w:r>
      <w:r w:rsidR="005B553A" w:rsidRPr="0040227B">
        <w:rPr>
          <w:rFonts w:ascii="Times New Roman" w:hAnsi="Times New Roman" w:cs="Times New Roman"/>
          <w:sz w:val="20"/>
          <w:szCs w:val="20"/>
        </w:rPr>
        <w:t>one</w:t>
      </w:r>
      <w:r w:rsidRPr="0040227B">
        <w:rPr>
          <w:rFonts w:ascii="Times New Roman" w:hAnsi="Times New Roman" w:cs="Times New Roman"/>
          <w:sz w:val="20"/>
          <w:szCs w:val="20"/>
        </w:rPr>
        <w:t xml:space="preserve"> </w:t>
      </w:r>
      <w:r w:rsidR="00483D26" w:rsidRPr="0040227B">
        <w:rPr>
          <w:rFonts w:ascii="Times New Roman" w:hAnsi="Times New Roman" w:cs="Times New Roman"/>
          <w:sz w:val="20"/>
          <w:szCs w:val="20"/>
        </w:rPr>
        <w:t xml:space="preserve">injury or fatality </w:t>
      </w:r>
      <w:r w:rsidR="006D2FB9" w:rsidRPr="0040227B">
        <w:rPr>
          <w:rFonts w:ascii="Times New Roman" w:hAnsi="Times New Roman" w:cs="Times New Roman"/>
          <w:sz w:val="20"/>
          <w:szCs w:val="20"/>
        </w:rPr>
        <w:t>may reference the outcomes of attacks perpetrated by predecessor lone wolf terrorists whose attack method of choice was a targeted type</w:t>
      </w:r>
      <w:r w:rsidRPr="0040227B">
        <w:rPr>
          <w:rFonts w:ascii="Times New Roman" w:hAnsi="Times New Roman" w:cs="Times New Roman"/>
          <w:sz w:val="20"/>
          <w:szCs w:val="20"/>
        </w:rPr>
        <w:t xml:space="preserve"> of attack </w:t>
      </w:r>
      <w:r w:rsidR="00C63210" w:rsidRPr="0040227B">
        <w:rPr>
          <w:rFonts w:ascii="Times New Roman" w:hAnsi="Times New Roman" w:cs="Times New Roman"/>
          <w:sz w:val="20"/>
          <w:szCs w:val="20"/>
        </w:rPr>
        <w:t xml:space="preserve">method </w:t>
      </w:r>
      <w:r w:rsidRPr="0040227B">
        <w:rPr>
          <w:rFonts w:ascii="Times New Roman" w:hAnsi="Times New Roman" w:cs="Times New Roman"/>
          <w:sz w:val="20"/>
          <w:szCs w:val="20"/>
        </w:rPr>
        <w:t xml:space="preserve">such </w:t>
      </w:r>
      <w:r w:rsidR="006D2FB9" w:rsidRPr="0040227B">
        <w:rPr>
          <w:rFonts w:ascii="Times New Roman" w:hAnsi="Times New Roman" w:cs="Times New Roman"/>
          <w:sz w:val="20"/>
          <w:szCs w:val="20"/>
        </w:rPr>
        <w:t>that it</w:t>
      </w:r>
      <w:r w:rsidRPr="0040227B">
        <w:rPr>
          <w:rFonts w:ascii="Times New Roman" w:hAnsi="Times New Roman" w:cs="Times New Roman"/>
          <w:sz w:val="20"/>
          <w:szCs w:val="20"/>
        </w:rPr>
        <w:t xml:space="preserve"> fall</w:t>
      </w:r>
      <w:r w:rsidR="006D2FB9" w:rsidRPr="0040227B">
        <w:rPr>
          <w:rFonts w:ascii="Times New Roman" w:hAnsi="Times New Roman" w:cs="Times New Roman"/>
          <w:sz w:val="20"/>
          <w:szCs w:val="20"/>
        </w:rPr>
        <w:t>s</w:t>
      </w:r>
      <w:r w:rsidRPr="0040227B">
        <w:rPr>
          <w:rFonts w:ascii="Times New Roman" w:hAnsi="Times New Roman" w:cs="Times New Roman"/>
          <w:sz w:val="20"/>
          <w:szCs w:val="20"/>
        </w:rPr>
        <w:t xml:space="preserve"> within the RAND-MIPT category ‘assassination’. </w:t>
      </w:r>
      <w:r w:rsidR="005B553A" w:rsidRPr="0040227B">
        <w:rPr>
          <w:rFonts w:ascii="Times New Roman" w:hAnsi="Times New Roman" w:cs="Times New Roman"/>
          <w:sz w:val="20"/>
          <w:szCs w:val="20"/>
        </w:rPr>
        <w:t>Although there are attack methods that might be expected to inflict a higher number of injuries and fatalities, the variability of the outcomes increases as the expected number of inj</w:t>
      </w:r>
      <w:r w:rsidR="006D2FB9" w:rsidRPr="0040227B">
        <w:rPr>
          <w:rFonts w:ascii="Times New Roman" w:hAnsi="Times New Roman" w:cs="Times New Roman"/>
          <w:sz w:val="20"/>
          <w:szCs w:val="20"/>
        </w:rPr>
        <w:t>uries and fatalities increases</w:t>
      </w:r>
      <w:r w:rsidR="006E6E2B" w:rsidRPr="0040227B">
        <w:rPr>
          <w:rFonts w:ascii="Times New Roman" w:hAnsi="Times New Roman" w:cs="Times New Roman"/>
          <w:sz w:val="20"/>
          <w:szCs w:val="20"/>
        </w:rPr>
        <w:t xml:space="preserve">. </w:t>
      </w:r>
      <w:r w:rsidR="00712D1D" w:rsidRPr="0040227B">
        <w:rPr>
          <w:rFonts w:ascii="Times New Roman" w:hAnsi="Times New Roman" w:cs="Times New Roman"/>
          <w:sz w:val="20"/>
          <w:szCs w:val="20"/>
        </w:rPr>
        <w:t>We should expect</w:t>
      </w:r>
      <w:r w:rsidR="002B2A76" w:rsidRPr="0040227B">
        <w:rPr>
          <w:rFonts w:ascii="Times New Roman" w:hAnsi="Times New Roman" w:cs="Times New Roman"/>
          <w:sz w:val="20"/>
          <w:szCs w:val="20"/>
        </w:rPr>
        <w:t xml:space="preserve"> targeted or focused attack methods—those</w:t>
      </w:r>
      <w:r w:rsidR="006D2FB9" w:rsidRPr="0040227B">
        <w:rPr>
          <w:rFonts w:ascii="Times New Roman" w:hAnsi="Times New Roman" w:cs="Times New Roman"/>
          <w:sz w:val="20"/>
          <w:szCs w:val="20"/>
        </w:rPr>
        <w:t xml:space="preserve"> for which the expected number of inflicted fatalities is</w:t>
      </w:r>
      <w:r w:rsidR="002B2A76" w:rsidRPr="0040227B">
        <w:rPr>
          <w:rFonts w:ascii="Times New Roman" w:hAnsi="Times New Roman" w:cs="Times New Roman"/>
          <w:sz w:val="20"/>
          <w:szCs w:val="20"/>
        </w:rPr>
        <w:t xml:space="preserve"> </w:t>
      </w:r>
      <w:r w:rsidR="006D2FB9" w:rsidRPr="0040227B">
        <w:rPr>
          <w:rFonts w:ascii="Times New Roman" w:hAnsi="Times New Roman" w:cs="Times New Roman"/>
          <w:sz w:val="20"/>
          <w:szCs w:val="20"/>
        </w:rPr>
        <w:t xml:space="preserve">lower but </w:t>
      </w:r>
      <w:r w:rsidR="002B2A76" w:rsidRPr="0040227B">
        <w:rPr>
          <w:rFonts w:ascii="Times New Roman" w:hAnsi="Times New Roman" w:cs="Times New Roman"/>
          <w:sz w:val="20"/>
          <w:szCs w:val="20"/>
        </w:rPr>
        <w:t>less variable—to sit higher in the preference ordering when the lone wolf terr</w:t>
      </w:r>
      <w:r w:rsidR="006D2FB9" w:rsidRPr="0040227B">
        <w:rPr>
          <w:rFonts w:ascii="Times New Roman" w:hAnsi="Times New Roman" w:cs="Times New Roman"/>
          <w:sz w:val="20"/>
          <w:szCs w:val="20"/>
        </w:rPr>
        <w:t>or</w:t>
      </w:r>
      <w:r w:rsidR="00623838">
        <w:rPr>
          <w:rFonts w:ascii="Times New Roman" w:hAnsi="Times New Roman" w:cs="Times New Roman"/>
          <w:sz w:val="20"/>
          <w:szCs w:val="20"/>
        </w:rPr>
        <w:t>ist has a reference point that is low</w:t>
      </w:r>
      <w:r w:rsidR="002B2A76" w:rsidRPr="0040227B">
        <w:rPr>
          <w:rFonts w:ascii="Times New Roman" w:hAnsi="Times New Roman" w:cs="Times New Roman"/>
          <w:sz w:val="20"/>
          <w:szCs w:val="20"/>
        </w:rPr>
        <w:t xml:space="preserve">. </w:t>
      </w:r>
      <w:r w:rsidR="003C6D56" w:rsidRPr="0040227B">
        <w:rPr>
          <w:rFonts w:ascii="Times New Roman" w:hAnsi="Times New Roman" w:cs="Times New Roman"/>
          <w:sz w:val="20"/>
          <w:szCs w:val="20"/>
        </w:rPr>
        <w:t>P</w:t>
      </w:r>
      <w:r w:rsidR="006E6E2B" w:rsidRPr="0040227B">
        <w:rPr>
          <w:rFonts w:ascii="Times New Roman" w:hAnsi="Times New Roman" w:cs="Times New Roman"/>
          <w:sz w:val="20"/>
          <w:szCs w:val="20"/>
        </w:rPr>
        <w:t xml:space="preserve">rospect theory provides a theoretical explanation for this behaviour. Prospect theory depicts the decision-maker as being risk averse in the domain of gains. At lower reference points, it is quite likely that the number of injuries and fatalities inflicted by an attack will match or exceed the reference point. The lone wolf terrorist with a low reference point confronts a wide domain of gains and is expected to choose in a manner that reflects a higher degree of risk aversion. </w:t>
      </w:r>
    </w:p>
    <w:p w:rsidR="004D5C2E" w:rsidRDefault="004D5C2E" w:rsidP="0040227B">
      <w:pPr>
        <w:spacing w:after="0" w:line="480" w:lineRule="auto"/>
        <w:jc w:val="both"/>
        <w:rPr>
          <w:rFonts w:ascii="Times New Roman" w:hAnsi="Times New Roman" w:cs="Times New Roman"/>
          <w:sz w:val="20"/>
          <w:szCs w:val="20"/>
        </w:rPr>
      </w:pPr>
    </w:p>
    <w:p w:rsidR="002B2A76" w:rsidRPr="0040227B" w:rsidRDefault="000A12DA" w:rsidP="0040227B">
      <w:pPr>
        <w:spacing w:after="0" w:line="480" w:lineRule="auto"/>
        <w:jc w:val="both"/>
        <w:rPr>
          <w:rFonts w:ascii="Times New Roman" w:hAnsi="Times New Roman" w:cs="Times New Roman"/>
          <w:sz w:val="20"/>
          <w:szCs w:val="20"/>
        </w:rPr>
      </w:pPr>
      <w:r w:rsidRPr="0040227B">
        <w:rPr>
          <w:rFonts w:ascii="Times New Roman" w:hAnsi="Times New Roman" w:cs="Times New Roman"/>
          <w:sz w:val="20"/>
          <w:szCs w:val="20"/>
        </w:rPr>
        <w:t>The prospect values reflect an assessment of the outcome of the attack and the risk that the outcome will diverge from that which was expected by a decision-maker whose choices are shaped by an interaction between</w:t>
      </w:r>
      <w:r w:rsidR="000F325E" w:rsidRPr="0040227B">
        <w:rPr>
          <w:rFonts w:ascii="Times New Roman" w:hAnsi="Times New Roman" w:cs="Times New Roman"/>
          <w:sz w:val="20"/>
          <w:szCs w:val="20"/>
        </w:rPr>
        <w:t xml:space="preserve"> reference dependence,</w:t>
      </w:r>
      <w:r w:rsidRPr="0040227B">
        <w:rPr>
          <w:rFonts w:ascii="Times New Roman" w:hAnsi="Times New Roman" w:cs="Times New Roman"/>
          <w:sz w:val="20"/>
          <w:szCs w:val="20"/>
        </w:rPr>
        <w:t xml:space="preserve"> risk-seeking below the reference point, risk aversion</w:t>
      </w:r>
      <w:r w:rsidR="000F325E" w:rsidRPr="0040227B">
        <w:rPr>
          <w:rFonts w:ascii="Times New Roman" w:hAnsi="Times New Roman" w:cs="Times New Roman"/>
          <w:sz w:val="20"/>
          <w:szCs w:val="20"/>
        </w:rPr>
        <w:t xml:space="preserve"> above the reference point</w:t>
      </w:r>
      <w:r w:rsidRPr="0040227B">
        <w:rPr>
          <w:rFonts w:ascii="Times New Roman" w:hAnsi="Times New Roman" w:cs="Times New Roman"/>
          <w:sz w:val="20"/>
          <w:szCs w:val="20"/>
        </w:rPr>
        <w:t xml:space="preserve"> and loss aversion. </w:t>
      </w:r>
      <w:r w:rsidR="000F325E" w:rsidRPr="0040227B">
        <w:rPr>
          <w:rFonts w:ascii="Times New Roman" w:hAnsi="Times New Roman" w:cs="Times New Roman"/>
          <w:sz w:val="20"/>
          <w:szCs w:val="20"/>
        </w:rPr>
        <w:t xml:space="preserve">For a reference point of a single injury or fatality, the ‘assassination’ attack method category is ranked highest when outcomes are assumed to be either normally or log-normally distributed. This would lead us to expect that those lone wolf terrorists seeking to target a particular individual are most likely to select an assassination-type attack rather than an attack method that could possibly inflict harm upon a particular individual </w:t>
      </w:r>
      <w:r w:rsidR="000F325E" w:rsidRPr="0040227B">
        <w:rPr>
          <w:rFonts w:ascii="Times New Roman" w:hAnsi="Times New Roman" w:cs="Times New Roman"/>
          <w:i/>
          <w:sz w:val="20"/>
          <w:szCs w:val="20"/>
        </w:rPr>
        <w:t>and</w:t>
      </w:r>
      <w:r w:rsidR="000F325E" w:rsidRPr="0040227B">
        <w:rPr>
          <w:rFonts w:ascii="Times New Roman" w:hAnsi="Times New Roman" w:cs="Times New Roman"/>
          <w:sz w:val="20"/>
          <w:szCs w:val="20"/>
        </w:rPr>
        <w:t xml:space="preserve"> a number of others but </w:t>
      </w:r>
      <w:r w:rsidR="003C6D56" w:rsidRPr="0040227B">
        <w:rPr>
          <w:rFonts w:ascii="Times New Roman" w:hAnsi="Times New Roman" w:cs="Times New Roman"/>
          <w:sz w:val="20"/>
          <w:szCs w:val="20"/>
        </w:rPr>
        <w:t>only at the cost of introducing more uncertainty</w:t>
      </w:r>
      <w:r w:rsidR="000F325E" w:rsidRPr="0040227B">
        <w:rPr>
          <w:rFonts w:ascii="Times New Roman" w:hAnsi="Times New Roman" w:cs="Times New Roman"/>
          <w:sz w:val="20"/>
          <w:szCs w:val="20"/>
        </w:rPr>
        <w:t xml:space="preserve">. </w:t>
      </w:r>
      <w:r w:rsidR="002B2A76" w:rsidRPr="0040227B">
        <w:rPr>
          <w:rFonts w:ascii="Times New Roman" w:hAnsi="Times New Roman" w:cs="Times New Roman"/>
          <w:sz w:val="20"/>
          <w:szCs w:val="20"/>
        </w:rPr>
        <w:t>Byron de la Beckwith, Mich</w:t>
      </w:r>
      <w:r w:rsidR="000F325E" w:rsidRPr="0040227B">
        <w:rPr>
          <w:rFonts w:ascii="Times New Roman" w:hAnsi="Times New Roman" w:cs="Times New Roman"/>
          <w:sz w:val="20"/>
          <w:szCs w:val="20"/>
        </w:rPr>
        <w:t>ael Griffin, Rachelle Shannon and</w:t>
      </w:r>
      <w:r w:rsidR="002B2A76" w:rsidRPr="0040227B">
        <w:rPr>
          <w:rFonts w:ascii="Times New Roman" w:hAnsi="Times New Roman" w:cs="Times New Roman"/>
          <w:sz w:val="20"/>
          <w:szCs w:val="20"/>
        </w:rPr>
        <w:t xml:space="preserve"> James Kopp</w:t>
      </w:r>
      <w:r w:rsidR="000F325E" w:rsidRPr="0040227B">
        <w:rPr>
          <w:rFonts w:ascii="Times New Roman" w:hAnsi="Times New Roman" w:cs="Times New Roman"/>
          <w:sz w:val="20"/>
          <w:szCs w:val="20"/>
        </w:rPr>
        <w:t xml:space="preserve"> are lone </w:t>
      </w:r>
      <w:r w:rsidR="00DF623D" w:rsidRPr="0040227B">
        <w:rPr>
          <w:rFonts w:ascii="Times New Roman" w:hAnsi="Times New Roman" w:cs="Times New Roman"/>
          <w:sz w:val="20"/>
          <w:szCs w:val="20"/>
        </w:rPr>
        <w:t>offenders</w:t>
      </w:r>
      <w:r w:rsidR="000F325E" w:rsidRPr="0040227B">
        <w:rPr>
          <w:rFonts w:ascii="Times New Roman" w:hAnsi="Times New Roman" w:cs="Times New Roman"/>
          <w:sz w:val="20"/>
          <w:szCs w:val="20"/>
        </w:rPr>
        <w:t xml:space="preserve"> who targeted particular individuals</w:t>
      </w:r>
      <w:r w:rsidR="002B2A76" w:rsidRPr="0040227B">
        <w:rPr>
          <w:rFonts w:ascii="Times New Roman" w:hAnsi="Times New Roman" w:cs="Times New Roman"/>
          <w:sz w:val="20"/>
          <w:szCs w:val="20"/>
        </w:rPr>
        <w:t xml:space="preserve">. </w:t>
      </w:r>
      <w:r w:rsidR="000F325E" w:rsidRPr="0040227B">
        <w:rPr>
          <w:rFonts w:ascii="Times New Roman" w:hAnsi="Times New Roman" w:cs="Times New Roman"/>
          <w:sz w:val="20"/>
          <w:szCs w:val="20"/>
        </w:rPr>
        <w:t xml:space="preserve">These individuals chose attack methods that may be categorised as targeted or </w:t>
      </w:r>
      <w:r w:rsidR="002B2A76" w:rsidRPr="0040227B">
        <w:rPr>
          <w:rFonts w:ascii="Times New Roman" w:hAnsi="Times New Roman" w:cs="Times New Roman"/>
          <w:sz w:val="20"/>
          <w:szCs w:val="20"/>
        </w:rPr>
        <w:t>assassination</w:t>
      </w:r>
      <w:r w:rsidR="000F325E" w:rsidRPr="0040227B">
        <w:rPr>
          <w:rFonts w:ascii="Times New Roman" w:hAnsi="Times New Roman" w:cs="Times New Roman"/>
          <w:sz w:val="20"/>
          <w:szCs w:val="20"/>
        </w:rPr>
        <w:t>-type attacks</w:t>
      </w:r>
      <w:r w:rsidR="00DF623D" w:rsidRPr="0040227B">
        <w:rPr>
          <w:rFonts w:ascii="Times New Roman" w:hAnsi="Times New Roman" w:cs="Times New Roman"/>
          <w:sz w:val="20"/>
          <w:szCs w:val="20"/>
        </w:rPr>
        <w:t>. In each case, the outcome of the attack</w:t>
      </w:r>
      <w:r w:rsidR="002B2A76" w:rsidRPr="0040227B">
        <w:rPr>
          <w:rFonts w:ascii="Times New Roman" w:hAnsi="Times New Roman" w:cs="Times New Roman"/>
          <w:sz w:val="20"/>
          <w:szCs w:val="20"/>
        </w:rPr>
        <w:t xml:space="preserve"> was </w:t>
      </w:r>
      <w:r w:rsidR="00DF623D" w:rsidRPr="0040227B">
        <w:rPr>
          <w:rFonts w:ascii="Times New Roman" w:hAnsi="Times New Roman" w:cs="Times New Roman"/>
          <w:sz w:val="20"/>
          <w:szCs w:val="20"/>
        </w:rPr>
        <w:t xml:space="preserve">the </w:t>
      </w:r>
      <w:r w:rsidR="003C6D56" w:rsidRPr="0040227B">
        <w:rPr>
          <w:rFonts w:ascii="Times New Roman" w:hAnsi="Times New Roman" w:cs="Times New Roman"/>
          <w:sz w:val="20"/>
          <w:szCs w:val="20"/>
        </w:rPr>
        <w:t>injury or death of</w:t>
      </w:r>
      <w:r w:rsidR="00DF623D" w:rsidRPr="0040227B">
        <w:rPr>
          <w:rFonts w:ascii="Times New Roman" w:hAnsi="Times New Roman" w:cs="Times New Roman"/>
          <w:sz w:val="20"/>
          <w:szCs w:val="20"/>
        </w:rPr>
        <w:t xml:space="preserve"> </w:t>
      </w:r>
      <w:r w:rsidR="002B2A76" w:rsidRPr="0040227B">
        <w:rPr>
          <w:rFonts w:ascii="Times New Roman" w:hAnsi="Times New Roman" w:cs="Times New Roman"/>
          <w:sz w:val="20"/>
          <w:szCs w:val="20"/>
        </w:rPr>
        <w:t xml:space="preserve">a single victim. </w:t>
      </w:r>
      <w:r w:rsidR="00DF623D" w:rsidRPr="0040227B">
        <w:rPr>
          <w:rFonts w:ascii="Times New Roman" w:hAnsi="Times New Roman" w:cs="Times New Roman"/>
          <w:sz w:val="20"/>
          <w:szCs w:val="20"/>
        </w:rPr>
        <w:t>The analysis leads us to</w:t>
      </w:r>
      <w:r w:rsidR="000F325E" w:rsidRPr="0040227B">
        <w:rPr>
          <w:rFonts w:ascii="Times New Roman" w:hAnsi="Times New Roman" w:cs="Times New Roman"/>
          <w:sz w:val="20"/>
          <w:szCs w:val="20"/>
        </w:rPr>
        <w:t xml:space="preserve"> expect prospective lone wolf terrorists who reference their actions against these offenders</w:t>
      </w:r>
      <w:r w:rsidR="00DF623D" w:rsidRPr="0040227B">
        <w:rPr>
          <w:rFonts w:ascii="Times New Roman" w:hAnsi="Times New Roman" w:cs="Times New Roman"/>
          <w:sz w:val="20"/>
          <w:szCs w:val="20"/>
        </w:rPr>
        <w:t xml:space="preserve"> and aim to </w:t>
      </w:r>
      <w:r w:rsidR="000F325E" w:rsidRPr="0040227B">
        <w:rPr>
          <w:rFonts w:ascii="Times New Roman" w:hAnsi="Times New Roman" w:cs="Times New Roman"/>
          <w:sz w:val="20"/>
          <w:szCs w:val="20"/>
        </w:rPr>
        <w:t>inflict a single injury or fatality to choose a targeted attack method characterised by less variable outcomes</w:t>
      </w:r>
      <w:r w:rsidR="00DF623D" w:rsidRPr="0040227B">
        <w:rPr>
          <w:rFonts w:ascii="Times New Roman" w:hAnsi="Times New Roman" w:cs="Times New Roman"/>
          <w:sz w:val="20"/>
          <w:szCs w:val="20"/>
        </w:rPr>
        <w:t xml:space="preserve"> just as Byron de la Beckwith, Michael Griffin, Rachelle Shannon and James </w:t>
      </w:r>
      <w:r w:rsidR="00372293" w:rsidRPr="0040227B">
        <w:rPr>
          <w:rFonts w:ascii="Times New Roman" w:hAnsi="Times New Roman" w:cs="Times New Roman"/>
          <w:sz w:val="20"/>
          <w:szCs w:val="20"/>
        </w:rPr>
        <w:t xml:space="preserve">C. </w:t>
      </w:r>
      <w:r w:rsidR="00DF623D" w:rsidRPr="0040227B">
        <w:rPr>
          <w:rFonts w:ascii="Times New Roman" w:hAnsi="Times New Roman" w:cs="Times New Roman"/>
          <w:sz w:val="20"/>
          <w:szCs w:val="20"/>
        </w:rPr>
        <w:t>Kopp chose to do for their attacks</w:t>
      </w:r>
      <w:r w:rsidR="000F325E" w:rsidRPr="0040227B">
        <w:rPr>
          <w:rFonts w:ascii="Times New Roman" w:hAnsi="Times New Roman" w:cs="Times New Roman"/>
          <w:sz w:val="20"/>
          <w:szCs w:val="20"/>
        </w:rPr>
        <w:t xml:space="preserve">. </w:t>
      </w:r>
    </w:p>
    <w:p w:rsidR="00531C5F" w:rsidRPr="0040227B" w:rsidRDefault="00531C5F" w:rsidP="0040227B">
      <w:pPr>
        <w:spacing w:after="0" w:line="480" w:lineRule="auto"/>
        <w:jc w:val="both"/>
        <w:rPr>
          <w:rFonts w:ascii="Times New Roman" w:hAnsi="Times New Roman" w:cs="Times New Roman"/>
          <w:sz w:val="20"/>
          <w:szCs w:val="20"/>
        </w:rPr>
      </w:pPr>
    </w:p>
    <w:p w:rsidR="001366C4" w:rsidRPr="0040227B" w:rsidRDefault="00531C5F" w:rsidP="0040227B">
      <w:pPr>
        <w:spacing w:after="0" w:line="480" w:lineRule="auto"/>
        <w:jc w:val="both"/>
        <w:rPr>
          <w:rFonts w:ascii="Times New Roman" w:hAnsi="Times New Roman" w:cs="Times New Roman"/>
          <w:sz w:val="20"/>
          <w:szCs w:val="20"/>
        </w:rPr>
      </w:pPr>
      <w:r w:rsidRPr="0040227B">
        <w:rPr>
          <w:rFonts w:ascii="Times New Roman" w:hAnsi="Times New Roman" w:cs="Times New Roman"/>
          <w:sz w:val="20"/>
          <w:szCs w:val="20"/>
        </w:rPr>
        <w:lastRenderedPageBreak/>
        <w:t>With 2 and 3 injuries and fatalities as reference points, the prospect valu</w:t>
      </w:r>
      <w:r w:rsidR="00D57EBA" w:rsidRPr="0040227B">
        <w:rPr>
          <w:rFonts w:ascii="Times New Roman" w:hAnsi="Times New Roman" w:cs="Times New Roman"/>
          <w:sz w:val="20"/>
          <w:szCs w:val="20"/>
        </w:rPr>
        <w:t>e of each attack method changes</w:t>
      </w:r>
      <w:r w:rsidRPr="0040227B">
        <w:rPr>
          <w:rFonts w:ascii="Times New Roman" w:hAnsi="Times New Roman" w:cs="Times New Roman"/>
          <w:sz w:val="20"/>
          <w:szCs w:val="20"/>
        </w:rPr>
        <w:t xml:space="preserve"> and </w:t>
      </w:r>
      <w:r w:rsidR="00D57EBA" w:rsidRPr="0040227B">
        <w:rPr>
          <w:rFonts w:ascii="Times New Roman" w:hAnsi="Times New Roman" w:cs="Times New Roman"/>
          <w:sz w:val="20"/>
          <w:szCs w:val="20"/>
        </w:rPr>
        <w:t>a new preference ordering</w:t>
      </w:r>
      <w:r w:rsidRPr="0040227B">
        <w:rPr>
          <w:rFonts w:ascii="Times New Roman" w:hAnsi="Times New Roman" w:cs="Times New Roman"/>
          <w:sz w:val="20"/>
          <w:szCs w:val="20"/>
        </w:rPr>
        <w:t xml:space="preserve"> of the attack methods emerge</w:t>
      </w:r>
      <w:r w:rsidR="00D57EBA" w:rsidRPr="0040227B">
        <w:rPr>
          <w:rFonts w:ascii="Times New Roman" w:hAnsi="Times New Roman" w:cs="Times New Roman"/>
          <w:sz w:val="20"/>
          <w:szCs w:val="20"/>
        </w:rPr>
        <w:t>s</w:t>
      </w:r>
      <w:r w:rsidRPr="0040227B">
        <w:rPr>
          <w:rFonts w:ascii="Times New Roman" w:hAnsi="Times New Roman" w:cs="Times New Roman"/>
          <w:sz w:val="20"/>
          <w:szCs w:val="20"/>
        </w:rPr>
        <w:t>. Although its prospect value falls, assassination remains atop the preference ordering computed with log-normal probabilities</w:t>
      </w:r>
      <w:r w:rsidR="00644E9D" w:rsidRPr="0040227B">
        <w:rPr>
          <w:rFonts w:ascii="Times New Roman" w:hAnsi="Times New Roman" w:cs="Times New Roman"/>
          <w:sz w:val="20"/>
          <w:szCs w:val="20"/>
        </w:rPr>
        <w:t xml:space="preserve"> but it is replaced by bombing when outcomes are assumed to be normally distributed</w:t>
      </w:r>
      <w:r w:rsidRPr="0040227B">
        <w:rPr>
          <w:rFonts w:ascii="Times New Roman" w:hAnsi="Times New Roman" w:cs="Times New Roman"/>
          <w:sz w:val="20"/>
          <w:szCs w:val="20"/>
        </w:rPr>
        <w:t xml:space="preserve">. When the reference </w:t>
      </w:r>
      <w:r w:rsidR="00644E9D" w:rsidRPr="0040227B">
        <w:rPr>
          <w:rFonts w:ascii="Times New Roman" w:hAnsi="Times New Roman" w:cs="Times New Roman"/>
          <w:sz w:val="20"/>
          <w:szCs w:val="20"/>
        </w:rPr>
        <w:t xml:space="preserve">point changes from </w:t>
      </w:r>
      <w:r w:rsidR="00DC3BB3" w:rsidRPr="0040227B">
        <w:rPr>
          <w:rFonts w:ascii="Times New Roman" w:hAnsi="Times New Roman" w:cs="Times New Roman"/>
          <w:sz w:val="20"/>
          <w:szCs w:val="20"/>
        </w:rPr>
        <w:t>1</w:t>
      </w:r>
      <w:r w:rsidRPr="0040227B">
        <w:rPr>
          <w:rFonts w:ascii="Times New Roman" w:hAnsi="Times New Roman" w:cs="Times New Roman"/>
          <w:sz w:val="20"/>
          <w:szCs w:val="20"/>
        </w:rPr>
        <w:t xml:space="preserve"> to </w:t>
      </w:r>
      <w:r w:rsidR="00DC3BB3" w:rsidRPr="0040227B">
        <w:rPr>
          <w:rFonts w:ascii="Times New Roman" w:hAnsi="Times New Roman" w:cs="Times New Roman"/>
          <w:sz w:val="20"/>
          <w:szCs w:val="20"/>
        </w:rPr>
        <w:t>2</w:t>
      </w:r>
      <w:r w:rsidRPr="0040227B">
        <w:rPr>
          <w:rFonts w:ascii="Times New Roman" w:hAnsi="Times New Roman" w:cs="Times New Roman"/>
          <w:sz w:val="20"/>
          <w:szCs w:val="20"/>
        </w:rPr>
        <w:t xml:space="preserve">, bombing, armed attacks and unconventional attacks all move higher in the preference ordering. </w:t>
      </w:r>
      <w:r w:rsidR="00296DAB" w:rsidRPr="0040227B">
        <w:rPr>
          <w:rFonts w:ascii="Times New Roman" w:hAnsi="Times New Roman" w:cs="Times New Roman"/>
          <w:sz w:val="20"/>
          <w:szCs w:val="20"/>
        </w:rPr>
        <w:t xml:space="preserve">When the reference point is increased again from </w:t>
      </w:r>
      <w:r w:rsidR="00DC3BB3" w:rsidRPr="0040227B">
        <w:rPr>
          <w:rFonts w:ascii="Times New Roman" w:hAnsi="Times New Roman" w:cs="Times New Roman"/>
          <w:sz w:val="20"/>
          <w:szCs w:val="20"/>
        </w:rPr>
        <w:t>2 to 3</w:t>
      </w:r>
      <w:r w:rsidR="00296DAB" w:rsidRPr="0040227B">
        <w:rPr>
          <w:rFonts w:ascii="Times New Roman" w:hAnsi="Times New Roman" w:cs="Times New Roman"/>
          <w:sz w:val="20"/>
          <w:szCs w:val="20"/>
        </w:rPr>
        <w:t xml:space="preserve">, a similar re-ordering is observed. </w:t>
      </w:r>
      <w:r w:rsidR="008B6F54" w:rsidRPr="0040227B">
        <w:rPr>
          <w:rFonts w:ascii="Times New Roman" w:hAnsi="Times New Roman" w:cs="Times New Roman"/>
          <w:sz w:val="20"/>
          <w:szCs w:val="20"/>
        </w:rPr>
        <w:t xml:space="preserve">With each increase in the reference point, the attack methods that are expected to inflict a higher number of fatalities move higher in the preference ordering. However, the terrorist does not simply choose the attack method with the highest expected fatalities. Reference point dependence, risk seeking, risk aversion and loss aversion interact to produce a preference ordering that continues to accord relatively low rankings to </w:t>
      </w:r>
      <w:r w:rsidR="00644E9D" w:rsidRPr="0040227B">
        <w:rPr>
          <w:rFonts w:ascii="Times New Roman" w:hAnsi="Times New Roman" w:cs="Times New Roman"/>
          <w:sz w:val="20"/>
          <w:szCs w:val="20"/>
        </w:rPr>
        <w:t xml:space="preserve">the attack methods with the most variable outcomes, </w:t>
      </w:r>
      <w:r w:rsidR="008B6F54" w:rsidRPr="0040227B">
        <w:rPr>
          <w:rFonts w:ascii="Times New Roman" w:hAnsi="Times New Roman" w:cs="Times New Roman"/>
          <w:sz w:val="20"/>
          <w:szCs w:val="20"/>
        </w:rPr>
        <w:t>hostage-taking and unconventional attacks.</w:t>
      </w:r>
    </w:p>
    <w:p w:rsidR="001366C4" w:rsidRPr="0040227B" w:rsidRDefault="001366C4" w:rsidP="0040227B">
      <w:pPr>
        <w:spacing w:after="0" w:line="480" w:lineRule="auto"/>
        <w:jc w:val="both"/>
        <w:rPr>
          <w:rFonts w:ascii="Times New Roman" w:hAnsi="Times New Roman" w:cs="Times New Roman"/>
          <w:sz w:val="20"/>
          <w:szCs w:val="20"/>
        </w:rPr>
      </w:pPr>
    </w:p>
    <w:p w:rsidR="00644E9D" w:rsidRPr="0040227B" w:rsidRDefault="00DA4981" w:rsidP="0040227B">
      <w:pPr>
        <w:spacing w:after="0" w:line="480" w:lineRule="auto"/>
        <w:jc w:val="both"/>
        <w:rPr>
          <w:rFonts w:ascii="Times New Roman" w:hAnsi="Times New Roman" w:cs="Times New Roman"/>
          <w:sz w:val="20"/>
          <w:szCs w:val="20"/>
        </w:rPr>
      </w:pPr>
      <w:r w:rsidRPr="0040227B">
        <w:rPr>
          <w:rFonts w:ascii="Times New Roman" w:hAnsi="Times New Roman" w:cs="Times New Roman"/>
          <w:sz w:val="20"/>
          <w:szCs w:val="20"/>
        </w:rPr>
        <w:t>Those</w:t>
      </w:r>
      <w:r w:rsidR="00985D7D" w:rsidRPr="0040227B">
        <w:rPr>
          <w:rFonts w:ascii="Times New Roman" w:hAnsi="Times New Roman" w:cs="Times New Roman"/>
          <w:sz w:val="20"/>
          <w:szCs w:val="20"/>
        </w:rPr>
        <w:t xml:space="preserve"> lone wolf terrorists</w:t>
      </w:r>
      <w:r w:rsidR="006E4940" w:rsidRPr="0040227B">
        <w:rPr>
          <w:rFonts w:ascii="Times New Roman" w:hAnsi="Times New Roman" w:cs="Times New Roman"/>
          <w:sz w:val="20"/>
          <w:szCs w:val="20"/>
        </w:rPr>
        <w:t xml:space="preserve"> that have inflicted 2 or 3 injuries and fatalities have chosen less targeted attack methods, such as bombing and armed attacks or shootings. At the relatively low reference points of 2 and 3, however, the offender may still be observed to manage the variability of the outcomes by such means as directed parcel or letter bombings vis-à-vis leaving a bomb in a public place. Parcel bomber </w:t>
      </w:r>
      <w:r w:rsidR="00644E9D" w:rsidRPr="0040227B">
        <w:rPr>
          <w:rFonts w:ascii="Times New Roman" w:hAnsi="Times New Roman" w:cs="Times New Roman"/>
          <w:sz w:val="20"/>
          <w:szCs w:val="20"/>
        </w:rPr>
        <w:t>Roy Moody killed two people</w:t>
      </w:r>
      <w:r w:rsidR="006E4940" w:rsidRPr="0040227B">
        <w:rPr>
          <w:rFonts w:ascii="Times New Roman" w:hAnsi="Times New Roman" w:cs="Times New Roman"/>
          <w:sz w:val="20"/>
          <w:szCs w:val="20"/>
        </w:rPr>
        <w:t xml:space="preserve"> in separate bombing attacks</w:t>
      </w:r>
      <w:r w:rsidR="00644E9D" w:rsidRPr="0040227B">
        <w:rPr>
          <w:rFonts w:ascii="Times New Roman" w:hAnsi="Times New Roman" w:cs="Times New Roman"/>
          <w:sz w:val="20"/>
          <w:szCs w:val="20"/>
        </w:rPr>
        <w:t xml:space="preserve">, Rashid </w:t>
      </w:r>
      <w:proofErr w:type="spellStart"/>
      <w:r w:rsidR="00644E9D" w:rsidRPr="0040227B">
        <w:rPr>
          <w:rFonts w:ascii="Times New Roman" w:hAnsi="Times New Roman" w:cs="Times New Roman"/>
          <w:sz w:val="20"/>
          <w:szCs w:val="20"/>
        </w:rPr>
        <w:t>Baz</w:t>
      </w:r>
      <w:proofErr w:type="spellEnd"/>
      <w:r w:rsidR="00644E9D" w:rsidRPr="0040227B">
        <w:rPr>
          <w:rFonts w:ascii="Times New Roman" w:hAnsi="Times New Roman" w:cs="Times New Roman"/>
          <w:sz w:val="20"/>
          <w:szCs w:val="20"/>
        </w:rPr>
        <w:t xml:space="preserve"> killed one and injured two </w:t>
      </w:r>
      <w:r w:rsidR="006E4940" w:rsidRPr="0040227B">
        <w:rPr>
          <w:rFonts w:ascii="Times New Roman" w:hAnsi="Times New Roman" w:cs="Times New Roman"/>
          <w:sz w:val="20"/>
          <w:szCs w:val="20"/>
        </w:rPr>
        <w:t xml:space="preserve">in an armed attack directed towards a group of Jewish students in New York City </w:t>
      </w:r>
      <w:r w:rsidR="00644E9D" w:rsidRPr="0040227B">
        <w:rPr>
          <w:rFonts w:ascii="Times New Roman" w:hAnsi="Times New Roman" w:cs="Times New Roman"/>
          <w:sz w:val="20"/>
          <w:szCs w:val="20"/>
        </w:rPr>
        <w:t xml:space="preserve">and Paul Hill, an anti-abortion activist, </w:t>
      </w:r>
      <w:r w:rsidR="006E4940" w:rsidRPr="0040227B">
        <w:rPr>
          <w:rFonts w:ascii="Times New Roman" w:hAnsi="Times New Roman" w:cs="Times New Roman"/>
          <w:sz w:val="20"/>
          <w:szCs w:val="20"/>
        </w:rPr>
        <w:t xml:space="preserve">killed both a doctor and the doctor’s </w:t>
      </w:r>
      <w:r w:rsidR="001A275F" w:rsidRPr="0040227B">
        <w:rPr>
          <w:rFonts w:ascii="Times New Roman" w:hAnsi="Times New Roman" w:cs="Times New Roman"/>
          <w:sz w:val="20"/>
          <w:szCs w:val="20"/>
        </w:rPr>
        <w:t>companion</w:t>
      </w:r>
      <w:r w:rsidR="00253AAE" w:rsidRPr="0040227B">
        <w:rPr>
          <w:rFonts w:ascii="Times New Roman" w:hAnsi="Times New Roman" w:cs="Times New Roman"/>
          <w:sz w:val="20"/>
          <w:szCs w:val="20"/>
        </w:rPr>
        <w:t xml:space="preserve"> in a shooting in Florida. It should also be noted that the letter-bomber, Theodore Kaczynski, killed three people in separate letter bombings over a period of two decades and injured many more in similar attacks. Although Kaczynski accumulated 26 injuries and fatalities, each of his attacks resulted in one or a small number of injuries or fatalities. The preference orderings that emerge from an application of prospect theory to the RAND-MIPT transnational terrorism data indicate that lone wolf terrorists with reference points of </w:t>
      </w:r>
      <w:r w:rsidR="00985D7D" w:rsidRPr="0040227B">
        <w:rPr>
          <w:rFonts w:ascii="Times New Roman" w:hAnsi="Times New Roman" w:cs="Times New Roman"/>
          <w:sz w:val="20"/>
          <w:szCs w:val="20"/>
        </w:rPr>
        <w:t>1</w:t>
      </w:r>
      <w:r w:rsidR="00253AAE" w:rsidRPr="0040227B">
        <w:rPr>
          <w:rFonts w:ascii="Times New Roman" w:hAnsi="Times New Roman" w:cs="Times New Roman"/>
          <w:sz w:val="20"/>
          <w:szCs w:val="20"/>
        </w:rPr>
        <w:t xml:space="preserve">, </w:t>
      </w:r>
      <w:r w:rsidR="00985D7D" w:rsidRPr="0040227B">
        <w:rPr>
          <w:rFonts w:ascii="Times New Roman" w:hAnsi="Times New Roman" w:cs="Times New Roman"/>
          <w:sz w:val="20"/>
          <w:szCs w:val="20"/>
        </w:rPr>
        <w:t>2</w:t>
      </w:r>
      <w:r w:rsidR="00253AAE" w:rsidRPr="0040227B">
        <w:rPr>
          <w:rFonts w:ascii="Times New Roman" w:hAnsi="Times New Roman" w:cs="Times New Roman"/>
          <w:sz w:val="20"/>
          <w:szCs w:val="20"/>
        </w:rPr>
        <w:t xml:space="preserve"> or </w:t>
      </w:r>
      <w:r w:rsidR="00985D7D" w:rsidRPr="0040227B">
        <w:rPr>
          <w:rFonts w:ascii="Times New Roman" w:hAnsi="Times New Roman" w:cs="Times New Roman"/>
          <w:sz w:val="20"/>
          <w:szCs w:val="20"/>
        </w:rPr>
        <w:t xml:space="preserve">3 </w:t>
      </w:r>
      <w:r w:rsidR="00253AAE" w:rsidRPr="0040227B">
        <w:rPr>
          <w:rFonts w:ascii="Times New Roman" w:hAnsi="Times New Roman" w:cs="Times New Roman"/>
          <w:sz w:val="20"/>
          <w:szCs w:val="20"/>
        </w:rPr>
        <w:t>might place highly targeted assassination-type attacks and directed bombings atop their preference orderings. Furthermore, the analysis would lead us to expect that prospective lone wolf terrorists seeking to emulate the actions</w:t>
      </w:r>
      <w:r w:rsidR="00CA6E38" w:rsidRPr="0040227B">
        <w:rPr>
          <w:rFonts w:ascii="Times New Roman" w:hAnsi="Times New Roman" w:cs="Times New Roman"/>
          <w:sz w:val="20"/>
          <w:szCs w:val="20"/>
        </w:rPr>
        <w:t xml:space="preserve"> of these types of predecessors—exemplified by Moody, </w:t>
      </w:r>
      <w:proofErr w:type="spellStart"/>
      <w:r w:rsidR="00CA6E38" w:rsidRPr="0040227B">
        <w:rPr>
          <w:rFonts w:ascii="Times New Roman" w:hAnsi="Times New Roman" w:cs="Times New Roman"/>
          <w:sz w:val="20"/>
          <w:szCs w:val="20"/>
        </w:rPr>
        <w:t>Baz</w:t>
      </w:r>
      <w:proofErr w:type="spellEnd"/>
      <w:r w:rsidR="00CA6E38" w:rsidRPr="0040227B">
        <w:rPr>
          <w:rFonts w:ascii="Times New Roman" w:hAnsi="Times New Roman" w:cs="Times New Roman"/>
          <w:sz w:val="20"/>
          <w:szCs w:val="20"/>
        </w:rPr>
        <w:t>, Hill and even Kaczynski—</w:t>
      </w:r>
      <w:r w:rsidR="00253AAE" w:rsidRPr="0040227B">
        <w:rPr>
          <w:rFonts w:ascii="Times New Roman" w:hAnsi="Times New Roman" w:cs="Times New Roman"/>
          <w:sz w:val="20"/>
          <w:szCs w:val="20"/>
        </w:rPr>
        <w:t xml:space="preserve">could be expected to choose assassination or </w:t>
      </w:r>
      <w:r w:rsidR="006B1677" w:rsidRPr="0040227B">
        <w:rPr>
          <w:rFonts w:ascii="Times New Roman" w:hAnsi="Times New Roman" w:cs="Times New Roman"/>
          <w:sz w:val="20"/>
          <w:szCs w:val="20"/>
        </w:rPr>
        <w:t xml:space="preserve">directed </w:t>
      </w:r>
      <w:r w:rsidR="00253AAE" w:rsidRPr="0040227B">
        <w:rPr>
          <w:rFonts w:ascii="Times New Roman" w:hAnsi="Times New Roman" w:cs="Times New Roman"/>
          <w:sz w:val="20"/>
          <w:szCs w:val="20"/>
        </w:rPr>
        <w:t>bombing attacks</w:t>
      </w:r>
      <w:r w:rsidR="0050210C" w:rsidRPr="0040227B">
        <w:rPr>
          <w:rFonts w:ascii="Times New Roman" w:hAnsi="Times New Roman" w:cs="Times New Roman"/>
          <w:sz w:val="20"/>
          <w:szCs w:val="20"/>
        </w:rPr>
        <w:t xml:space="preserve"> just as their predecessors did</w:t>
      </w:r>
      <w:r w:rsidR="00253AAE" w:rsidRPr="0040227B">
        <w:rPr>
          <w:rFonts w:ascii="Times New Roman" w:hAnsi="Times New Roman" w:cs="Times New Roman"/>
          <w:sz w:val="20"/>
          <w:szCs w:val="20"/>
        </w:rPr>
        <w:t xml:space="preserve">.  </w:t>
      </w:r>
    </w:p>
    <w:p w:rsidR="00253AAE" w:rsidRPr="0040227B" w:rsidRDefault="00253AAE" w:rsidP="0040227B">
      <w:pPr>
        <w:spacing w:after="0" w:line="480" w:lineRule="auto"/>
        <w:jc w:val="both"/>
        <w:rPr>
          <w:rFonts w:ascii="Times New Roman" w:hAnsi="Times New Roman" w:cs="Times New Roman"/>
          <w:sz w:val="20"/>
          <w:szCs w:val="20"/>
        </w:rPr>
      </w:pPr>
    </w:p>
    <w:p w:rsidR="00612AD1" w:rsidRPr="0040227B" w:rsidRDefault="003C4A8B" w:rsidP="0040227B">
      <w:pPr>
        <w:spacing w:after="0" w:line="480" w:lineRule="auto"/>
        <w:jc w:val="both"/>
        <w:rPr>
          <w:rFonts w:ascii="Times New Roman" w:hAnsi="Times New Roman" w:cs="Times New Roman"/>
          <w:sz w:val="20"/>
          <w:szCs w:val="20"/>
        </w:rPr>
      </w:pPr>
      <w:r w:rsidRPr="0040227B">
        <w:rPr>
          <w:rFonts w:ascii="Times New Roman" w:hAnsi="Times New Roman" w:cs="Times New Roman"/>
          <w:sz w:val="20"/>
          <w:szCs w:val="20"/>
        </w:rPr>
        <w:t xml:space="preserve">In the United States, it has often been the case that </w:t>
      </w:r>
      <w:r w:rsidR="001C3C45" w:rsidRPr="0040227B">
        <w:rPr>
          <w:rFonts w:ascii="Times New Roman" w:hAnsi="Times New Roman" w:cs="Times New Roman"/>
          <w:sz w:val="20"/>
          <w:szCs w:val="20"/>
        </w:rPr>
        <w:t xml:space="preserve">armed attacks or shootings by lone offenders </w:t>
      </w:r>
      <w:r w:rsidR="00481831" w:rsidRPr="0040227B">
        <w:rPr>
          <w:rFonts w:ascii="Times New Roman" w:hAnsi="Times New Roman" w:cs="Times New Roman"/>
          <w:sz w:val="20"/>
          <w:szCs w:val="20"/>
        </w:rPr>
        <w:t xml:space="preserve">have resulted in </w:t>
      </w:r>
      <w:r w:rsidR="00BF3A0B" w:rsidRPr="0040227B">
        <w:rPr>
          <w:rFonts w:ascii="Times New Roman" w:hAnsi="Times New Roman" w:cs="Times New Roman"/>
          <w:sz w:val="20"/>
          <w:szCs w:val="20"/>
        </w:rPr>
        <w:t>4</w:t>
      </w:r>
      <w:r w:rsidR="00481831" w:rsidRPr="0040227B">
        <w:rPr>
          <w:rFonts w:ascii="Times New Roman" w:hAnsi="Times New Roman" w:cs="Times New Roman"/>
          <w:sz w:val="20"/>
          <w:szCs w:val="20"/>
        </w:rPr>
        <w:t xml:space="preserve">, </w:t>
      </w:r>
      <w:r w:rsidR="00BF3A0B" w:rsidRPr="0040227B">
        <w:rPr>
          <w:rFonts w:ascii="Times New Roman" w:hAnsi="Times New Roman" w:cs="Times New Roman"/>
          <w:sz w:val="20"/>
          <w:szCs w:val="20"/>
        </w:rPr>
        <w:t>5</w:t>
      </w:r>
      <w:r w:rsidR="00481831" w:rsidRPr="0040227B">
        <w:rPr>
          <w:rFonts w:ascii="Times New Roman" w:hAnsi="Times New Roman" w:cs="Times New Roman"/>
          <w:sz w:val="20"/>
          <w:szCs w:val="20"/>
        </w:rPr>
        <w:t xml:space="preserve"> or </w:t>
      </w:r>
      <w:r w:rsidR="00294CD2">
        <w:rPr>
          <w:rFonts w:ascii="Times New Roman" w:hAnsi="Times New Roman" w:cs="Times New Roman"/>
          <w:sz w:val="20"/>
          <w:szCs w:val="20"/>
        </w:rPr>
        <w:t>more</w:t>
      </w:r>
      <w:r w:rsidRPr="0040227B">
        <w:rPr>
          <w:rFonts w:ascii="Times New Roman" w:hAnsi="Times New Roman" w:cs="Times New Roman"/>
          <w:sz w:val="20"/>
          <w:szCs w:val="20"/>
        </w:rPr>
        <w:t xml:space="preserve"> i</w:t>
      </w:r>
      <w:r w:rsidR="001C3C45" w:rsidRPr="0040227B">
        <w:rPr>
          <w:rFonts w:ascii="Times New Roman" w:hAnsi="Times New Roman" w:cs="Times New Roman"/>
          <w:sz w:val="20"/>
          <w:szCs w:val="20"/>
        </w:rPr>
        <w:t>njuries and fatalities</w:t>
      </w:r>
      <w:r w:rsidRPr="0040227B">
        <w:rPr>
          <w:rFonts w:ascii="Times New Roman" w:hAnsi="Times New Roman" w:cs="Times New Roman"/>
          <w:sz w:val="20"/>
          <w:szCs w:val="20"/>
        </w:rPr>
        <w:t xml:space="preserve">. </w:t>
      </w:r>
      <w:r w:rsidR="00481831" w:rsidRPr="0040227B">
        <w:rPr>
          <w:rFonts w:ascii="Times New Roman" w:hAnsi="Times New Roman" w:cs="Times New Roman"/>
          <w:sz w:val="20"/>
          <w:szCs w:val="20"/>
        </w:rPr>
        <w:t>These include</w:t>
      </w:r>
      <w:r w:rsidR="001A275F" w:rsidRPr="0040227B">
        <w:rPr>
          <w:rFonts w:ascii="Times New Roman" w:hAnsi="Times New Roman" w:cs="Times New Roman"/>
          <w:sz w:val="20"/>
          <w:szCs w:val="20"/>
        </w:rPr>
        <w:t xml:space="preserve"> attacks perpetrated by</w:t>
      </w:r>
      <w:r w:rsidR="00481831" w:rsidRPr="0040227B">
        <w:rPr>
          <w:rFonts w:ascii="Times New Roman" w:hAnsi="Times New Roman" w:cs="Times New Roman"/>
          <w:sz w:val="20"/>
          <w:szCs w:val="20"/>
        </w:rPr>
        <w:t xml:space="preserve"> Mir </w:t>
      </w:r>
      <w:proofErr w:type="spellStart"/>
      <w:r w:rsidR="00481831" w:rsidRPr="0040227B">
        <w:rPr>
          <w:rFonts w:ascii="Times New Roman" w:hAnsi="Times New Roman" w:cs="Times New Roman"/>
          <w:sz w:val="20"/>
          <w:szCs w:val="20"/>
        </w:rPr>
        <w:t>Aimal</w:t>
      </w:r>
      <w:proofErr w:type="spellEnd"/>
      <w:r w:rsidR="00481831" w:rsidRPr="0040227B">
        <w:rPr>
          <w:rFonts w:ascii="Times New Roman" w:hAnsi="Times New Roman" w:cs="Times New Roman"/>
          <w:sz w:val="20"/>
          <w:szCs w:val="20"/>
        </w:rPr>
        <w:t xml:space="preserve"> </w:t>
      </w:r>
      <w:proofErr w:type="spellStart"/>
      <w:r w:rsidR="00481831" w:rsidRPr="0040227B">
        <w:rPr>
          <w:rFonts w:ascii="Times New Roman" w:hAnsi="Times New Roman" w:cs="Times New Roman"/>
          <w:sz w:val="20"/>
          <w:szCs w:val="20"/>
        </w:rPr>
        <w:t>Kansi</w:t>
      </w:r>
      <w:proofErr w:type="spellEnd"/>
      <w:r w:rsidR="00481831" w:rsidRPr="0040227B">
        <w:rPr>
          <w:rFonts w:ascii="Times New Roman" w:hAnsi="Times New Roman" w:cs="Times New Roman"/>
          <w:sz w:val="20"/>
          <w:szCs w:val="20"/>
        </w:rPr>
        <w:t xml:space="preserve">, </w:t>
      </w:r>
      <w:proofErr w:type="spellStart"/>
      <w:r w:rsidR="00481831" w:rsidRPr="0040227B">
        <w:rPr>
          <w:rFonts w:ascii="Times New Roman" w:hAnsi="Times New Roman" w:cs="Times New Roman"/>
          <w:sz w:val="20"/>
          <w:szCs w:val="20"/>
        </w:rPr>
        <w:t>Sirhan</w:t>
      </w:r>
      <w:proofErr w:type="spellEnd"/>
      <w:r w:rsidR="00481831" w:rsidRPr="0040227B">
        <w:rPr>
          <w:rFonts w:ascii="Times New Roman" w:hAnsi="Times New Roman" w:cs="Times New Roman"/>
          <w:sz w:val="20"/>
          <w:szCs w:val="20"/>
        </w:rPr>
        <w:t xml:space="preserve"> </w:t>
      </w:r>
      <w:proofErr w:type="spellStart"/>
      <w:r w:rsidR="00481831" w:rsidRPr="0040227B">
        <w:rPr>
          <w:rFonts w:ascii="Times New Roman" w:hAnsi="Times New Roman" w:cs="Times New Roman"/>
          <w:sz w:val="20"/>
          <w:szCs w:val="20"/>
        </w:rPr>
        <w:t>Sirhan</w:t>
      </w:r>
      <w:proofErr w:type="spellEnd"/>
      <w:r w:rsidR="00481831" w:rsidRPr="0040227B">
        <w:rPr>
          <w:rFonts w:ascii="Times New Roman" w:hAnsi="Times New Roman" w:cs="Times New Roman"/>
          <w:sz w:val="20"/>
          <w:szCs w:val="20"/>
        </w:rPr>
        <w:t xml:space="preserve">, Buford </w:t>
      </w:r>
      <w:r w:rsidR="00481831" w:rsidRPr="0040227B">
        <w:rPr>
          <w:rFonts w:ascii="Times New Roman" w:hAnsi="Times New Roman" w:cs="Times New Roman"/>
          <w:sz w:val="20"/>
          <w:szCs w:val="20"/>
        </w:rPr>
        <w:lastRenderedPageBreak/>
        <w:t xml:space="preserve">Furrow, Richard Baumhammers, </w:t>
      </w:r>
      <w:proofErr w:type="spellStart"/>
      <w:r w:rsidR="00481831" w:rsidRPr="0040227B">
        <w:rPr>
          <w:rFonts w:ascii="Times New Roman" w:hAnsi="Times New Roman" w:cs="Times New Roman"/>
          <w:sz w:val="20"/>
          <w:szCs w:val="20"/>
        </w:rPr>
        <w:t>Hesham</w:t>
      </w:r>
      <w:proofErr w:type="spellEnd"/>
      <w:r w:rsidR="00481831" w:rsidRPr="0040227B">
        <w:rPr>
          <w:rFonts w:ascii="Times New Roman" w:hAnsi="Times New Roman" w:cs="Times New Roman"/>
          <w:sz w:val="20"/>
          <w:szCs w:val="20"/>
        </w:rPr>
        <w:t xml:space="preserve"> Mohamed Ali </w:t>
      </w:r>
      <w:proofErr w:type="spellStart"/>
      <w:r w:rsidR="00481831" w:rsidRPr="0040227B">
        <w:rPr>
          <w:rFonts w:ascii="Times New Roman" w:hAnsi="Times New Roman" w:cs="Times New Roman"/>
          <w:sz w:val="20"/>
          <w:szCs w:val="20"/>
        </w:rPr>
        <w:t>Hadayet</w:t>
      </w:r>
      <w:proofErr w:type="spellEnd"/>
      <w:r w:rsidR="00481831" w:rsidRPr="0040227B">
        <w:rPr>
          <w:rFonts w:ascii="Times New Roman" w:hAnsi="Times New Roman" w:cs="Times New Roman"/>
          <w:sz w:val="20"/>
          <w:szCs w:val="20"/>
        </w:rPr>
        <w:t xml:space="preserve"> and </w:t>
      </w:r>
      <w:proofErr w:type="spellStart"/>
      <w:r w:rsidR="00481831" w:rsidRPr="0040227B">
        <w:rPr>
          <w:rFonts w:ascii="Times New Roman" w:hAnsi="Times New Roman" w:cs="Times New Roman"/>
          <w:sz w:val="20"/>
          <w:szCs w:val="20"/>
        </w:rPr>
        <w:t>Naveed</w:t>
      </w:r>
      <w:proofErr w:type="spellEnd"/>
      <w:r w:rsidR="00481831" w:rsidRPr="0040227B">
        <w:rPr>
          <w:rFonts w:ascii="Times New Roman" w:hAnsi="Times New Roman" w:cs="Times New Roman"/>
          <w:sz w:val="20"/>
          <w:szCs w:val="20"/>
        </w:rPr>
        <w:t xml:space="preserve"> Afzal </w:t>
      </w:r>
      <w:proofErr w:type="spellStart"/>
      <w:r w:rsidR="00481831" w:rsidRPr="0040227B">
        <w:rPr>
          <w:rFonts w:ascii="Times New Roman" w:hAnsi="Times New Roman" w:cs="Times New Roman"/>
          <w:sz w:val="20"/>
          <w:szCs w:val="20"/>
        </w:rPr>
        <w:t>Haq</w:t>
      </w:r>
      <w:proofErr w:type="spellEnd"/>
      <w:r w:rsidR="00481831" w:rsidRPr="0040227B">
        <w:rPr>
          <w:rFonts w:ascii="Times New Roman" w:hAnsi="Times New Roman" w:cs="Times New Roman"/>
          <w:sz w:val="20"/>
          <w:szCs w:val="20"/>
        </w:rPr>
        <w:t>. S</w:t>
      </w:r>
      <w:r w:rsidRPr="0040227B">
        <w:rPr>
          <w:rFonts w:ascii="Times New Roman" w:hAnsi="Times New Roman" w:cs="Times New Roman"/>
          <w:sz w:val="20"/>
          <w:szCs w:val="20"/>
        </w:rPr>
        <w:t>ome lone wolf terrorists have inflicted several fatalities in ‘less targeted’ bombings where bombs were left in public places rather than deliv</w:t>
      </w:r>
      <w:r w:rsidR="001C3C45" w:rsidRPr="0040227B">
        <w:rPr>
          <w:rFonts w:ascii="Times New Roman" w:hAnsi="Times New Roman" w:cs="Times New Roman"/>
          <w:sz w:val="20"/>
          <w:szCs w:val="20"/>
        </w:rPr>
        <w:t>ered to particular targets. E</w:t>
      </w:r>
      <w:r w:rsidRPr="0040227B">
        <w:rPr>
          <w:rFonts w:ascii="Times New Roman" w:hAnsi="Times New Roman" w:cs="Times New Roman"/>
          <w:sz w:val="20"/>
          <w:szCs w:val="20"/>
        </w:rPr>
        <w:t>xample</w:t>
      </w:r>
      <w:r w:rsidR="001C3C45" w:rsidRPr="0040227B">
        <w:rPr>
          <w:rFonts w:ascii="Times New Roman" w:hAnsi="Times New Roman" w:cs="Times New Roman"/>
          <w:sz w:val="20"/>
          <w:szCs w:val="20"/>
        </w:rPr>
        <w:t xml:space="preserve">s include </w:t>
      </w:r>
      <w:proofErr w:type="spellStart"/>
      <w:r w:rsidR="001C3C45" w:rsidRPr="0040227B">
        <w:rPr>
          <w:rFonts w:ascii="Times New Roman" w:hAnsi="Times New Roman" w:cs="Times New Roman"/>
          <w:sz w:val="20"/>
          <w:szCs w:val="20"/>
        </w:rPr>
        <w:t>Muharem</w:t>
      </w:r>
      <w:proofErr w:type="spellEnd"/>
      <w:r w:rsidR="001C3C45" w:rsidRPr="0040227B">
        <w:rPr>
          <w:rFonts w:ascii="Times New Roman" w:hAnsi="Times New Roman" w:cs="Times New Roman"/>
          <w:sz w:val="20"/>
          <w:szCs w:val="20"/>
        </w:rPr>
        <w:t xml:space="preserve"> </w:t>
      </w:r>
      <w:proofErr w:type="spellStart"/>
      <w:r w:rsidR="001C3C45" w:rsidRPr="0040227B">
        <w:rPr>
          <w:rFonts w:ascii="Times New Roman" w:hAnsi="Times New Roman" w:cs="Times New Roman"/>
          <w:sz w:val="20"/>
          <w:szCs w:val="20"/>
        </w:rPr>
        <w:t>Kurbegovich</w:t>
      </w:r>
      <w:proofErr w:type="spellEnd"/>
      <w:r w:rsidR="001C3C45" w:rsidRPr="0040227B">
        <w:rPr>
          <w:rFonts w:ascii="Times New Roman" w:hAnsi="Times New Roman" w:cs="Times New Roman"/>
          <w:sz w:val="20"/>
          <w:szCs w:val="20"/>
        </w:rPr>
        <w:t xml:space="preserve">, who placed a bomb in a locker at Los Angeles Airport in August 1974 which killed 3 people and injured many others, and </w:t>
      </w:r>
      <w:r w:rsidRPr="0040227B">
        <w:rPr>
          <w:rFonts w:ascii="Times New Roman" w:hAnsi="Times New Roman" w:cs="Times New Roman"/>
          <w:sz w:val="20"/>
          <w:szCs w:val="20"/>
        </w:rPr>
        <w:t>the Austrian terrorist Franz Fuchs</w:t>
      </w:r>
      <w:r w:rsidR="001C3C45" w:rsidRPr="0040227B">
        <w:rPr>
          <w:rFonts w:ascii="Times New Roman" w:hAnsi="Times New Roman" w:cs="Times New Roman"/>
          <w:sz w:val="20"/>
          <w:szCs w:val="20"/>
        </w:rPr>
        <w:t>, who killed 4 people when the bomb he had placed i</w:t>
      </w:r>
      <w:r w:rsidR="00481831" w:rsidRPr="0040227B">
        <w:rPr>
          <w:rFonts w:ascii="Times New Roman" w:hAnsi="Times New Roman" w:cs="Times New Roman"/>
          <w:sz w:val="20"/>
          <w:szCs w:val="20"/>
        </w:rPr>
        <w:t xml:space="preserve">n a </w:t>
      </w:r>
      <w:r w:rsidR="001C3C45" w:rsidRPr="0040227B">
        <w:rPr>
          <w:rFonts w:ascii="Times New Roman" w:hAnsi="Times New Roman" w:cs="Times New Roman"/>
          <w:sz w:val="20"/>
          <w:szCs w:val="20"/>
        </w:rPr>
        <w:t xml:space="preserve">public </w:t>
      </w:r>
      <w:r w:rsidR="00481831" w:rsidRPr="0040227B">
        <w:rPr>
          <w:rFonts w:ascii="Times New Roman" w:hAnsi="Times New Roman" w:cs="Times New Roman"/>
          <w:sz w:val="20"/>
          <w:szCs w:val="20"/>
        </w:rPr>
        <w:t>park</w:t>
      </w:r>
      <w:r w:rsidR="001C3C45" w:rsidRPr="0040227B">
        <w:rPr>
          <w:rFonts w:ascii="Times New Roman" w:hAnsi="Times New Roman" w:cs="Times New Roman"/>
          <w:sz w:val="20"/>
          <w:szCs w:val="20"/>
        </w:rPr>
        <w:t xml:space="preserve"> exploded</w:t>
      </w:r>
      <w:r w:rsidRPr="0040227B">
        <w:rPr>
          <w:rFonts w:ascii="Times New Roman" w:hAnsi="Times New Roman" w:cs="Times New Roman"/>
          <w:sz w:val="20"/>
          <w:szCs w:val="20"/>
        </w:rPr>
        <w:t xml:space="preserve">. </w:t>
      </w:r>
      <w:r w:rsidR="00BD3E8A" w:rsidRPr="0040227B">
        <w:rPr>
          <w:rFonts w:ascii="Times New Roman" w:hAnsi="Times New Roman" w:cs="Times New Roman"/>
          <w:sz w:val="20"/>
          <w:szCs w:val="20"/>
        </w:rPr>
        <w:t>In most of the armed attacks</w:t>
      </w:r>
      <w:r w:rsidR="00481831" w:rsidRPr="0040227B">
        <w:rPr>
          <w:rFonts w:ascii="Times New Roman" w:hAnsi="Times New Roman" w:cs="Times New Roman"/>
          <w:sz w:val="20"/>
          <w:szCs w:val="20"/>
        </w:rPr>
        <w:t xml:space="preserve"> or shootings the offender</w:t>
      </w:r>
      <w:r w:rsidR="00D12CCC" w:rsidRPr="0040227B">
        <w:rPr>
          <w:rFonts w:ascii="Times New Roman" w:hAnsi="Times New Roman" w:cs="Times New Roman"/>
          <w:sz w:val="20"/>
          <w:szCs w:val="20"/>
        </w:rPr>
        <w:t xml:space="preserve"> has selected a target location where he has opened fire on people in the vicinity. In some cases, such acts were followed by further violence. For example, Buford Furrow first opened fire at a community centre where he wounded five people. Later the same day at another location he murdered a postal worker. The preference orderings for </w:t>
      </w:r>
      <w:r w:rsidR="00D57EBA" w:rsidRPr="0040227B">
        <w:rPr>
          <w:rFonts w:ascii="Times New Roman" w:hAnsi="Times New Roman" w:cs="Times New Roman"/>
          <w:sz w:val="20"/>
          <w:szCs w:val="20"/>
        </w:rPr>
        <w:t xml:space="preserve">reference points </w:t>
      </w:r>
      <w:r w:rsidR="00BF3A0B" w:rsidRPr="0040227B">
        <w:rPr>
          <w:rFonts w:ascii="Times New Roman" w:hAnsi="Times New Roman" w:cs="Times New Roman"/>
          <w:sz w:val="20"/>
          <w:szCs w:val="20"/>
        </w:rPr>
        <w:t>4</w:t>
      </w:r>
      <w:r w:rsidR="00D57EBA" w:rsidRPr="0040227B">
        <w:rPr>
          <w:rFonts w:ascii="Times New Roman" w:hAnsi="Times New Roman" w:cs="Times New Roman"/>
          <w:sz w:val="20"/>
          <w:szCs w:val="20"/>
        </w:rPr>
        <w:t xml:space="preserve"> and </w:t>
      </w:r>
      <w:r w:rsidR="00BF3A0B" w:rsidRPr="0040227B">
        <w:rPr>
          <w:rFonts w:ascii="Times New Roman" w:hAnsi="Times New Roman" w:cs="Times New Roman"/>
          <w:sz w:val="20"/>
          <w:szCs w:val="20"/>
        </w:rPr>
        <w:t>5</w:t>
      </w:r>
      <w:r w:rsidR="00481831" w:rsidRPr="0040227B">
        <w:rPr>
          <w:rFonts w:ascii="Times New Roman" w:hAnsi="Times New Roman" w:cs="Times New Roman"/>
          <w:sz w:val="20"/>
          <w:szCs w:val="20"/>
        </w:rPr>
        <w:t xml:space="preserve"> </w:t>
      </w:r>
      <w:r w:rsidR="00924E5D" w:rsidRPr="0040227B">
        <w:rPr>
          <w:rFonts w:ascii="Times New Roman" w:hAnsi="Times New Roman" w:cs="Times New Roman"/>
          <w:sz w:val="20"/>
          <w:szCs w:val="20"/>
        </w:rPr>
        <w:t>show that, for the log-normal case, bombing and armed attacks gradually move towards the top of the preference ranking</w:t>
      </w:r>
      <w:r w:rsidR="000E0DAF" w:rsidRPr="0040227B">
        <w:rPr>
          <w:rFonts w:ascii="Times New Roman" w:hAnsi="Times New Roman" w:cs="Times New Roman"/>
          <w:sz w:val="20"/>
          <w:szCs w:val="20"/>
        </w:rPr>
        <w:t xml:space="preserve"> and those attack methods with lower expected inflicted fatalities move further down the preference ranking as the reference point increases. Although some of the positions of the individual attack methods are in different positions when outcomes are assumed to be normally distributed, </w:t>
      </w:r>
      <w:r w:rsidR="00C2404E" w:rsidRPr="0040227B">
        <w:rPr>
          <w:rFonts w:ascii="Times New Roman" w:hAnsi="Times New Roman" w:cs="Times New Roman"/>
          <w:sz w:val="20"/>
          <w:szCs w:val="20"/>
        </w:rPr>
        <w:t xml:space="preserve">some of </w:t>
      </w:r>
      <w:r w:rsidR="000E0DAF" w:rsidRPr="0040227B">
        <w:rPr>
          <w:rFonts w:ascii="Times New Roman" w:hAnsi="Times New Roman" w:cs="Times New Roman"/>
          <w:sz w:val="20"/>
          <w:szCs w:val="20"/>
        </w:rPr>
        <w:t xml:space="preserve">the same general characteristics are observed. </w:t>
      </w:r>
    </w:p>
    <w:p w:rsidR="00CD547A" w:rsidRPr="0040227B" w:rsidRDefault="00CD547A" w:rsidP="0040227B">
      <w:pPr>
        <w:spacing w:after="0" w:line="480" w:lineRule="auto"/>
        <w:jc w:val="both"/>
        <w:rPr>
          <w:rFonts w:ascii="Times New Roman" w:hAnsi="Times New Roman" w:cs="Times New Roman"/>
          <w:sz w:val="20"/>
          <w:szCs w:val="20"/>
        </w:rPr>
      </w:pPr>
    </w:p>
    <w:p w:rsidR="00C0419F" w:rsidRPr="0040227B" w:rsidRDefault="00D57EBA" w:rsidP="0040227B">
      <w:pPr>
        <w:spacing w:after="0" w:line="480" w:lineRule="auto"/>
        <w:jc w:val="both"/>
        <w:rPr>
          <w:rFonts w:ascii="Times New Roman" w:hAnsi="Times New Roman" w:cs="Times New Roman"/>
          <w:sz w:val="20"/>
          <w:szCs w:val="20"/>
        </w:rPr>
      </w:pPr>
      <w:r w:rsidRPr="0040227B">
        <w:rPr>
          <w:rFonts w:ascii="Times New Roman" w:hAnsi="Times New Roman" w:cs="Times New Roman"/>
          <w:sz w:val="20"/>
          <w:szCs w:val="20"/>
        </w:rPr>
        <w:t>The reference points 1 to 5</w:t>
      </w:r>
      <w:r w:rsidR="00C0419F" w:rsidRPr="0040227B">
        <w:rPr>
          <w:rFonts w:ascii="Times New Roman" w:hAnsi="Times New Roman" w:cs="Times New Roman"/>
          <w:sz w:val="20"/>
          <w:szCs w:val="20"/>
        </w:rPr>
        <w:t xml:space="preserve"> encompass the </w:t>
      </w:r>
      <w:r w:rsidR="00387BC7" w:rsidRPr="0040227B">
        <w:rPr>
          <w:rFonts w:ascii="Times New Roman" w:hAnsi="Times New Roman" w:cs="Times New Roman"/>
          <w:sz w:val="20"/>
          <w:szCs w:val="20"/>
        </w:rPr>
        <w:t xml:space="preserve">outcomes of the </w:t>
      </w:r>
      <w:r w:rsidR="00C0419F" w:rsidRPr="0040227B">
        <w:rPr>
          <w:rFonts w:ascii="Times New Roman" w:hAnsi="Times New Roman" w:cs="Times New Roman"/>
          <w:sz w:val="20"/>
          <w:szCs w:val="20"/>
        </w:rPr>
        <w:t xml:space="preserve">actions of </w:t>
      </w:r>
      <w:r w:rsidRPr="0040227B">
        <w:rPr>
          <w:rFonts w:ascii="Times New Roman" w:hAnsi="Times New Roman" w:cs="Times New Roman"/>
          <w:sz w:val="20"/>
          <w:szCs w:val="20"/>
        </w:rPr>
        <w:t>the majority of</w:t>
      </w:r>
      <w:r w:rsidR="00C0419F" w:rsidRPr="0040227B">
        <w:rPr>
          <w:rFonts w:ascii="Times New Roman" w:hAnsi="Times New Roman" w:cs="Times New Roman"/>
          <w:sz w:val="20"/>
          <w:szCs w:val="20"/>
        </w:rPr>
        <w:t xml:space="preserve"> </w:t>
      </w:r>
      <w:r w:rsidR="00387BC7" w:rsidRPr="0040227B">
        <w:rPr>
          <w:rFonts w:ascii="Times New Roman" w:hAnsi="Times New Roman" w:cs="Times New Roman"/>
          <w:sz w:val="20"/>
          <w:szCs w:val="20"/>
        </w:rPr>
        <w:t xml:space="preserve">the </w:t>
      </w:r>
      <w:r w:rsidR="00C0419F" w:rsidRPr="0040227B">
        <w:rPr>
          <w:rFonts w:ascii="Times New Roman" w:hAnsi="Times New Roman" w:cs="Times New Roman"/>
          <w:sz w:val="20"/>
          <w:szCs w:val="20"/>
        </w:rPr>
        <w:t>lone wolf terrorists</w:t>
      </w:r>
      <w:r w:rsidR="008A749E" w:rsidRPr="0040227B">
        <w:rPr>
          <w:rFonts w:ascii="Times New Roman" w:hAnsi="Times New Roman" w:cs="Times New Roman"/>
          <w:sz w:val="20"/>
          <w:szCs w:val="20"/>
        </w:rPr>
        <w:t xml:space="preserve"> </w:t>
      </w:r>
      <w:r w:rsidR="008A749E" w:rsidRPr="0040227B">
        <w:rPr>
          <w:rFonts w:ascii="Times New Roman" w:hAnsi="Times New Roman" w:cs="Times New Roman"/>
          <w:i/>
          <w:sz w:val="20"/>
          <w:szCs w:val="20"/>
        </w:rPr>
        <w:t xml:space="preserve">for </w:t>
      </w:r>
      <w:r w:rsidR="00BD3E8A" w:rsidRPr="0040227B">
        <w:rPr>
          <w:rFonts w:ascii="Times New Roman" w:hAnsi="Times New Roman" w:cs="Times New Roman"/>
          <w:i/>
          <w:sz w:val="20"/>
          <w:szCs w:val="20"/>
        </w:rPr>
        <w:t xml:space="preserve">individual </w:t>
      </w:r>
      <w:r w:rsidR="008A749E" w:rsidRPr="0040227B">
        <w:rPr>
          <w:rFonts w:ascii="Times New Roman" w:hAnsi="Times New Roman" w:cs="Times New Roman"/>
          <w:i/>
          <w:sz w:val="20"/>
          <w:szCs w:val="20"/>
        </w:rPr>
        <w:t>attacks</w:t>
      </w:r>
      <w:r w:rsidR="00C0419F" w:rsidRPr="0040227B">
        <w:rPr>
          <w:rFonts w:ascii="Times New Roman" w:hAnsi="Times New Roman" w:cs="Times New Roman"/>
          <w:sz w:val="20"/>
          <w:szCs w:val="20"/>
        </w:rPr>
        <w:t xml:space="preserve">. </w:t>
      </w:r>
      <w:r w:rsidRPr="0040227B">
        <w:rPr>
          <w:rFonts w:ascii="Times New Roman" w:hAnsi="Times New Roman" w:cs="Times New Roman"/>
          <w:sz w:val="20"/>
          <w:szCs w:val="20"/>
        </w:rPr>
        <w:t>Although a number</w:t>
      </w:r>
      <w:r w:rsidR="00B3461C" w:rsidRPr="0040227B">
        <w:rPr>
          <w:rFonts w:ascii="Times New Roman" w:hAnsi="Times New Roman" w:cs="Times New Roman"/>
          <w:sz w:val="20"/>
          <w:szCs w:val="20"/>
        </w:rPr>
        <w:t xml:space="preserve"> of the ‘serial’ lone wolf terrorists inflicted more than five injuries and fatalities, they did so cumulatively with </w:t>
      </w:r>
      <w:r w:rsidR="00BD3E8A" w:rsidRPr="0040227B">
        <w:rPr>
          <w:rFonts w:ascii="Times New Roman" w:hAnsi="Times New Roman" w:cs="Times New Roman"/>
          <w:sz w:val="20"/>
          <w:szCs w:val="20"/>
        </w:rPr>
        <w:t xml:space="preserve">single </w:t>
      </w:r>
      <w:r w:rsidR="00B3461C" w:rsidRPr="0040227B">
        <w:rPr>
          <w:rFonts w:ascii="Times New Roman" w:hAnsi="Times New Roman" w:cs="Times New Roman"/>
          <w:sz w:val="20"/>
          <w:szCs w:val="20"/>
        </w:rPr>
        <w:t>attacks that did not</w:t>
      </w:r>
      <w:r w:rsidR="001A275F" w:rsidRPr="0040227B">
        <w:rPr>
          <w:rFonts w:ascii="Times New Roman" w:hAnsi="Times New Roman" w:cs="Times New Roman"/>
          <w:sz w:val="20"/>
          <w:szCs w:val="20"/>
        </w:rPr>
        <w:t xml:space="preserve"> usually</w:t>
      </w:r>
      <w:r w:rsidR="00B3461C" w:rsidRPr="0040227B">
        <w:rPr>
          <w:rFonts w:ascii="Times New Roman" w:hAnsi="Times New Roman" w:cs="Times New Roman"/>
          <w:sz w:val="20"/>
          <w:szCs w:val="20"/>
        </w:rPr>
        <w:t xml:space="preserve"> inflict more than </w:t>
      </w:r>
      <w:r w:rsidR="00BF3A0B" w:rsidRPr="0040227B">
        <w:rPr>
          <w:rFonts w:ascii="Times New Roman" w:hAnsi="Times New Roman" w:cs="Times New Roman"/>
          <w:sz w:val="20"/>
          <w:szCs w:val="20"/>
        </w:rPr>
        <w:t>1</w:t>
      </w:r>
      <w:r w:rsidR="00B3461C" w:rsidRPr="0040227B">
        <w:rPr>
          <w:rFonts w:ascii="Times New Roman" w:hAnsi="Times New Roman" w:cs="Times New Roman"/>
          <w:sz w:val="20"/>
          <w:szCs w:val="20"/>
        </w:rPr>
        <w:t xml:space="preserve">, </w:t>
      </w:r>
      <w:r w:rsidR="00BF3A0B" w:rsidRPr="0040227B">
        <w:rPr>
          <w:rFonts w:ascii="Times New Roman" w:hAnsi="Times New Roman" w:cs="Times New Roman"/>
          <w:sz w:val="20"/>
          <w:szCs w:val="20"/>
        </w:rPr>
        <w:t xml:space="preserve">2 </w:t>
      </w:r>
      <w:r w:rsidR="00B3461C" w:rsidRPr="0040227B">
        <w:rPr>
          <w:rFonts w:ascii="Times New Roman" w:hAnsi="Times New Roman" w:cs="Times New Roman"/>
          <w:sz w:val="20"/>
          <w:szCs w:val="20"/>
        </w:rPr>
        <w:t xml:space="preserve">or </w:t>
      </w:r>
      <w:r w:rsidR="00BF3A0B" w:rsidRPr="0040227B">
        <w:rPr>
          <w:rFonts w:ascii="Times New Roman" w:hAnsi="Times New Roman" w:cs="Times New Roman"/>
          <w:sz w:val="20"/>
          <w:szCs w:val="20"/>
        </w:rPr>
        <w:t>3</w:t>
      </w:r>
      <w:r w:rsidR="00B3461C" w:rsidRPr="0040227B">
        <w:rPr>
          <w:rFonts w:ascii="Times New Roman" w:hAnsi="Times New Roman" w:cs="Times New Roman"/>
          <w:sz w:val="20"/>
          <w:szCs w:val="20"/>
        </w:rPr>
        <w:t xml:space="preserve"> injuries and fatalities on any particular occasion. For example, each of the </w:t>
      </w:r>
      <w:r w:rsidR="00BF3A0B" w:rsidRPr="0040227B">
        <w:rPr>
          <w:rFonts w:ascii="Times New Roman" w:hAnsi="Times New Roman" w:cs="Times New Roman"/>
          <w:sz w:val="20"/>
          <w:szCs w:val="20"/>
        </w:rPr>
        <w:t>3</w:t>
      </w:r>
      <w:r w:rsidR="00B3461C" w:rsidRPr="0040227B">
        <w:rPr>
          <w:rFonts w:ascii="Times New Roman" w:hAnsi="Times New Roman" w:cs="Times New Roman"/>
          <w:sz w:val="20"/>
          <w:szCs w:val="20"/>
        </w:rPr>
        <w:t xml:space="preserve"> fatalities inflicted by Theodore Kaczynski—the ‘Unabomber’—were inflicted by </w:t>
      </w:r>
      <w:r w:rsidR="00FB5692" w:rsidRPr="0040227B">
        <w:rPr>
          <w:rFonts w:ascii="Times New Roman" w:hAnsi="Times New Roman" w:cs="Times New Roman"/>
          <w:sz w:val="20"/>
          <w:szCs w:val="20"/>
        </w:rPr>
        <w:t xml:space="preserve">3 </w:t>
      </w:r>
      <w:r w:rsidR="00B3461C" w:rsidRPr="0040227B">
        <w:rPr>
          <w:rFonts w:ascii="Times New Roman" w:hAnsi="Times New Roman" w:cs="Times New Roman"/>
          <w:sz w:val="20"/>
          <w:szCs w:val="20"/>
        </w:rPr>
        <w:t xml:space="preserve">separate letter or parcel bomb attacks perpetrated months or years apart. Although Kaczynski inflicted a total of 26 injuries and fatalities, a prospective lone wolf </w:t>
      </w:r>
      <w:r w:rsidR="00BF3A0B" w:rsidRPr="0040227B">
        <w:rPr>
          <w:rFonts w:ascii="Times New Roman" w:hAnsi="Times New Roman" w:cs="Times New Roman"/>
          <w:sz w:val="20"/>
          <w:szCs w:val="20"/>
        </w:rPr>
        <w:t xml:space="preserve">terrorist </w:t>
      </w:r>
      <w:r w:rsidR="00B3461C" w:rsidRPr="0040227B">
        <w:rPr>
          <w:rFonts w:ascii="Times New Roman" w:hAnsi="Times New Roman" w:cs="Times New Roman"/>
          <w:sz w:val="20"/>
          <w:szCs w:val="20"/>
        </w:rPr>
        <w:t>se</w:t>
      </w:r>
      <w:r w:rsidR="00623838">
        <w:rPr>
          <w:rFonts w:ascii="Times New Roman" w:hAnsi="Times New Roman" w:cs="Times New Roman"/>
          <w:sz w:val="20"/>
          <w:szCs w:val="20"/>
        </w:rPr>
        <w:t>eking to emulate</w:t>
      </w:r>
      <w:r w:rsidR="00B3461C" w:rsidRPr="0040227B">
        <w:rPr>
          <w:rFonts w:ascii="Times New Roman" w:hAnsi="Times New Roman" w:cs="Times New Roman"/>
          <w:sz w:val="20"/>
          <w:szCs w:val="20"/>
        </w:rPr>
        <w:t xml:space="preserve"> Kaczynski is more likely to have a reference point of </w:t>
      </w:r>
      <w:r w:rsidR="00FB5692" w:rsidRPr="0040227B">
        <w:rPr>
          <w:rFonts w:ascii="Times New Roman" w:hAnsi="Times New Roman" w:cs="Times New Roman"/>
          <w:sz w:val="20"/>
          <w:szCs w:val="20"/>
        </w:rPr>
        <w:t>1</w:t>
      </w:r>
      <w:r w:rsidR="002C1C2E" w:rsidRPr="0040227B">
        <w:rPr>
          <w:rFonts w:ascii="Times New Roman" w:hAnsi="Times New Roman" w:cs="Times New Roman"/>
          <w:sz w:val="20"/>
          <w:szCs w:val="20"/>
        </w:rPr>
        <w:t xml:space="preserve"> than a reference point of 26</w:t>
      </w:r>
      <w:r w:rsidR="00B3461C" w:rsidRPr="0040227B">
        <w:rPr>
          <w:rFonts w:ascii="Times New Roman" w:hAnsi="Times New Roman" w:cs="Times New Roman"/>
          <w:sz w:val="20"/>
          <w:szCs w:val="20"/>
        </w:rPr>
        <w:t xml:space="preserve"> and investigators would expect targeted assassination-type attacks from such an individual, a conclusion supported by our analysis that places ‘assassination’ atop the preference ordering for a reference point of a single injury or fatality. </w:t>
      </w:r>
      <w:r w:rsidR="0016010B" w:rsidRPr="0040227B">
        <w:rPr>
          <w:rFonts w:ascii="Times New Roman" w:hAnsi="Times New Roman" w:cs="Times New Roman"/>
          <w:sz w:val="20"/>
          <w:szCs w:val="20"/>
        </w:rPr>
        <w:t xml:space="preserve">Unfortunately, the historical record of lone wolf terrorism also includes the actions of individuals who engaged in </w:t>
      </w:r>
      <w:r w:rsidR="002C1C2E" w:rsidRPr="0040227B">
        <w:rPr>
          <w:rFonts w:ascii="Times New Roman" w:hAnsi="Times New Roman" w:cs="Times New Roman"/>
          <w:sz w:val="20"/>
          <w:szCs w:val="20"/>
        </w:rPr>
        <w:t xml:space="preserve">time-concentrated </w:t>
      </w:r>
      <w:r w:rsidR="0016010B" w:rsidRPr="0040227B">
        <w:rPr>
          <w:rFonts w:ascii="Times New Roman" w:hAnsi="Times New Roman" w:cs="Times New Roman"/>
          <w:sz w:val="20"/>
          <w:szCs w:val="20"/>
        </w:rPr>
        <w:t xml:space="preserve">sprees of violence, usually shooting sprees, with much higher </w:t>
      </w:r>
      <w:r w:rsidR="00CD547A" w:rsidRPr="0040227B">
        <w:rPr>
          <w:rFonts w:ascii="Times New Roman" w:hAnsi="Times New Roman" w:cs="Times New Roman"/>
          <w:sz w:val="20"/>
          <w:szCs w:val="20"/>
        </w:rPr>
        <w:t>numbers of injuries and fatalities inflicted with</w:t>
      </w:r>
      <w:r w:rsidR="0016010B" w:rsidRPr="0040227B">
        <w:rPr>
          <w:rFonts w:ascii="Times New Roman" w:hAnsi="Times New Roman" w:cs="Times New Roman"/>
          <w:sz w:val="20"/>
          <w:szCs w:val="20"/>
        </w:rPr>
        <w:t xml:space="preserve"> a single attack. </w:t>
      </w:r>
    </w:p>
    <w:p w:rsidR="00C0419F" w:rsidRPr="0040227B" w:rsidRDefault="00C0419F" w:rsidP="0040227B">
      <w:pPr>
        <w:spacing w:after="0" w:line="480" w:lineRule="auto"/>
        <w:jc w:val="both"/>
        <w:rPr>
          <w:rFonts w:ascii="Times New Roman" w:hAnsi="Times New Roman" w:cs="Times New Roman"/>
          <w:sz w:val="20"/>
          <w:szCs w:val="20"/>
        </w:rPr>
      </w:pPr>
    </w:p>
    <w:p w:rsidR="00BA36D9" w:rsidRPr="0040227B" w:rsidRDefault="008401DC" w:rsidP="0040227B">
      <w:pPr>
        <w:spacing w:after="0" w:line="480" w:lineRule="auto"/>
        <w:jc w:val="both"/>
        <w:rPr>
          <w:rFonts w:ascii="Times New Roman" w:hAnsi="Times New Roman" w:cs="Times New Roman"/>
          <w:sz w:val="20"/>
          <w:szCs w:val="20"/>
        </w:rPr>
      </w:pPr>
      <w:r w:rsidRPr="0040227B">
        <w:rPr>
          <w:rFonts w:ascii="Times New Roman" w:hAnsi="Times New Roman" w:cs="Times New Roman"/>
          <w:sz w:val="20"/>
          <w:szCs w:val="20"/>
        </w:rPr>
        <w:t xml:space="preserve">The actions of </w:t>
      </w:r>
      <w:r w:rsidR="00DF2CF7" w:rsidRPr="0040227B">
        <w:rPr>
          <w:rFonts w:ascii="Times New Roman" w:hAnsi="Times New Roman" w:cs="Times New Roman"/>
          <w:sz w:val="20"/>
          <w:szCs w:val="20"/>
        </w:rPr>
        <w:t>Mark Essex, Colin Ferguson</w:t>
      </w:r>
      <w:r w:rsidR="00CD547A" w:rsidRPr="0040227B">
        <w:rPr>
          <w:rFonts w:ascii="Times New Roman" w:hAnsi="Times New Roman" w:cs="Times New Roman"/>
          <w:sz w:val="20"/>
          <w:szCs w:val="20"/>
        </w:rPr>
        <w:t xml:space="preserve">, </w:t>
      </w:r>
      <w:proofErr w:type="spellStart"/>
      <w:r w:rsidR="00CD547A" w:rsidRPr="0040227B">
        <w:rPr>
          <w:rFonts w:ascii="Times New Roman" w:hAnsi="Times New Roman" w:cs="Times New Roman"/>
          <w:sz w:val="20"/>
          <w:szCs w:val="20"/>
        </w:rPr>
        <w:t>Nidal</w:t>
      </w:r>
      <w:proofErr w:type="spellEnd"/>
      <w:r w:rsidR="00CD547A" w:rsidRPr="0040227B">
        <w:rPr>
          <w:rFonts w:ascii="Times New Roman" w:hAnsi="Times New Roman" w:cs="Times New Roman"/>
          <w:sz w:val="20"/>
          <w:szCs w:val="20"/>
        </w:rPr>
        <w:t xml:space="preserve"> Malik Hasan</w:t>
      </w:r>
      <w:r w:rsidR="00DF2CF7" w:rsidRPr="0040227B">
        <w:rPr>
          <w:rFonts w:ascii="Times New Roman" w:hAnsi="Times New Roman" w:cs="Times New Roman"/>
          <w:sz w:val="20"/>
          <w:szCs w:val="20"/>
        </w:rPr>
        <w:t xml:space="preserve"> and Anders Behring </w:t>
      </w:r>
      <w:r w:rsidR="00C2404E" w:rsidRPr="0040227B">
        <w:rPr>
          <w:rFonts w:ascii="Times New Roman" w:hAnsi="Times New Roman" w:cs="Times New Roman"/>
          <w:sz w:val="20"/>
          <w:szCs w:val="20"/>
        </w:rPr>
        <w:t>Breivik</w:t>
      </w:r>
      <w:r w:rsidR="00DF2CF7" w:rsidRPr="0040227B">
        <w:rPr>
          <w:rFonts w:ascii="Times New Roman" w:hAnsi="Times New Roman" w:cs="Times New Roman"/>
          <w:sz w:val="20"/>
          <w:szCs w:val="20"/>
        </w:rPr>
        <w:t xml:space="preserve"> </w:t>
      </w:r>
      <w:r w:rsidR="00387BC7" w:rsidRPr="0040227B">
        <w:rPr>
          <w:rFonts w:ascii="Times New Roman" w:hAnsi="Times New Roman" w:cs="Times New Roman"/>
          <w:sz w:val="20"/>
          <w:szCs w:val="20"/>
        </w:rPr>
        <w:t>exhibited</w:t>
      </w:r>
      <w:r w:rsidR="003055F6" w:rsidRPr="0040227B">
        <w:rPr>
          <w:rFonts w:ascii="Times New Roman" w:hAnsi="Times New Roman" w:cs="Times New Roman"/>
          <w:sz w:val="20"/>
          <w:szCs w:val="20"/>
        </w:rPr>
        <w:t xml:space="preserve"> this type of behaviour</w:t>
      </w:r>
      <w:r w:rsidR="00DF2CF7" w:rsidRPr="0040227B">
        <w:rPr>
          <w:rFonts w:ascii="Times New Roman" w:hAnsi="Times New Roman" w:cs="Times New Roman"/>
          <w:sz w:val="20"/>
          <w:szCs w:val="20"/>
        </w:rPr>
        <w:t xml:space="preserve">. This type of terrorism presents a particular challenge to law enforcement because of the amount of injury and fatality that might be inflicted within a very short period of time. </w:t>
      </w:r>
      <w:r w:rsidR="00F9093E" w:rsidRPr="0040227B">
        <w:rPr>
          <w:rFonts w:ascii="Times New Roman" w:hAnsi="Times New Roman" w:cs="Times New Roman"/>
          <w:sz w:val="20"/>
          <w:szCs w:val="20"/>
        </w:rPr>
        <w:t xml:space="preserve">Mark Essex injured </w:t>
      </w:r>
      <w:r w:rsidR="00355DE2" w:rsidRPr="0040227B">
        <w:rPr>
          <w:rFonts w:ascii="Times New Roman" w:hAnsi="Times New Roman" w:cs="Times New Roman"/>
          <w:sz w:val="20"/>
          <w:szCs w:val="20"/>
        </w:rPr>
        <w:t>and</w:t>
      </w:r>
      <w:r w:rsidR="00F9093E" w:rsidRPr="0040227B">
        <w:rPr>
          <w:rFonts w:ascii="Times New Roman" w:hAnsi="Times New Roman" w:cs="Times New Roman"/>
          <w:sz w:val="20"/>
          <w:szCs w:val="20"/>
        </w:rPr>
        <w:t xml:space="preserve"> killed 23 </w:t>
      </w:r>
      <w:r w:rsidR="00F9093E" w:rsidRPr="0040227B">
        <w:rPr>
          <w:rFonts w:ascii="Times New Roman" w:hAnsi="Times New Roman" w:cs="Times New Roman"/>
          <w:sz w:val="20"/>
          <w:szCs w:val="20"/>
        </w:rPr>
        <w:lastRenderedPageBreak/>
        <w:t xml:space="preserve">people. Colin Ferguson injured and killed 25. </w:t>
      </w:r>
      <w:proofErr w:type="spellStart"/>
      <w:r w:rsidR="00CD547A" w:rsidRPr="0040227B">
        <w:rPr>
          <w:rFonts w:ascii="Times New Roman" w:hAnsi="Times New Roman" w:cs="Times New Roman"/>
          <w:sz w:val="20"/>
          <w:szCs w:val="20"/>
        </w:rPr>
        <w:t>Nidal</w:t>
      </w:r>
      <w:proofErr w:type="spellEnd"/>
      <w:r w:rsidR="00CD547A" w:rsidRPr="0040227B">
        <w:rPr>
          <w:rFonts w:ascii="Times New Roman" w:hAnsi="Times New Roman" w:cs="Times New Roman"/>
          <w:sz w:val="20"/>
          <w:szCs w:val="20"/>
        </w:rPr>
        <w:t xml:space="preserve"> Malik Hasan killed 13 and injured 42 others. </w:t>
      </w:r>
      <w:r w:rsidR="00F9093E" w:rsidRPr="0040227B">
        <w:rPr>
          <w:rFonts w:ascii="Times New Roman" w:hAnsi="Times New Roman" w:cs="Times New Roman"/>
          <w:sz w:val="20"/>
          <w:szCs w:val="20"/>
        </w:rPr>
        <w:t xml:space="preserve">Anders Behring Breivik killed 77 in a combined bombing and shooting attack. </w:t>
      </w:r>
      <w:r w:rsidR="00355DE2" w:rsidRPr="0040227B">
        <w:rPr>
          <w:rFonts w:ascii="Times New Roman" w:hAnsi="Times New Roman" w:cs="Times New Roman"/>
          <w:sz w:val="20"/>
          <w:szCs w:val="20"/>
        </w:rPr>
        <w:t>As</w:t>
      </w:r>
      <w:r w:rsidR="00ED4F2B" w:rsidRPr="0040227B">
        <w:rPr>
          <w:rFonts w:ascii="Times New Roman" w:hAnsi="Times New Roman" w:cs="Times New Roman"/>
          <w:sz w:val="20"/>
          <w:szCs w:val="20"/>
        </w:rPr>
        <w:t xml:space="preserve"> the reference point increases </w:t>
      </w:r>
      <w:r w:rsidR="00355560" w:rsidRPr="0040227B">
        <w:rPr>
          <w:rFonts w:ascii="Times New Roman" w:hAnsi="Times New Roman" w:cs="Times New Roman"/>
          <w:sz w:val="20"/>
          <w:szCs w:val="20"/>
        </w:rPr>
        <w:t xml:space="preserve">two </w:t>
      </w:r>
      <w:r w:rsidR="00003698" w:rsidRPr="0040227B">
        <w:rPr>
          <w:rFonts w:ascii="Times New Roman" w:hAnsi="Times New Roman" w:cs="Times New Roman"/>
          <w:sz w:val="20"/>
          <w:szCs w:val="20"/>
        </w:rPr>
        <w:t>factors are observed</w:t>
      </w:r>
      <w:r w:rsidR="00355560" w:rsidRPr="0040227B">
        <w:rPr>
          <w:rFonts w:ascii="Times New Roman" w:hAnsi="Times New Roman" w:cs="Times New Roman"/>
          <w:sz w:val="20"/>
          <w:szCs w:val="20"/>
        </w:rPr>
        <w:t xml:space="preserve">: (1) </w:t>
      </w:r>
      <w:r w:rsidR="00ED4F2B" w:rsidRPr="0040227B">
        <w:rPr>
          <w:rFonts w:ascii="Times New Roman" w:hAnsi="Times New Roman" w:cs="Times New Roman"/>
          <w:sz w:val="20"/>
          <w:szCs w:val="20"/>
        </w:rPr>
        <w:t xml:space="preserve">attack methods with more variable or risky outcomes </w:t>
      </w:r>
      <w:r w:rsidR="00355DE2" w:rsidRPr="0040227B">
        <w:rPr>
          <w:rFonts w:ascii="Times New Roman" w:hAnsi="Times New Roman" w:cs="Times New Roman"/>
          <w:sz w:val="20"/>
          <w:szCs w:val="20"/>
        </w:rPr>
        <w:t>move</w:t>
      </w:r>
      <w:r w:rsidR="00ED4F2B" w:rsidRPr="0040227B">
        <w:rPr>
          <w:rFonts w:ascii="Times New Roman" w:hAnsi="Times New Roman" w:cs="Times New Roman"/>
          <w:sz w:val="20"/>
          <w:szCs w:val="20"/>
        </w:rPr>
        <w:t xml:space="preserve"> </w:t>
      </w:r>
      <w:r w:rsidR="00355DE2" w:rsidRPr="0040227B">
        <w:rPr>
          <w:rFonts w:ascii="Times New Roman" w:hAnsi="Times New Roman" w:cs="Times New Roman"/>
          <w:sz w:val="20"/>
          <w:szCs w:val="20"/>
        </w:rPr>
        <w:t>higher in the preference ordering; and (2)</w:t>
      </w:r>
      <w:r w:rsidR="00ED4F2B" w:rsidRPr="0040227B">
        <w:rPr>
          <w:rFonts w:ascii="Times New Roman" w:hAnsi="Times New Roman" w:cs="Times New Roman"/>
          <w:sz w:val="20"/>
          <w:szCs w:val="20"/>
        </w:rPr>
        <w:t xml:space="preserve"> </w:t>
      </w:r>
      <w:r w:rsidR="00355DE2" w:rsidRPr="0040227B">
        <w:rPr>
          <w:rFonts w:ascii="Times New Roman" w:hAnsi="Times New Roman" w:cs="Times New Roman"/>
          <w:sz w:val="20"/>
          <w:szCs w:val="20"/>
        </w:rPr>
        <w:t xml:space="preserve">the prospect value for each attack method declines because of the smaller probability </w:t>
      </w:r>
      <w:r w:rsidR="00BF7A1E" w:rsidRPr="0040227B">
        <w:rPr>
          <w:rFonts w:ascii="Times New Roman" w:hAnsi="Times New Roman" w:cs="Times New Roman"/>
          <w:sz w:val="20"/>
          <w:szCs w:val="20"/>
        </w:rPr>
        <w:t>of</w:t>
      </w:r>
      <w:r w:rsidR="00355DE2" w:rsidRPr="0040227B">
        <w:rPr>
          <w:rFonts w:ascii="Times New Roman" w:hAnsi="Times New Roman" w:cs="Times New Roman"/>
          <w:sz w:val="20"/>
          <w:szCs w:val="20"/>
        </w:rPr>
        <w:t xml:space="preserve"> a gain—an outcome higher than the reference point. </w:t>
      </w:r>
      <w:r w:rsidR="0097438E" w:rsidRPr="0040227B">
        <w:rPr>
          <w:rFonts w:ascii="Times New Roman" w:hAnsi="Times New Roman" w:cs="Times New Roman"/>
          <w:sz w:val="20"/>
          <w:szCs w:val="20"/>
        </w:rPr>
        <w:t>At higher reference points</w:t>
      </w:r>
      <w:r w:rsidR="00355560" w:rsidRPr="0040227B">
        <w:rPr>
          <w:rFonts w:ascii="Times New Roman" w:hAnsi="Times New Roman" w:cs="Times New Roman"/>
          <w:sz w:val="20"/>
          <w:szCs w:val="20"/>
        </w:rPr>
        <w:t xml:space="preserve">, </w:t>
      </w:r>
      <w:r w:rsidR="0097438E" w:rsidRPr="0040227B">
        <w:rPr>
          <w:rFonts w:ascii="Times New Roman" w:hAnsi="Times New Roman" w:cs="Times New Roman"/>
          <w:sz w:val="20"/>
          <w:szCs w:val="20"/>
        </w:rPr>
        <w:t>every attack method has a relatively high likelihood of loss</w:t>
      </w:r>
      <w:r w:rsidR="00355560" w:rsidRPr="0040227B">
        <w:rPr>
          <w:rFonts w:ascii="Times New Roman" w:hAnsi="Times New Roman" w:cs="Times New Roman"/>
          <w:sz w:val="20"/>
          <w:szCs w:val="20"/>
        </w:rPr>
        <w:t xml:space="preserve"> and only</w:t>
      </w:r>
      <w:r w:rsidR="0097438E" w:rsidRPr="0040227B">
        <w:rPr>
          <w:rFonts w:ascii="Times New Roman" w:hAnsi="Times New Roman" w:cs="Times New Roman"/>
          <w:sz w:val="20"/>
          <w:szCs w:val="20"/>
        </w:rPr>
        <w:t xml:space="preserve"> those attack methods with higher and more variable expected outcomes provide any reasonable prospect of </w:t>
      </w:r>
      <w:r w:rsidR="00355560" w:rsidRPr="0040227B">
        <w:rPr>
          <w:rFonts w:ascii="Times New Roman" w:hAnsi="Times New Roman" w:cs="Times New Roman"/>
          <w:sz w:val="20"/>
          <w:szCs w:val="20"/>
        </w:rPr>
        <w:t>producing an outcome in excess of the reference point</w:t>
      </w:r>
      <w:r w:rsidR="0097438E" w:rsidRPr="0040227B">
        <w:rPr>
          <w:rFonts w:ascii="Times New Roman" w:hAnsi="Times New Roman" w:cs="Times New Roman"/>
          <w:sz w:val="20"/>
          <w:szCs w:val="20"/>
        </w:rPr>
        <w:t xml:space="preserve">. </w:t>
      </w:r>
      <w:r w:rsidR="00355560" w:rsidRPr="0040227B">
        <w:rPr>
          <w:rFonts w:ascii="Times New Roman" w:hAnsi="Times New Roman" w:cs="Times New Roman"/>
          <w:sz w:val="20"/>
          <w:szCs w:val="20"/>
        </w:rPr>
        <w:t xml:space="preserve">As such, bombing, armed attacks, unconventional attacks and hostage-taking move towards the top of the preference orderings. </w:t>
      </w:r>
      <w:r w:rsidR="00FE7D07" w:rsidRPr="0040227B">
        <w:rPr>
          <w:rFonts w:ascii="Times New Roman" w:hAnsi="Times New Roman" w:cs="Times New Roman"/>
          <w:sz w:val="20"/>
          <w:szCs w:val="20"/>
        </w:rPr>
        <w:t xml:space="preserve">This </w:t>
      </w:r>
      <w:r w:rsidR="00BF7A1E" w:rsidRPr="0040227B">
        <w:rPr>
          <w:rFonts w:ascii="Times New Roman" w:hAnsi="Times New Roman" w:cs="Times New Roman"/>
          <w:sz w:val="20"/>
          <w:szCs w:val="20"/>
        </w:rPr>
        <w:t>explains</w:t>
      </w:r>
      <w:r w:rsidR="00FE7D07" w:rsidRPr="0040227B">
        <w:rPr>
          <w:rFonts w:ascii="Times New Roman" w:hAnsi="Times New Roman" w:cs="Times New Roman"/>
          <w:sz w:val="20"/>
          <w:szCs w:val="20"/>
        </w:rPr>
        <w:t xml:space="preserve"> why those lone wolf terrorists seeking to emulate or exceed the outcomes of a particularly ‘successful’ predecessor may be observed to be relatively more risk-seeking. One of the features of prospect theory is its identification of ‘risk seeking in the domain of losses’ and ‘risk aversion in the domain of gains’. </w:t>
      </w:r>
      <w:r w:rsidR="00BB43CE" w:rsidRPr="0040227B">
        <w:rPr>
          <w:rFonts w:ascii="Times New Roman" w:hAnsi="Times New Roman" w:cs="Times New Roman"/>
          <w:sz w:val="20"/>
          <w:szCs w:val="20"/>
        </w:rPr>
        <w:t>For lone wolf terrorists</w:t>
      </w:r>
      <w:r w:rsidR="00FE7D07" w:rsidRPr="0040227B">
        <w:rPr>
          <w:rFonts w:ascii="Times New Roman" w:hAnsi="Times New Roman" w:cs="Times New Roman"/>
          <w:sz w:val="20"/>
          <w:szCs w:val="20"/>
        </w:rPr>
        <w:t xml:space="preserve"> seeking to emulate the outcomes achieved by an offender such as Essex,</w:t>
      </w:r>
      <w:r w:rsidR="00387BC7" w:rsidRPr="0040227B">
        <w:rPr>
          <w:rFonts w:ascii="Times New Roman" w:hAnsi="Times New Roman" w:cs="Times New Roman"/>
          <w:sz w:val="20"/>
          <w:szCs w:val="20"/>
        </w:rPr>
        <w:t xml:space="preserve"> Franklin,</w:t>
      </w:r>
      <w:r w:rsidR="00FE7D07" w:rsidRPr="0040227B">
        <w:rPr>
          <w:rFonts w:ascii="Times New Roman" w:hAnsi="Times New Roman" w:cs="Times New Roman"/>
          <w:sz w:val="20"/>
          <w:szCs w:val="20"/>
        </w:rPr>
        <w:t xml:space="preserve"> Ferguson or Breivik, the domain of losses in the terrorism context is wide</w:t>
      </w:r>
      <w:r w:rsidR="00C804EC" w:rsidRPr="0040227B">
        <w:rPr>
          <w:rFonts w:ascii="Times New Roman" w:hAnsi="Times New Roman" w:cs="Times New Roman"/>
          <w:sz w:val="20"/>
          <w:szCs w:val="20"/>
        </w:rPr>
        <w:t xml:space="preserve"> and the potential offender must be characterised by a willingness to seek risk across this wide domain of losses</w:t>
      </w:r>
      <w:r w:rsidR="00FE7D07" w:rsidRPr="0040227B">
        <w:rPr>
          <w:rFonts w:ascii="Times New Roman" w:hAnsi="Times New Roman" w:cs="Times New Roman"/>
          <w:sz w:val="20"/>
          <w:szCs w:val="20"/>
        </w:rPr>
        <w:t xml:space="preserve">. </w:t>
      </w:r>
    </w:p>
    <w:p w:rsidR="001A275F" w:rsidRPr="0040227B" w:rsidRDefault="001A275F" w:rsidP="0040227B">
      <w:pPr>
        <w:spacing w:after="0" w:line="480" w:lineRule="auto"/>
        <w:jc w:val="both"/>
        <w:rPr>
          <w:rFonts w:ascii="Times New Roman" w:hAnsi="Times New Roman" w:cs="Times New Roman"/>
          <w:sz w:val="20"/>
          <w:szCs w:val="20"/>
        </w:rPr>
      </w:pPr>
    </w:p>
    <w:p w:rsidR="009C4414" w:rsidRPr="0040227B" w:rsidRDefault="00C804EC" w:rsidP="0040227B">
      <w:pPr>
        <w:spacing w:after="0" w:line="480" w:lineRule="auto"/>
        <w:jc w:val="both"/>
        <w:rPr>
          <w:rFonts w:ascii="Times New Roman" w:hAnsi="Times New Roman" w:cs="Times New Roman"/>
          <w:sz w:val="20"/>
          <w:szCs w:val="20"/>
        </w:rPr>
      </w:pPr>
      <w:r w:rsidRPr="0040227B">
        <w:rPr>
          <w:rFonts w:ascii="Times New Roman" w:hAnsi="Times New Roman" w:cs="Times New Roman"/>
          <w:sz w:val="20"/>
          <w:szCs w:val="20"/>
        </w:rPr>
        <w:t>P</w:t>
      </w:r>
      <w:r w:rsidR="006A0409" w:rsidRPr="0040227B">
        <w:rPr>
          <w:rFonts w:ascii="Times New Roman" w:hAnsi="Times New Roman" w:cs="Times New Roman"/>
          <w:sz w:val="20"/>
          <w:szCs w:val="20"/>
        </w:rPr>
        <w:t xml:space="preserve">ast a certain reference point the order of the attack methods remains the same regardless of how much further the reference point increases. </w:t>
      </w:r>
      <w:r w:rsidR="00B81879" w:rsidRPr="0040227B">
        <w:rPr>
          <w:rFonts w:ascii="Times New Roman" w:hAnsi="Times New Roman" w:cs="Times New Roman"/>
          <w:sz w:val="20"/>
          <w:szCs w:val="20"/>
        </w:rPr>
        <w:t xml:space="preserve">The chance of loss or an outcome below the reference point is very high. The prospect values that emerge when </w:t>
      </w:r>
      <w:r w:rsidR="00007628" w:rsidRPr="0040227B">
        <w:rPr>
          <w:rFonts w:ascii="Times New Roman" w:hAnsi="Times New Roman" w:cs="Times New Roman"/>
          <w:sz w:val="20"/>
          <w:szCs w:val="20"/>
        </w:rPr>
        <w:t>cumulative prospect theory is applied to these relatively high reference points places bombing and armed attacks at the top of the preference ordering followed by hijacking, hostage-taking and ‘unconventional’ attacks when outcomes are assumed to be normally distributed. When outcomes are assumed to be distributed log-normally, ‘unconventional’ attacks and hostage-taking emerge at the top of the preference ordering, followed by armed attacks, hijacking and bombing. For the normally distributed case, the two highest ranked alternatives are the alternatives that have been chosen by the predecessor lone wolf terrorists and we would expect a copycat lone wolf terrorist seeking to emulate the outcomes achieved by these offenders to also emulate the attack method chosen by their predecessor. When outcomes are assumed to be log-normally distributed, cumulative prospect theory implies that a potential lone wolf terrorist with a relatively high reference point will engage in the highest risk attack method</w:t>
      </w:r>
      <w:r w:rsidR="009C4414" w:rsidRPr="0040227B">
        <w:rPr>
          <w:rFonts w:ascii="Times New Roman" w:hAnsi="Times New Roman" w:cs="Times New Roman"/>
          <w:sz w:val="20"/>
          <w:szCs w:val="20"/>
        </w:rPr>
        <w:t>s</w:t>
      </w:r>
      <w:r w:rsidR="00007628" w:rsidRPr="0040227B">
        <w:rPr>
          <w:rFonts w:ascii="Times New Roman" w:hAnsi="Times New Roman" w:cs="Times New Roman"/>
          <w:sz w:val="20"/>
          <w:szCs w:val="20"/>
        </w:rPr>
        <w:t xml:space="preserve"> available. Rather than attempt to emulate both the outcomes and the method, the implication is that the copycat behaviour of the potential lone wolf terrorist may be asymmetric. Although the reference point is determined on the basis of the outcomes achieved by a particular </w:t>
      </w:r>
      <w:r w:rsidR="00007628" w:rsidRPr="0040227B">
        <w:rPr>
          <w:rFonts w:ascii="Times New Roman" w:hAnsi="Times New Roman" w:cs="Times New Roman"/>
          <w:sz w:val="20"/>
          <w:szCs w:val="20"/>
        </w:rPr>
        <w:lastRenderedPageBreak/>
        <w:t xml:space="preserve">predecessor, the method by which the potential lone wolf terrorist seeks to match or exceed those outcomes may be unique. </w:t>
      </w:r>
    </w:p>
    <w:p w:rsidR="009C4414" w:rsidRPr="0040227B" w:rsidRDefault="009C4414" w:rsidP="0040227B">
      <w:pPr>
        <w:spacing w:after="0" w:line="480" w:lineRule="auto"/>
        <w:jc w:val="both"/>
        <w:rPr>
          <w:rFonts w:ascii="Times New Roman" w:hAnsi="Times New Roman" w:cs="Times New Roman"/>
          <w:sz w:val="20"/>
          <w:szCs w:val="20"/>
        </w:rPr>
      </w:pPr>
    </w:p>
    <w:p w:rsidR="00BF5119" w:rsidRPr="0040227B" w:rsidRDefault="001A518A" w:rsidP="0040227B">
      <w:pPr>
        <w:spacing w:after="0" w:line="480" w:lineRule="auto"/>
        <w:jc w:val="both"/>
        <w:rPr>
          <w:rFonts w:ascii="Times New Roman" w:hAnsi="Times New Roman" w:cs="Times New Roman"/>
          <w:b/>
          <w:sz w:val="20"/>
          <w:szCs w:val="20"/>
        </w:rPr>
      </w:pPr>
      <w:r>
        <w:rPr>
          <w:rFonts w:ascii="Times New Roman" w:hAnsi="Times New Roman" w:cs="Times New Roman"/>
          <w:b/>
          <w:sz w:val="20"/>
          <w:szCs w:val="20"/>
        </w:rPr>
        <w:t>V</w:t>
      </w:r>
      <w:r w:rsidR="00CD2C12" w:rsidRPr="0040227B">
        <w:rPr>
          <w:rFonts w:ascii="Times New Roman" w:hAnsi="Times New Roman" w:cs="Times New Roman"/>
          <w:b/>
          <w:sz w:val="20"/>
          <w:szCs w:val="20"/>
        </w:rPr>
        <w:t xml:space="preserve">. Conclusions </w:t>
      </w:r>
    </w:p>
    <w:p w:rsidR="00B229BA" w:rsidRPr="0040227B" w:rsidRDefault="00B229BA" w:rsidP="0040227B">
      <w:pPr>
        <w:spacing w:after="0" w:line="480" w:lineRule="auto"/>
        <w:jc w:val="both"/>
        <w:rPr>
          <w:rFonts w:ascii="Times New Roman" w:hAnsi="Times New Roman" w:cs="Times New Roman"/>
          <w:sz w:val="20"/>
          <w:szCs w:val="20"/>
        </w:rPr>
      </w:pPr>
    </w:p>
    <w:p w:rsidR="00061FA3" w:rsidRPr="0040227B" w:rsidRDefault="00061FA3" w:rsidP="0040227B">
      <w:pPr>
        <w:spacing w:after="0" w:line="480" w:lineRule="auto"/>
        <w:jc w:val="both"/>
        <w:rPr>
          <w:rFonts w:ascii="Times New Roman" w:hAnsi="Times New Roman" w:cs="Times New Roman"/>
          <w:sz w:val="20"/>
          <w:szCs w:val="20"/>
        </w:rPr>
      </w:pPr>
      <w:r w:rsidRPr="0040227B">
        <w:rPr>
          <w:rFonts w:ascii="Times New Roman" w:hAnsi="Times New Roman" w:cs="Times New Roman"/>
          <w:sz w:val="20"/>
          <w:szCs w:val="20"/>
        </w:rPr>
        <w:t xml:space="preserve">Copycat behaviour that might be exhibited by terrorists may be analysed using prospect theory once it is realised that the reference point may be the outcomes of terrorist actions perpetrated by a predecessor terrorist. Cumulative prospect theory enables the prospect values for alternative opportunities to be determined and for those opportunities to be ranked in order of preference. We applied cumulative prospect theory to the lone wolf terrorist’s choice from among alternative opportunities to inflict injuries and fatalities. We explored a context where a potential lone wolf terrorist engages in copycat behaviour with reference to a predecessor or reference point lone wolf terrorist and seeks to match or exceed the number of injuries and fatalities that were inflicted by that predecessor. The set of prospect values and preference orderings that were determined indicate that terrorists with lower reference points will choose more targeted attack methods or those with less variable outcomes. This would not only be consistent with copycat behaviour that seeks to emulate the outcomes of a predecessor but is also consistent with the method used by the predecessor. </w:t>
      </w:r>
    </w:p>
    <w:p w:rsidR="00061FA3" w:rsidRPr="0040227B" w:rsidRDefault="00061FA3" w:rsidP="0040227B">
      <w:pPr>
        <w:spacing w:after="0" w:line="480" w:lineRule="auto"/>
        <w:jc w:val="both"/>
        <w:rPr>
          <w:rFonts w:ascii="Times New Roman" w:hAnsi="Times New Roman" w:cs="Times New Roman"/>
          <w:sz w:val="20"/>
          <w:szCs w:val="20"/>
        </w:rPr>
      </w:pPr>
    </w:p>
    <w:p w:rsidR="00061FA3" w:rsidRPr="0040227B" w:rsidRDefault="00061FA3" w:rsidP="0040227B">
      <w:pPr>
        <w:spacing w:after="0" w:line="480" w:lineRule="auto"/>
        <w:jc w:val="both"/>
        <w:rPr>
          <w:rFonts w:ascii="Times New Roman" w:hAnsi="Times New Roman" w:cs="Times New Roman"/>
          <w:sz w:val="20"/>
          <w:szCs w:val="20"/>
        </w:rPr>
      </w:pPr>
      <w:r w:rsidRPr="0040227B">
        <w:rPr>
          <w:rFonts w:ascii="Times New Roman" w:hAnsi="Times New Roman" w:cs="Times New Roman"/>
          <w:sz w:val="20"/>
          <w:szCs w:val="20"/>
        </w:rPr>
        <w:t xml:space="preserve">At higher reference points the chance of loss is greater. Prospect theory </w:t>
      </w:r>
      <w:r w:rsidR="00A77F9C" w:rsidRPr="0040227B">
        <w:rPr>
          <w:rFonts w:ascii="Times New Roman" w:hAnsi="Times New Roman" w:cs="Times New Roman"/>
          <w:sz w:val="20"/>
          <w:szCs w:val="20"/>
        </w:rPr>
        <w:t>differentiates between the ‘domain of losses’ and the ‘domain of gains’ and theorises risk-seeking behaviour in the domain of losses and risk averse behaviour in the domain of gains. Our analysis provides a contextual example of the practical implications of this type of decision-making behaviour. For terrorists with higher reference points the domain of losses is wide. It can only be bridged by taking more risk which in this case means choosing an attack method that is characterised by higher but more variable expected outcomes. This introduces the possibility that a potential lone wolf terrorist may choose an attack method that diverges from that used by his predecessor. If the predecessor or reference point lone wolf inflicted a number of injuries and fatalities that sits well above the number that could be expected to be associated with a repeat of the same type of attack</w:t>
      </w:r>
      <w:r w:rsidR="00A77F9C" w:rsidRPr="0040227B">
        <w:rPr>
          <w:rStyle w:val="FootnoteReference"/>
          <w:rFonts w:ascii="Times New Roman" w:hAnsi="Times New Roman" w:cs="Times New Roman"/>
          <w:sz w:val="20"/>
          <w:szCs w:val="20"/>
        </w:rPr>
        <w:footnoteReference w:id="15"/>
      </w:r>
      <w:r w:rsidR="00FD26A4" w:rsidRPr="0040227B">
        <w:rPr>
          <w:rFonts w:ascii="Times New Roman" w:hAnsi="Times New Roman" w:cs="Times New Roman"/>
          <w:sz w:val="20"/>
          <w:szCs w:val="20"/>
        </w:rPr>
        <w:t>, the potential terrorist</w:t>
      </w:r>
      <w:r w:rsidR="000E4BE4">
        <w:rPr>
          <w:rFonts w:ascii="Times New Roman" w:hAnsi="Times New Roman" w:cs="Times New Roman"/>
          <w:sz w:val="20"/>
          <w:szCs w:val="20"/>
        </w:rPr>
        <w:t xml:space="preserve"> may choose an attack method different</w:t>
      </w:r>
      <w:r w:rsidR="00FD26A4" w:rsidRPr="0040227B">
        <w:rPr>
          <w:rFonts w:ascii="Times New Roman" w:hAnsi="Times New Roman" w:cs="Times New Roman"/>
          <w:sz w:val="20"/>
          <w:szCs w:val="20"/>
        </w:rPr>
        <w:t xml:space="preserve"> from that of his predecessor. The behavioural insights that can be </w:t>
      </w:r>
      <w:r w:rsidR="00FD26A4" w:rsidRPr="0040227B">
        <w:rPr>
          <w:rFonts w:ascii="Times New Roman" w:hAnsi="Times New Roman" w:cs="Times New Roman"/>
          <w:sz w:val="20"/>
          <w:szCs w:val="20"/>
        </w:rPr>
        <w:lastRenderedPageBreak/>
        <w:t xml:space="preserve">obtained by analysing terrorist behaviour within a prospect theory framework go beyond those that can be obtained by the application of expected utility theory. </w:t>
      </w:r>
    </w:p>
    <w:p w:rsidR="00C562BD" w:rsidRPr="0040227B" w:rsidRDefault="00C562BD" w:rsidP="0040227B">
      <w:pPr>
        <w:spacing w:after="0" w:line="480" w:lineRule="auto"/>
        <w:jc w:val="both"/>
        <w:rPr>
          <w:rFonts w:ascii="Times New Roman" w:hAnsi="Times New Roman" w:cs="Times New Roman"/>
          <w:sz w:val="20"/>
          <w:szCs w:val="20"/>
        </w:rPr>
      </w:pPr>
    </w:p>
    <w:p w:rsidR="00BA142E" w:rsidRDefault="007D6CF6" w:rsidP="0040227B">
      <w:pPr>
        <w:spacing w:after="0" w:line="480" w:lineRule="auto"/>
        <w:jc w:val="both"/>
        <w:rPr>
          <w:rFonts w:ascii="Times New Roman" w:hAnsi="Times New Roman" w:cs="Times New Roman"/>
          <w:b/>
          <w:sz w:val="20"/>
          <w:szCs w:val="20"/>
        </w:rPr>
      </w:pPr>
      <w:r w:rsidRPr="0040227B">
        <w:rPr>
          <w:rFonts w:ascii="Times New Roman" w:hAnsi="Times New Roman" w:cs="Times New Roman"/>
          <w:b/>
          <w:sz w:val="20"/>
          <w:szCs w:val="20"/>
        </w:rPr>
        <w:t>References</w:t>
      </w:r>
    </w:p>
    <w:p w:rsidR="0040227B" w:rsidRPr="004D3CB3" w:rsidRDefault="0040227B" w:rsidP="0040227B">
      <w:pPr>
        <w:spacing w:after="0" w:line="480" w:lineRule="auto"/>
        <w:jc w:val="both"/>
        <w:rPr>
          <w:rFonts w:ascii="Times New Roman" w:hAnsi="Times New Roman" w:cs="Times New Roman"/>
          <w:b/>
          <w:sz w:val="20"/>
          <w:szCs w:val="20"/>
        </w:rPr>
      </w:pPr>
    </w:p>
    <w:p w:rsidR="0042390E" w:rsidRPr="004D3CB3" w:rsidRDefault="00A948EB" w:rsidP="0040227B">
      <w:pPr>
        <w:spacing w:after="0" w:line="240" w:lineRule="auto"/>
        <w:ind w:left="720" w:hanging="720"/>
        <w:jc w:val="both"/>
        <w:rPr>
          <w:rFonts w:ascii="Times New Roman" w:hAnsi="Times New Roman" w:cs="Times New Roman"/>
          <w:sz w:val="20"/>
          <w:szCs w:val="20"/>
        </w:rPr>
      </w:pPr>
      <w:proofErr w:type="spellStart"/>
      <w:r w:rsidRPr="004D3CB3">
        <w:rPr>
          <w:rFonts w:ascii="Times New Roman" w:hAnsi="Times New Roman" w:cs="Times New Roman"/>
          <w:sz w:val="20"/>
          <w:szCs w:val="20"/>
        </w:rPr>
        <w:t>Abrahms</w:t>
      </w:r>
      <w:proofErr w:type="spellEnd"/>
      <w:r w:rsidRPr="004D3CB3">
        <w:rPr>
          <w:rFonts w:ascii="Times New Roman" w:hAnsi="Times New Roman" w:cs="Times New Roman"/>
          <w:sz w:val="20"/>
          <w:szCs w:val="20"/>
        </w:rPr>
        <w:t>, M</w:t>
      </w:r>
      <w:r w:rsidR="005856FF" w:rsidRPr="004D3CB3">
        <w:rPr>
          <w:rFonts w:ascii="Times New Roman" w:hAnsi="Times New Roman" w:cs="Times New Roman"/>
          <w:sz w:val="20"/>
          <w:szCs w:val="20"/>
        </w:rPr>
        <w:t>ax</w:t>
      </w:r>
      <w:r w:rsidRPr="004D3CB3">
        <w:rPr>
          <w:rFonts w:ascii="Times New Roman" w:hAnsi="Times New Roman" w:cs="Times New Roman"/>
          <w:sz w:val="20"/>
          <w:szCs w:val="20"/>
        </w:rPr>
        <w:t xml:space="preserve"> </w:t>
      </w:r>
      <w:r w:rsidR="005856FF" w:rsidRPr="004D3CB3">
        <w:rPr>
          <w:rFonts w:ascii="Times New Roman" w:hAnsi="Times New Roman" w:cs="Times New Roman"/>
          <w:sz w:val="20"/>
          <w:szCs w:val="20"/>
        </w:rPr>
        <w:t>(</w:t>
      </w:r>
      <w:r w:rsidRPr="004D3CB3">
        <w:rPr>
          <w:rFonts w:ascii="Times New Roman" w:hAnsi="Times New Roman" w:cs="Times New Roman"/>
          <w:sz w:val="20"/>
          <w:szCs w:val="20"/>
        </w:rPr>
        <w:t>2006</w:t>
      </w:r>
      <w:r w:rsidR="005856FF" w:rsidRPr="004D3CB3">
        <w:rPr>
          <w:rFonts w:ascii="Times New Roman" w:hAnsi="Times New Roman" w:cs="Times New Roman"/>
          <w:sz w:val="20"/>
          <w:szCs w:val="20"/>
        </w:rPr>
        <w:t>)</w:t>
      </w:r>
      <w:r w:rsidRPr="004D3CB3">
        <w:rPr>
          <w:rFonts w:ascii="Times New Roman" w:hAnsi="Times New Roman" w:cs="Times New Roman"/>
          <w:sz w:val="20"/>
          <w:szCs w:val="20"/>
        </w:rPr>
        <w:t>.</w:t>
      </w:r>
      <w:r w:rsidR="005856FF" w:rsidRPr="004D3CB3">
        <w:rPr>
          <w:rFonts w:ascii="Times New Roman" w:hAnsi="Times New Roman" w:cs="Times New Roman"/>
          <w:sz w:val="20"/>
          <w:szCs w:val="20"/>
        </w:rPr>
        <w:t xml:space="preserve"> Why terrorism does not work.</w:t>
      </w:r>
      <w:r w:rsidR="0042390E" w:rsidRPr="004D3CB3">
        <w:rPr>
          <w:rFonts w:ascii="Times New Roman" w:hAnsi="Times New Roman" w:cs="Times New Roman"/>
          <w:sz w:val="20"/>
          <w:szCs w:val="20"/>
        </w:rPr>
        <w:t xml:space="preserve"> </w:t>
      </w:r>
      <w:r w:rsidR="0042390E" w:rsidRPr="004D3CB3">
        <w:rPr>
          <w:rFonts w:ascii="Times New Roman" w:hAnsi="Times New Roman" w:cs="Times New Roman"/>
          <w:i/>
          <w:sz w:val="20"/>
          <w:szCs w:val="20"/>
        </w:rPr>
        <w:t>International Security</w:t>
      </w:r>
      <w:r w:rsidR="005856FF" w:rsidRPr="004D3CB3">
        <w:rPr>
          <w:rFonts w:ascii="Times New Roman" w:hAnsi="Times New Roman" w:cs="Times New Roman"/>
          <w:sz w:val="20"/>
          <w:szCs w:val="20"/>
        </w:rPr>
        <w:t xml:space="preserve"> 31:</w:t>
      </w:r>
      <w:r w:rsidR="0042390E" w:rsidRPr="004D3CB3">
        <w:rPr>
          <w:rFonts w:ascii="Times New Roman" w:hAnsi="Times New Roman" w:cs="Times New Roman"/>
          <w:sz w:val="20"/>
          <w:szCs w:val="20"/>
        </w:rPr>
        <w:t xml:space="preserve"> 42-78. </w:t>
      </w:r>
    </w:p>
    <w:p w:rsidR="0042390E" w:rsidRPr="004D3CB3" w:rsidRDefault="0042390E" w:rsidP="0040227B">
      <w:pPr>
        <w:spacing w:after="0" w:line="240" w:lineRule="auto"/>
        <w:ind w:left="720" w:hanging="720"/>
        <w:jc w:val="both"/>
        <w:rPr>
          <w:rFonts w:ascii="Times New Roman" w:hAnsi="Times New Roman" w:cs="Times New Roman"/>
          <w:sz w:val="20"/>
          <w:szCs w:val="20"/>
        </w:rPr>
      </w:pPr>
      <w:proofErr w:type="spellStart"/>
      <w:r w:rsidRPr="004D3CB3">
        <w:rPr>
          <w:rFonts w:ascii="Times New Roman" w:hAnsi="Times New Roman" w:cs="Times New Roman"/>
          <w:sz w:val="20"/>
          <w:szCs w:val="20"/>
        </w:rPr>
        <w:t>Abrahms</w:t>
      </w:r>
      <w:proofErr w:type="spellEnd"/>
      <w:r w:rsidRPr="004D3CB3">
        <w:rPr>
          <w:rFonts w:ascii="Times New Roman" w:hAnsi="Times New Roman" w:cs="Times New Roman"/>
          <w:sz w:val="20"/>
          <w:szCs w:val="20"/>
        </w:rPr>
        <w:t xml:space="preserve">, </w:t>
      </w:r>
      <w:r w:rsidR="005856FF" w:rsidRPr="004D3CB3">
        <w:rPr>
          <w:rFonts w:ascii="Times New Roman" w:hAnsi="Times New Roman" w:cs="Times New Roman"/>
          <w:sz w:val="20"/>
          <w:szCs w:val="20"/>
        </w:rPr>
        <w:t>Max</w:t>
      </w:r>
      <w:r w:rsidR="00A948EB" w:rsidRPr="004D3CB3">
        <w:rPr>
          <w:rFonts w:ascii="Times New Roman" w:hAnsi="Times New Roman" w:cs="Times New Roman"/>
          <w:sz w:val="20"/>
          <w:szCs w:val="20"/>
        </w:rPr>
        <w:t xml:space="preserve"> </w:t>
      </w:r>
      <w:r w:rsidR="005856FF" w:rsidRPr="004D3CB3">
        <w:rPr>
          <w:rFonts w:ascii="Times New Roman" w:hAnsi="Times New Roman" w:cs="Times New Roman"/>
          <w:sz w:val="20"/>
          <w:szCs w:val="20"/>
        </w:rPr>
        <w:t>(</w:t>
      </w:r>
      <w:r w:rsidR="00A948EB" w:rsidRPr="004D3CB3">
        <w:rPr>
          <w:rFonts w:ascii="Times New Roman" w:hAnsi="Times New Roman" w:cs="Times New Roman"/>
          <w:sz w:val="20"/>
          <w:szCs w:val="20"/>
        </w:rPr>
        <w:t>2008</w:t>
      </w:r>
      <w:r w:rsidR="005856FF" w:rsidRPr="004D3CB3">
        <w:rPr>
          <w:rFonts w:ascii="Times New Roman" w:hAnsi="Times New Roman" w:cs="Times New Roman"/>
          <w:sz w:val="20"/>
          <w:szCs w:val="20"/>
        </w:rPr>
        <w:t>)</w:t>
      </w:r>
      <w:r w:rsidR="00A948EB" w:rsidRPr="004D3CB3">
        <w:rPr>
          <w:rFonts w:ascii="Times New Roman" w:hAnsi="Times New Roman" w:cs="Times New Roman"/>
          <w:sz w:val="20"/>
          <w:szCs w:val="20"/>
        </w:rPr>
        <w:t>.</w:t>
      </w:r>
      <w:r w:rsidR="005856FF" w:rsidRPr="004D3CB3">
        <w:rPr>
          <w:rFonts w:ascii="Times New Roman" w:hAnsi="Times New Roman" w:cs="Times New Roman"/>
          <w:sz w:val="20"/>
          <w:szCs w:val="20"/>
        </w:rPr>
        <w:t xml:space="preserve"> What terrorists really want: terrorist motives and c</w:t>
      </w:r>
      <w:r w:rsidRPr="004D3CB3">
        <w:rPr>
          <w:rFonts w:ascii="Times New Roman" w:hAnsi="Times New Roman" w:cs="Times New Roman"/>
          <w:sz w:val="20"/>
          <w:szCs w:val="20"/>
        </w:rPr>
        <w:t>ounterterrori</w:t>
      </w:r>
      <w:r w:rsidR="005856FF" w:rsidRPr="004D3CB3">
        <w:rPr>
          <w:rFonts w:ascii="Times New Roman" w:hAnsi="Times New Roman" w:cs="Times New Roman"/>
          <w:sz w:val="20"/>
          <w:szCs w:val="20"/>
        </w:rPr>
        <w:t>sm s</w:t>
      </w:r>
      <w:r w:rsidR="00A948EB" w:rsidRPr="004D3CB3">
        <w:rPr>
          <w:rFonts w:ascii="Times New Roman" w:hAnsi="Times New Roman" w:cs="Times New Roman"/>
          <w:sz w:val="20"/>
          <w:szCs w:val="20"/>
        </w:rPr>
        <w:t>trategy.</w:t>
      </w:r>
      <w:r w:rsidR="005856FF" w:rsidRPr="004D3CB3">
        <w:rPr>
          <w:rFonts w:ascii="Times New Roman" w:hAnsi="Times New Roman" w:cs="Times New Roman"/>
          <w:sz w:val="20"/>
          <w:szCs w:val="20"/>
        </w:rPr>
        <w:t xml:space="preserve"> </w:t>
      </w:r>
      <w:r w:rsidR="005856FF" w:rsidRPr="004D3CB3">
        <w:rPr>
          <w:rFonts w:ascii="Times New Roman" w:hAnsi="Times New Roman" w:cs="Times New Roman"/>
          <w:i/>
          <w:sz w:val="20"/>
          <w:szCs w:val="20"/>
        </w:rPr>
        <w:t>International Security</w:t>
      </w:r>
      <w:r w:rsidR="005856FF" w:rsidRPr="004D3CB3">
        <w:rPr>
          <w:rFonts w:ascii="Times New Roman" w:hAnsi="Times New Roman" w:cs="Times New Roman"/>
          <w:sz w:val="20"/>
          <w:szCs w:val="20"/>
        </w:rPr>
        <w:t xml:space="preserve"> 32:</w:t>
      </w:r>
      <w:r w:rsidRPr="004D3CB3">
        <w:rPr>
          <w:rFonts w:ascii="Times New Roman" w:hAnsi="Times New Roman" w:cs="Times New Roman"/>
          <w:sz w:val="20"/>
          <w:szCs w:val="20"/>
        </w:rPr>
        <w:t xml:space="preserve"> 78-105. </w:t>
      </w:r>
    </w:p>
    <w:p w:rsidR="0042390E" w:rsidRPr="004D3CB3" w:rsidRDefault="00A948EB" w:rsidP="0040227B">
      <w:pPr>
        <w:spacing w:after="0" w:line="240" w:lineRule="auto"/>
        <w:ind w:left="720" w:hanging="720"/>
        <w:jc w:val="both"/>
        <w:rPr>
          <w:rFonts w:ascii="Times New Roman" w:hAnsi="Times New Roman" w:cs="Times New Roman"/>
          <w:sz w:val="20"/>
          <w:szCs w:val="20"/>
        </w:rPr>
      </w:pPr>
      <w:proofErr w:type="spellStart"/>
      <w:r w:rsidRPr="004D3CB3">
        <w:rPr>
          <w:rFonts w:ascii="Times New Roman" w:hAnsi="Times New Roman" w:cs="Times New Roman"/>
          <w:sz w:val="20"/>
          <w:szCs w:val="20"/>
        </w:rPr>
        <w:t>Abrahms</w:t>
      </w:r>
      <w:proofErr w:type="spellEnd"/>
      <w:r w:rsidRPr="004D3CB3">
        <w:rPr>
          <w:rFonts w:ascii="Times New Roman" w:hAnsi="Times New Roman" w:cs="Times New Roman"/>
          <w:sz w:val="20"/>
          <w:szCs w:val="20"/>
        </w:rPr>
        <w:t>, M</w:t>
      </w:r>
      <w:r w:rsidR="005856FF" w:rsidRPr="004D3CB3">
        <w:rPr>
          <w:rFonts w:ascii="Times New Roman" w:hAnsi="Times New Roman" w:cs="Times New Roman"/>
          <w:sz w:val="20"/>
          <w:szCs w:val="20"/>
        </w:rPr>
        <w:t>ax</w:t>
      </w:r>
      <w:r w:rsidRPr="004D3CB3">
        <w:rPr>
          <w:rFonts w:ascii="Times New Roman" w:hAnsi="Times New Roman" w:cs="Times New Roman"/>
          <w:sz w:val="20"/>
          <w:szCs w:val="20"/>
        </w:rPr>
        <w:t xml:space="preserve"> </w:t>
      </w:r>
      <w:r w:rsidR="005856FF" w:rsidRPr="004D3CB3">
        <w:rPr>
          <w:rFonts w:ascii="Times New Roman" w:hAnsi="Times New Roman" w:cs="Times New Roman"/>
          <w:sz w:val="20"/>
          <w:szCs w:val="20"/>
        </w:rPr>
        <w:t>(</w:t>
      </w:r>
      <w:r w:rsidRPr="004D3CB3">
        <w:rPr>
          <w:rFonts w:ascii="Times New Roman" w:hAnsi="Times New Roman" w:cs="Times New Roman"/>
          <w:sz w:val="20"/>
          <w:szCs w:val="20"/>
        </w:rPr>
        <w:t>2011</w:t>
      </w:r>
      <w:r w:rsidR="005856FF" w:rsidRPr="004D3CB3">
        <w:rPr>
          <w:rFonts w:ascii="Times New Roman" w:hAnsi="Times New Roman" w:cs="Times New Roman"/>
          <w:sz w:val="20"/>
          <w:szCs w:val="20"/>
        </w:rPr>
        <w:t>)</w:t>
      </w:r>
      <w:r w:rsidRPr="004D3CB3">
        <w:rPr>
          <w:rFonts w:ascii="Times New Roman" w:hAnsi="Times New Roman" w:cs="Times New Roman"/>
          <w:sz w:val="20"/>
          <w:szCs w:val="20"/>
        </w:rPr>
        <w:t>.</w:t>
      </w:r>
      <w:r w:rsidR="005856FF" w:rsidRPr="004D3CB3">
        <w:rPr>
          <w:rFonts w:ascii="Times New Roman" w:hAnsi="Times New Roman" w:cs="Times New Roman"/>
          <w:sz w:val="20"/>
          <w:szCs w:val="20"/>
        </w:rPr>
        <w:t xml:space="preserve"> Does terrorism really w</w:t>
      </w:r>
      <w:r w:rsidR="0042390E" w:rsidRPr="004D3CB3">
        <w:rPr>
          <w:rFonts w:ascii="Times New Roman" w:hAnsi="Times New Roman" w:cs="Times New Roman"/>
          <w:sz w:val="20"/>
          <w:szCs w:val="20"/>
        </w:rPr>
        <w:t xml:space="preserve">ork? </w:t>
      </w:r>
      <w:proofErr w:type="gramStart"/>
      <w:r w:rsidR="0042390E" w:rsidRPr="004D3CB3">
        <w:rPr>
          <w:rFonts w:ascii="Times New Roman" w:hAnsi="Times New Roman" w:cs="Times New Roman"/>
          <w:sz w:val="20"/>
          <w:szCs w:val="20"/>
        </w:rPr>
        <w:t>Evolution in the</w:t>
      </w:r>
      <w:r w:rsidR="005856FF" w:rsidRPr="004D3CB3">
        <w:rPr>
          <w:rFonts w:ascii="Times New Roman" w:hAnsi="Times New Roman" w:cs="Times New Roman"/>
          <w:sz w:val="20"/>
          <w:szCs w:val="20"/>
        </w:rPr>
        <w:t xml:space="preserve"> conventional wisdom s</w:t>
      </w:r>
      <w:r w:rsidRPr="004D3CB3">
        <w:rPr>
          <w:rFonts w:ascii="Times New Roman" w:hAnsi="Times New Roman" w:cs="Times New Roman"/>
          <w:sz w:val="20"/>
          <w:szCs w:val="20"/>
        </w:rPr>
        <w:t>ince 9/11.</w:t>
      </w:r>
      <w:proofErr w:type="gramEnd"/>
      <w:r w:rsidR="005856FF" w:rsidRPr="004D3CB3">
        <w:rPr>
          <w:rFonts w:ascii="Times New Roman" w:hAnsi="Times New Roman" w:cs="Times New Roman"/>
          <w:sz w:val="20"/>
          <w:szCs w:val="20"/>
        </w:rPr>
        <w:t xml:space="preserve"> </w:t>
      </w:r>
      <w:r w:rsidR="005856FF" w:rsidRPr="004D3CB3">
        <w:rPr>
          <w:rFonts w:ascii="Times New Roman" w:hAnsi="Times New Roman" w:cs="Times New Roman"/>
          <w:i/>
          <w:sz w:val="20"/>
          <w:szCs w:val="20"/>
        </w:rPr>
        <w:t>Defence and Peace Economics</w:t>
      </w:r>
      <w:r w:rsidR="005856FF" w:rsidRPr="004D3CB3">
        <w:rPr>
          <w:rFonts w:ascii="Times New Roman" w:hAnsi="Times New Roman" w:cs="Times New Roman"/>
          <w:sz w:val="20"/>
          <w:szCs w:val="20"/>
        </w:rPr>
        <w:t xml:space="preserve"> 22: </w:t>
      </w:r>
      <w:r w:rsidR="0042390E" w:rsidRPr="004D3CB3">
        <w:rPr>
          <w:rFonts w:ascii="Times New Roman" w:hAnsi="Times New Roman" w:cs="Times New Roman"/>
          <w:sz w:val="20"/>
          <w:szCs w:val="20"/>
        </w:rPr>
        <w:t>583-594.</w:t>
      </w:r>
    </w:p>
    <w:p w:rsidR="004801A2" w:rsidRPr="004D3CB3" w:rsidRDefault="004801A2" w:rsidP="0040227B">
      <w:pPr>
        <w:spacing w:after="0" w:line="240" w:lineRule="auto"/>
        <w:ind w:left="720" w:hanging="720"/>
        <w:jc w:val="both"/>
        <w:rPr>
          <w:rFonts w:ascii="Times New Roman" w:hAnsi="Times New Roman" w:cs="Times New Roman"/>
          <w:sz w:val="20"/>
          <w:szCs w:val="20"/>
        </w:rPr>
      </w:pPr>
      <w:proofErr w:type="gramStart"/>
      <w:r w:rsidRPr="004D3CB3">
        <w:rPr>
          <w:rFonts w:ascii="Times New Roman" w:hAnsi="Times New Roman" w:cs="Times New Roman"/>
          <w:sz w:val="20"/>
          <w:szCs w:val="20"/>
        </w:rPr>
        <w:t>Barros, C</w:t>
      </w:r>
      <w:r w:rsidR="00FA6176" w:rsidRPr="004D3CB3">
        <w:rPr>
          <w:rFonts w:ascii="Times New Roman" w:hAnsi="Times New Roman" w:cs="Times New Roman"/>
          <w:sz w:val="20"/>
          <w:szCs w:val="20"/>
        </w:rPr>
        <w:t xml:space="preserve">arlos </w:t>
      </w:r>
      <w:r w:rsidRPr="004D3CB3">
        <w:rPr>
          <w:rFonts w:ascii="Times New Roman" w:hAnsi="Times New Roman" w:cs="Times New Roman"/>
          <w:sz w:val="20"/>
          <w:szCs w:val="20"/>
        </w:rPr>
        <w:t xml:space="preserve">P., </w:t>
      </w:r>
      <w:r w:rsidR="00FA6176" w:rsidRPr="004D3CB3">
        <w:rPr>
          <w:rFonts w:ascii="Times New Roman" w:hAnsi="Times New Roman" w:cs="Times New Roman"/>
          <w:sz w:val="20"/>
          <w:szCs w:val="20"/>
        </w:rPr>
        <w:t xml:space="preserve">Isabel </w:t>
      </w:r>
      <w:proofErr w:type="spellStart"/>
      <w:r w:rsidR="00FA6176" w:rsidRPr="004D3CB3">
        <w:rPr>
          <w:rFonts w:ascii="Times New Roman" w:hAnsi="Times New Roman" w:cs="Times New Roman"/>
          <w:sz w:val="20"/>
          <w:szCs w:val="20"/>
        </w:rPr>
        <w:t>Proenca</w:t>
      </w:r>
      <w:proofErr w:type="spellEnd"/>
      <w:r w:rsidR="00FA6176" w:rsidRPr="004D3CB3">
        <w:rPr>
          <w:rFonts w:ascii="Times New Roman" w:hAnsi="Times New Roman" w:cs="Times New Roman"/>
          <w:sz w:val="20"/>
          <w:szCs w:val="20"/>
        </w:rPr>
        <w:t>,</w:t>
      </w:r>
      <w:r w:rsidRPr="004D3CB3">
        <w:rPr>
          <w:rFonts w:ascii="Times New Roman" w:hAnsi="Times New Roman" w:cs="Times New Roman"/>
          <w:sz w:val="20"/>
          <w:szCs w:val="20"/>
        </w:rPr>
        <w:t xml:space="preserve"> </w:t>
      </w:r>
      <w:r w:rsidR="00FA6176" w:rsidRPr="004D3CB3">
        <w:rPr>
          <w:rFonts w:ascii="Times New Roman" w:hAnsi="Times New Roman" w:cs="Times New Roman"/>
          <w:sz w:val="20"/>
          <w:szCs w:val="20"/>
        </w:rPr>
        <w:t xml:space="preserve">Joao R. </w:t>
      </w:r>
      <w:proofErr w:type="spellStart"/>
      <w:r w:rsidRPr="004D3CB3">
        <w:rPr>
          <w:rFonts w:ascii="Times New Roman" w:hAnsi="Times New Roman" w:cs="Times New Roman"/>
          <w:sz w:val="20"/>
          <w:szCs w:val="20"/>
        </w:rPr>
        <w:t>Faria</w:t>
      </w:r>
      <w:proofErr w:type="spellEnd"/>
      <w:r w:rsidR="00FA6176" w:rsidRPr="004D3CB3">
        <w:rPr>
          <w:rFonts w:ascii="Times New Roman" w:hAnsi="Times New Roman" w:cs="Times New Roman"/>
          <w:sz w:val="20"/>
          <w:szCs w:val="20"/>
        </w:rPr>
        <w:t>,</w:t>
      </w:r>
      <w:r w:rsidR="00A948EB" w:rsidRPr="004D3CB3">
        <w:rPr>
          <w:rFonts w:ascii="Times New Roman" w:hAnsi="Times New Roman" w:cs="Times New Roman"/>
          <w:sz w:val="20"/>
          <w:szCs w:val="20"/>
        </w:rPr>
        <w:t xml:space="preserve"> and </w:t>
      </w:r>
      <w:r w:rsidR="00FA6176" w:rsidRPr="004D3CB3">
        <w:rPr>
          <w:rFonts w:ascii="Times New Roman" w:hAnsi="Times New Roman" w:cs="Times New Roman"/>
          <w:sz w:val="20"/>
          <w:szCs w:val="20"/>
        </w:rPr>
        <w:t>Luis A. Gil-Alana</w:t>
      </w:r>
      <w:r w:rsidR="00A948EB" w:rsidRPr="004D3CB3">
        <w:rPr>
          <w:rFonts w:ascii="Times New Roman" w:hAnsi="Times New Roman" w:cs="Times New Roman"/>
          <w:sz w:val="20"/>
          <w:szCs w:val="20"/>
        </w:rPr>
        <w:t xml:space="preserve"> </w:t>
      </w:r>
      <w:r w:rsidR="00FA6176" w:rsidRPr="004D3CB3">
        <w:rPr>
          <w:rFonts w:ascii="Times New Roman" w:hAnsi="Times New Roman" w:cs="Times New Roman"/>
          <w:sz w:val="20"/>
          <w:szCs w:val="20"/>
        </w:rPr>
        <w:t>(</w:t>
      </w:r>
      <w:r w:rsidR="00A948EB" w:rsidRPr="004D3CB3">
        <w:rPr>
          <w:rFonts w:ascii="Times New Roman" w:hAnsi="Times New Roman" w:cs="Times New Roman"/>
          <w:sz w:val="20"/>
          <w:szCs w:val="20"/>
        </w:rPr>
        <w:t>2007</w:t>
      </w:r>
      <w:r w:rsidR="00FA6176" w:rsidRPr="004D3CB3">
        <w:rPr>
          <w:rFonts w:ascii="Times New Roman" w:hAnsi="Times New Roman" w:cs="Times New Roman"/>
          <w:sz w:val="20"/>
          <w:szCs w:val="20"/>
        </w:rPr>
        <w:t>)</w:t>
      </w:r>
      <w:r w:rsidR="00A948EB" w:rsidRPr="004D3CB3">
        <w:rPr>
          <w:rFonts w:ascii="Times New Roman" w:hAnsi="Times New Roman" w:cs="Times New Roman"/>
          <w:sz w:val="20"/>
          <w:szCs w:val="20"/>
        </w:rPr>
        <w:t>.</w:t>
      </w:r>
      <w:proofErr w:type="gramEnd"/>
      <w:r w:rsidR="00FA6176" w:rsidRPr="004D3CB3">
        <w:rPr>
          <w:rFonts w:ascii="Times New Roman" w:hAnsi="Times New Roman" w:cs="Times New Roman"/>
          <w:sz w:val="20"/>
          <w:szCs w:val="20"/>
        </w:rPr>
        <w:t xml:space="preserve"> Are U.S. citizens at risk of terrorism in E</w:t>
      </w:r>
      <w:r w:rsidRPr="004D3CB3">
        <w:rPr>
          <w:rFonts w:ascii="Times New Roman" w:hAnsi="Times New Roman" w:cs="Times New Roman"/>
          <w:sz w:val="20"/>
          <w:szCs w:val="20"/>
        </w:rPr>
        <w:t xml:space="preserve">urope? </w:t>
      </w:r>
      <w:r w:rsidRPr="004D3CB3">
        <w:rPr>
          <w:rFonts w:ascii="Times New Roman" w:hAnsi="Times New Roman" w:cs="Times New Roman"/>
          <w:i/>
          <w:sz w:val="20"/>
          <w:szCs w:val="20"/>
        </w:rPr>
        <w:t>Defence and Pe</w:t>
      </w:r>
      <w:r w:rsidR="00FA6176" w:rsidRPr="004D3CB3">
        <w:rPr>
          <w:rFonts w:ascii="Times New Roman" w:hAnsi="Times New Roman" w:cs="Times New Roman"/>
          <w:i/>
          <w:sz w:val="20"/>
          <w:szCs w:val="20"/>
        </w:rPr>
        <w:t>ace Economics 18</w:t>
      </w:r>
      <w:r w:rsidR="00FA6176" w:rsidRPr="004D3CB3">
        <w:rPr>
          <w:rFonts w:ascii="Times New Roman" w:hAnsi="Times New Roman" w:cs="Times New Roman"/>
          <w:sz w:val="20"/>
          <w:szCs w:val="20"/>
        </w:rPr>
        <w:t>:</w:t>
      </w:r>
      <w:r w:rsidRPr="004D3CB3">
        <w:rPr>
          <w:rFonts w:ascii="Times New Roman" w:hAnsi="Times New Roman" w:cs="Times New Roman"/>
          <w:sz w:val="20"/>
          <w:szCs w:val="20"/>
        </w:rPr>
        <w:t xml:space="preserve"> 495-507.</w:t>
      </w:r>
    </w:p>
    <w:p w:rsidR="0042390E" w:rsidRPr="004D3CB3" w:rsidRDefault="00A948EB" w:rsidP="0040227B">
      <w:pPr>
        <w:spacing w:after="0" w:line="240" w:lineRule="auto"/>
        <w:ind w:left="720" w:hanging="720"/>
        <w:jc w:val="both"/>
        <w:rPr>
          <w:rFonts w:ascii="Times New Roman" w:hAnsi="Times New Roman" w:cs="Times New Roman"/>
          <w:sz w:val="20"/>
          <w:szCs w:val="20"/>
        </w:rPr>
      </w:pPr>
      <w:r w:rsidRPr="004D3CB3">
        <w:rPr>
          <w:rFonts w:ascii="Times New Roman" w:hAnsi="Times New Roman" w:cs="Times New Roman"/>
          <w:sz w:val="20"/>
          <w:szCs w:val="20"/>
        </w:rPr>
        <w:t>Becker, G</w:t>
      </w:r>
      <w:r w:rsidR="00FA6176" w:rsidRPr="004D3CB3">
        <w:rPr>
          <w:rFonts w:ascii="Times New Roman" w:hAnsi="Times New Roman" w:cs="Times New Roman"/>
          <w:sz w:val="20"/>
          <w:szCs w:val="20"/>
        </w:rPr>
        <w:t>ary</w:t>
      </w:r>
      <w:r w:rsidRPr="004D3CB3">
        <w:rPr>
          <w:rFonts w:ascii="Times New Roman" w:hAnsi="Times New Roman" w:cs="Times New Roman"/>
          <w:sz w:val="20"/>
          <w:szCs w:val="20"/>
        </w:rPr>
        <w:t xml:space="preserve"> </w:t>
      </w:r>
      <w:r w:rsidR="00FA6176" w:rsidRPr="004D3CB3">
        <w:rPr>
          <w:rFonts w:ascii="Times New Roman" w:hAnsi="Times New Roman" w:cs="Times New Roman"/>
          <w:sz w:val="20"/>
          <w:szCs w:val="20"/>
        </w:rPr>
        <w:t>(</w:t>
      </w:r>
      <w:r w:rsidRPr="004D3CB3">
        <w:rPr>
          <w:rFonts w:ascii="Times New Roman" w:hAnsi="Times New Roman" w:cs="Times New Roman"/>
          <w:sz w:val="20"/>
          <w:szCs w:val="20"/>
        </w:rPr>
        <w:t>1968</w:t>
      </w:r>
      <w:r w:rsidR="00FA6176" w:rsidRPr="004D3CB3">
        <w:rPr>
          <w:rFonts w:ascii="Times New Roman" w:hAnsi="Times New Roman" w:cs="Times New Roman"/>
          <w:sz w:val="20"/>
          <w:szCs w:val="20"/>
        </w:rPr>
        <w:t>). Crime and punishment: an economic a</w:t>
      </w:r>
      <w:r w:rsidR="0042390E" w:rsidRPr="004D3CB3">
        <w:rPr>
          <w:rFonts w:ascii="Times New Roman" w:hAnsi="Times New Roman" w:cs="Times New Roman"/>
          <w:sz w:val="20"/>
          <w:szCs w:val="20"/>
        </w:rPr>
        <w:t>lternative</w:t>
      </w:r>
      <w:r w:rsidRPr="004D3CB3">
        <w:rPr>
          <w:rFonts w:ascii="Times New Roman" w:hAnsi="Times New Roman" w:cs="Times New Roman"/>
          <w:sz w:val="20"/>
          <w:szCs w:val="20"/>
        </w:rPr>
        <w:t>.</w:t>
      </w:r>
      <w:r w:rsidR="00FA6176" w:rsidRPr="004D3CB3">
        <w:rPr>
          <w:rFonts w:ascii="Times New Roman" w:hAnsi="Times New Roman" w:cs="Times New Roman"/>
          <w:sz w:val="20"/>
          <w:szCs w:val="20"/>
        </w:rPr>
        <w:t xml:space="preserve"> </w:t>
      </w:r>
      <w:r w:rsidR="00FA6176" w:rsidRPr="004D3CB3">
        <w:rPr>
          <w:rFonts w:ascii="Times New Roman" w:hAnsi="Times New Roman" w:cs="Times New Roman"/>
          <w:i/>
          <w:sz w:val="20"/>
          <w:szCs w:val="20"/>
        </w:rPr>
        <w:t>Journal of Political Economy</w:t>
      </w:r>
      <w:r w:rsidR="00FA6176" w:rsidRPr="004D3CB3">
        <w:rPr>
          <w:rFonts w:ascii="Times New Roman" w:hAnsi="Times New Roman" w:cs="Times New Roman"/>
          <w:sz w:val="20"/>
          <w:szCs w:val="20"/>
        </w:rPr>
        <w:t xml:space="preserve"> 78:</w:t>
      </w:r>
      <w:r w:rsidR="0042390E" w:rsidRPr="004D3CB3">
        <w:rPr>
          <w:rFonts w:ascii="Times New Roman" w:hAnsi="Times New Roman" w:cs="Times New Roman"/>
          <w:sz w:val="20"/>
          <w:szCs w:val="20"/>
        </w:rPr>
        <w:t xml:space="preserve"> 169-217. </w:t>
      </w:r>
    </w:p>
    <w:p w:rsidR="0042390E" w:rsidRPr="004D3CB3" w:rsidRDefault="00FA6176" w:rsidP="0040227B">
      <w:pPr>
        <w:spacing w:after="0" w:line="240" w:lineRule="auto"/>
        <w:ind w:left="720" w:hanging="720"/>
        <w:jc w:val="both"/>
        <w:rPr>
          <w:rFonts w:ascii="Times New Roman" w:hAnsi="Times New Roman" w:cs="Times New Roman"/>
          <w:sz w:val="20"/>
          <w:szCs w:val="20"/>
        </w:rPr>
      </w:pPr>
      <w:r w:rsidRPr="004D3CB3">
        <w:rPr>
          <w:rFonts w:ascii="Times New Roman" w:hAnsi="Times New Roman" w:cs="Times New Roman"/>
          <w:sz w:val="20"/>
          <w:szCs w:val="20"/>
        </w:rPr>
        <w:t>BBC News</w:t>
      </w:r>
      <w:r w:rsidR="00A948EB" w:rsidRPr="004D3CB3">
        <w:rPr>
          <w:rFonts w:ascii="Times New Roman" w:hAnsi="Times New Roman" w:cs="Times New Roman"/>
          <w:sz w:val="20"/>
          <w:szCs w:val="20"/>
        </w:rPr>
        <w:t xml:space="preserve"> </w:t>
      </w:r>
      <w:r w:rsidRPr="004D3CB3">
        <w:rPr>
          <w:rFonts w:ascii="Times New Roman" w:hAnsi="Times New Roman" w:cs="Times New Roman"/>
          <w:sz w:val="20"/>
          <w:szCs w:val="20"/>
        </w:rPr>
        <w:t>(</w:t>
      </w:r>
      <w:r w:rsidR="00A948EB" w:rsidRPr="004D3CB3">
        <w:rPr>
          <w:rFonts w:ascii="Times New Roman" w:hAnsi="Times New Roman" w:cs="Times New Roman"/>
          <w:sz w:val="20"/>
          <w:szCs w:val="20"/>
        </w:rPr>
        <w:t>2013</w:t>
      </w:r>
      <w:r w:rsidRPr="004D3CB3">
        <w:rPr>
          <w:rFonts w:ascii="Times New Roman" w:hAnsi="Times New Roman" w:cs="Times New Roman"/>
          <w:sz w:val="20"/>
          <w:szCs w:val="20"/>
        </w:rPr>
        <w:t>)</w:t>
      </w:r>
      <w:r w:rsidR="00A948EB" w:rsidRPr="004D3CB3">
        <w:rPr>
          <w:rFonts w:ascii="Times New Roman" w:hAnsi="Times New Roman" w:cs="Times New Roman"/>
          <w:sz w:val="20"/>
          <w:szCs w:val="20"/>
        </w:rPr>
        <w:t xml:space="preserve">. </w:t>
      </w:r>
      <w:r w:rsidR="00A948EB" w:rsidRPr="004D3CB3">
        <w:rPr>
          <w:rFonts w:ascii="Times New Roman" w:hAnsi="Times New Roman" w:cs="Times New Roman"/>
          <w:bCs/>
          <w:sz w:val="20"/>
          <w:szCs w:val="20"/>
        </w:rPr>
        <w:t>French Soldier in Uniform S</w:t>
      </w:r>
      <w:r w:rsidR="0042390E" w:rsidRPr="004D3CB3">
        <w:rPr>
          <w:rFonts w:ascii="Times New Roman" w:hAnsi="Times New Roman" w:cs="Times New Roman"/>
          <w:bCs/>
          <w:sz w:val="20"/>
          <w:szCs w:val="20"/>
        </w:rPr>
        <w:t>tabbed in Paris</w:t>
      </w:r>
      <w:r w:rsidR="00A948EB" w:rsidRPr="004D3CB3">
        <w:rPr>
          <w:rFonts w:ascii="Times New Roman" w:hAnsi="Times New Roman" w:cs="Times New Roman"/>
          <w:bCs/>
          <w:sz w:val="20"/>
          <w:szCs w:val="20"/>
        </w:rPr>
        <w:t>.</w:t>
      </w:r>
      <w:r w:rsidR="0042390E" w:rsidRPr="004D3CB3">
        <w:rPr>
          <w:rFonts w:ascii="Times New Roman" w:hAnsi="Times New Roman" w:cs="Times New Roman"/>
          <w:bCs/>
          <w:sz w:val="20"/>
          <w:szCs w:val="20"/>
        </w:rPr>
        <w:t xml:space="preserve"> </w:t>
      </w:r>
      <w:proofErr w:type="gramStart"/>
      <w:r w:rsidR="0042390E" w:rsidRPr="004D3CB3">
        <w:rPr>
          <w:rFonts w:ascii="Times New Roman" w:hAnsi="Times New Roman" w:cs="Times New Roman"/>
          <w:bCs/>
          <w:sz w:val="20"/>
          <w:szCs w:val="20"/>
        </w:rPr>
        <w:t>25</w:t>
      </w:r>
      <w:r w:rsidR="0042390E" w:rsidRPr="004D3CB3">
        <w:rPr>
          <w:rFonts w:ascii="Times New Roman" w:hAnsi="Times New Roman" w:cs="Times New Roman"/>
          <w:bCs/>
          <w:sz w:val="20"/>
          <w:szCs w:val="20"/>
          <w:vertAlign w:val="superscript"/>
        </w:rPr>
        <w:t>th</w:t>
      </w:r>
      <w:r w:rsidR="0042390E" w:rsidRPr="004D3CB3">
        <w:rPr>
          <w:rFonts w:ascii="Times New Roman" w:hAnsi="Times New Roman" w:cs="Times New Roman"/>
          <w:bCs/>
          <w:sz w:val="20"/>
          <w:szCs w:val="20"/>
        </w:rPr>
        <w:t xml:space="preserve"> of May, </w:t>
      </w:r>
      <w:hyperlink r:id="rId9" w:history="1">
        <w:r w:rsidR="0042390E" w:rsidRPr="004D3CB3">
          <w:rPr>
            <w:rStyle w:val="Hyperlink"/>
            <w:rFonts w:ascii="Times New Roman" w:hAnsi="Times New Roman" w:cs="Times New Roman"/>
            <w:sz w:val="20"/>
            <w:szCs w:val="20"/>
          </w:rPr>
          <w:t>http://www.bbc.co.uk/news/world-europe-22669367</w:t>
        </w:r>
      </w:hyperlink>
      <w:r w:rsidR="0042390E" w:rsidRPr="004D3CB3">
        <w:rPr>
          <w:rFonts w:ascii="Times New Roman" w:hAnsi="Times New Roman" w:cs="Times New Roman"/>
          <w:sz w:val="20"/>
          <w:szCs w:val="20"/>
        </w:rPr>
        <w:t>.</w:t>
      </w:r>
      <w:proofErr w:type="gramEnd"/>
    </w:p>
    <w:p w:rsidR="0042390E" w:rsidRPr="004D3CB3" w:rsidRDefault="00FA6176" w:rsidP="0040227B">
      <w:pPr>
        <w:spacing w:after="0" w:line="240" w:lineRule="auto"/>
        <w:ind w:left="720" w:hanging="720"/>
        <w:jc w:val="both"/>
        <w:rPr>
          <w:rFonts w:ascii="Times New Roman" w:hAnsi="Times New Roman" w:cs="Times New Roman"/>
          <w:sz w:val="20"/>
          <w:szCs w:val="20"/>
        </w:rPr>
      </w:pPr>
      <w:proofErr w:type="gramStart"/>
      <w:r w:rsidRPr="004D3CB3">
        <w:rPr>
          <w:rFonts w:ascii="Times New Roman" w:hAnsi="Times New Roman" w:cs="Times New Roman"/>
          <w:sz w:val="20"/>
          <w:szCs w:val="20"/>
        </w:rPr>
        <w:t>Brandt, Patrick T. and Todd Sandler (</w:t>
      </w:r>
      <w:r w:rsidR="00A948EB" w:rsidRPr="004D3CB3">
        <w:rPr>
          <w:rFonts w:ascii="Times New Roman" w:hAnsi="Times New Roman" w:cs="Times New Roman"/>
          <w:sz w:val="20"/>
          <w:szCs w:val="20"/>
        </w:rPr>
        <w:t>2010</w:t>
      </w:r>
      <w:r w:rsidRPr="004D3CB3">
        <w:rPr>
          <w:rFonts w:ascii="Times New Roman" w:hAnsi="Times New Roman" w:cs="Times New Roman"/>
          <w:sz w:val="20"/>
          <w:szCs w:val="20"/>
        </w:rPr>
        <w:t>)</w:t>
      </w:r>
      <w:r w:rsidR="00A948EB" w:rsidRPr="004D3CB3">
        <w:rPr>
          <w:rFonts w:ascii="Times New Roman" w:hAnsi="Times New Roman" w:cs="Times New Roman"/>
          <w:sz w:val="20"/>
          <w:szCs w:val="20"/>
        </w:rPr>
        <w:t>.</w:t>
      </w:r>
      <w:proofErr w:type="gramEnd"/>
      <w:r w:rsidRPr="004D3CB3">
        <w:rPr>
          <w:rFonts w:ascii="Times New Roman" w:hAnsi="Times New Roman" w:cs="Times New Roman"/>
          <w:sz w:val="20"/>
          <w:szCs w:val="20"/>
        </w:rPr>
        <w:t xml:space="preserve"> What do transnational terrorists target? Has it changed? Are we s</w:t>
      </w:r>
      <w:r w:rsidR="0042390E" w:rsidRPr="004D3CB3">
        <w:rPr>
          <w:rFonts w:ascii="Times New Roman" w:hAnsi="Times New Roman" w:cs="Times New Roman"/>
          <w:sz w:val="20"/>
          <w:szCs w:val="20"/>
        </w:rPr>
        <w:t>afer?</w:t>
      </w:r>
      <w:r w:rsidRPr="004D3CB3">
        <w:rPr>
          <w:rFonts w:ascii="Times New Roman" w:hAnsi="Times New Roman" w:cs="Times New Roman"/>
          <w:sz w:val="20"/>
          <w:szCs w:val="20"/>
        </w:rPr>
        <w:t xml:space="preserve"> </w:t>
      </w:r>
      <w:r w:rsidRPr="004D3CB3">
        <w:rPr>
          <w:rFonts w:ascii="Times New Roman" w:hAnsi="Times New Roman" w:cs="Times New Roman"/>
          <w:i/>
          <w:sz w:val="20"/>
          <w:szCs w:val="20"/>
        </w:rPr>
        <w:t>Journal of Conflict Resolution</w:t>
      </w:r>
      <w:r w:rsidRPr="004D3CB3">
        <w:rPr>
          <w:rFonts w:ascii="Times New Roman" w:hAnsi="Times New Roman" w:cs="Times New Roman"/>
          <w:sz w:val="20"/>
          <w:szCs w:val="20"/>
        </w:rPr>
        <w:t xml:space="preserve"> 54:</w:t>
      </w:r>
      <w:r w:rsidR="0042390E" w:rsidRPr="004D3CB3">
        <w:rPr>
          <w:rFonts w:ascii="Times New Roman" w:hAnsi="Times New Roman" w:cs="Times New Roman"/>
          <w:sz w:val="20"/>
          <w:szCs w:val="20"/>
        </w:rPr>
        <w:t xml:space="preserve"> 214-236.</w:t>
      </w:r>
    </w:p>
    <w:p w:rsidR="0042390E" w:rsidRPr="004D3CB3" w:rsidRDefault="00A948EB" w:rsidP="0040227B">
      <w:pPr>
        <w:spacing w:after="0" w:line="240" w:lineRule="auto"/>
        <w:ind w:left="720" w:hanging="720"/>
        <w:jc w:val="both"/>
        <w:rPr>
          <w:rFonts w:ascii="Times New Roman" w:hAnsi="Times New Roman" w:cs="Times New Roman"/>
          <w:sz w:val="20"/>
          <w:szCs w:val="20"/>
        </w:rPr>
      </w:pPr>
      <w:r w:rsidRPr="004D3CB3">
        <w:rPr>
          <w:rFonts w:ascii="Times New Roman" w:hAnsi="Times New Roman" w:cs="Times New Roman"/>
          <w:sz w:val="20"/>
          <w:szCs w:val="20"/>
        </w:rPr>
        <w:t>Butler, C</w:t>
      </w:r>
      <w:r w:rsidR="00FA6176" w:rsidRPr="004D3CB3">
        <w:rPr>
          <w:rFonts w:ascii="Times New Roman" w:hAnsi="Times New Roman" w:cs="Times New Roman"/>
          <w:sz w:val="20"/>
          <w:szCs w:val="20"/>
        </w:rPr>
        <w:t>hristopher (</w:t>
      </w:r>
      <w:r w:rsidRPr="004D3CB3">
        <w:rPr>
          <w:rFonts w:ascii="Times New Roman" w:hAnsi="Times New Roman" w:cs="Times New Roman"/>
          <w:sz w:val="20"/>
          <w:szCs w:val="20"/>
        </w:rPr>
        <w:t>2007</w:t>
      </w:r>
      <w:r w:rsidR="00FA6176" w:rsidRPr="004D3CB3">
        <w:rPr>
          <w:rFonts w:ascii="Times New Roman" w:hAnsi="Times New Roman" w:cs="Times New Roman"/>
          <w:sz w:val="20"/>
          <w:szCs w:val="20"/>
        </w:rPr>
        <w:t>)</w:t>
      </w:r>
      <w:r w:rsidRPr="004D3CB3">
        <w:rPr>
          <w:rFonts w:ascii="Times New Roman" w:hAnsi="Times New Roman" w:cs="Times New Roman"/>
          <w:sz w:val="20"/>
          <w:szCs w:val="20"/>
        </w:rPr>
        <w:t>.</w:t>
      </w:r>
      <w:r w:rsidR="0042390E" w:rsidRPr="004D3CB3">
        <w:rPr>
          <w:rFonts w:ascii="Times New Roman" w:hAnsi="Times New Roman" w:cs="Times New Roman"/>
          <w:sz w:val="20"/>
          <w:szCs w:val="20"/>
        </w:rPr>
        <w:t xml:space="preserve"> </w:t>
      </w:r>
      <w:proofErr w:type="gramStart"/>
      <w:r w:rsidR="0042390E" w:rsidRPr="004D3CB3">
        <w:rPr>
          <w:rFonts w:ascii="Times New Roman" w:hAnsi="Times New Roman" w:cs="Times New Roman"/>
          <w:sz w:val="20"/>
          <w:szCs w:val="20"/>
        </w:rPr>
        <w:t>Prospect</w:t>
      </w:r>
      <w:r w:rsidR="00FA6176" w:rsidRPr="004D3CB3">
        <w:rPr>
          <w:rFonts w:ascii="Times New Roman" w:hAnsi="Times New Roman" w:cs="Times New Roman"/>
          <w:sz w:val="20"/>
          <w:szCs w:val="20"/>
        </w:rPr>
        <w:t xml:space="preserve"> t</w:t>
      </w:r>
      <w:r w:rsidRPr="004D3CB3">
        <w:rPr>
          <w:rFonts w:ascii="Times New Roman" w:hAnsi="Times New Roman" w:cs="Times New Roman"/>
          <w:sz w:val="20"/>
          <w:szCs w:val="20"/>
        </w:rPr>
        <w:t>heory an</w:t>
      </w:r>
      <w:r w:rsidR="00FA6176" w:rsidRPr="004D3CB3">
        <w:rPr>
          <w:rFonts w:ascii="Times New Roman" w:hAnsi="Times New Roman" w:cs="Times New Roman"/>
          <w:sz w:val="20"/>
          <w:szCs w:val="20"/>
        </w:rPr>
        <w:t>d coercive b</w:t>
      </w:r>
      <w:r w:rsidRPr="004D3CB3">
        <w:rPr>
          <w:rFonts w:ascii="Times New Roman" w:hAnsi="Times New Roman" w:cs="Times New Roman"/>
          <w:sz w:val="20"/>
          <w:szCs w:val="20"/>
        </w:rPr>
        <w:t>argaining.</w:t>
      </w:r>
      <w:proofErr w:type="gramEnd"/>
      <w:r w:rsidR="00FA6176" w:rsidRPr="004D3CB3">
        <w:rPr>
          <w:rFonts w:ascii="Times New Roman" w:hAnsi="Times New Roman" w:cs="Times New Roman"/>
          <w:sz w:val="20"/>
          <w:szCs w:val="20"/>
        </w:rPr>
        <w:t xml:space="preserve"> </w:t>
      </w:r>
      <w:r w:rsidR="00FA6176" w:rsidRPr="004D3CB3">
        <w:rPr>
          <w:rFonts w:ascii="Times New Roman" w:hAnsi="Times New Roman" w:cs="Times New Roman"/>
          <w:i/>
          <w:sz w:val="20"/>
          <w:szCs w:val="20"/>
        </w:rPr>
        <w:t>Journal of Conflict Resolution</w:t>
      </w:r>
      <w:r w:rsidR="00FA6176" w:rsidRPr="004D3CB3">
        <w:rPr>
          <w:rFonts w:ascii="Times New Roman" w:hAnsi="Times New Roman" w:cs="Times New Roman"/>
          <w:sz w:val="20"/>
          <w:szCs w:val="20"/>
        </w:rPr>
        <w:t xml:space="preserve"> 51:</w:t>
      </w:r>
      <w:r w:rsidR="0042390E" w:rsidRPr="004D3CB3">
        <w:rPr>
          <w:rFonts w:ascii="Times New Roman" w:hAnsi="Times New Roman" w:cs="Times New Roman"/>
          <w:sz w:val="20"/>
          <w:szCs w:val="20"/>
        </w:rPr>
        <w:t xml:space="preserve"> 227-250.</w:t>
      </w:r>
    </w:p>
    <w:p w:rsidR="0042390E" w:rsidRPr="004D3CB3" w:rsidRDefault="00FA6176" w:rsidP="0040227B">
      <w:pPr>
        <w:spacing w:after="0" w:line="240" w:lineRule="auto"/>
        <w:ind w:left="720" w:hanging="720"/>
        <w:jc w:val="both"/>
        <w:rPr>
          <w:rFonts w:ascii="Times New Roman" w:eastAsia="Times New Roman" w:hAnsi="Times New Roman" w:cs="Times New Roman"/>
          <w:sz w:val="20"/>
          <w:szCs w:val="20"/>
        </w:rPr>
      </w:pPr>
      <w:proofErr w:type="gramStart"/>
      <w:r w:rsidRPr="004D3CB3">
        <w:rPr>
          <w:rFonts w:ascii="Times New Roman" w:eastAsia="Times New Roman" w:hAnsi="Times New Roman" w:cs="Times New Roman"/>
          <w:sz w:val="20"/>
          <w:szCs w:val="20"/>
        </w:rPr>
        <w:t>Caruso, Raul</w:t>
      </w:r>
      <w:r w:rsidR="00A948EB" w:rsidRPr="004D3CB3">
        <w:rPr>
          <w:rFonts w:ascii="Times New Roman" w:eastAsia="Times New Roman" w:hAnsi="Times New Roman" w:cs="Times New Roman"/>
          <w:sz w:val="20"/>
          <w:szCs w:val="20"/>
        </w:rPr>
        <w:t xml:space="preserve"> and </w:t>
      </w:r>
      <w:r w:rsidRPr="004D3CB3">
        <w:rPr>
          <w:rFonts w:ascii="Times New Roman" w:eastAsia="Times New Roman" w:hAnsi="Times New Roman" w:cs="Times New Roman"/>
          <w:sz w:val="20"/>
          <w:szCs w:val="20"/>
        </w:rPr>
        <w:t>Friedrich Schneider (</w:t>
      </w:r>
      <w:r w:rsidR="00A948EB" w:rsidRPr="004D3CB3">
        <w:rPr>
          <w:rFonts w:ascii="Times New Roman" w:eastAsia="Times New Roman" w:hAnsi="Times New Roman" w:cs="Times New Roman"/>
          <w:sz w:val="20"/>
          <w:szCs w:val="20"/>
        </w:rPr>
        <w:t>2013</w:t>
      </w:r>
      <w:r w:rsidRPr="004D3CB3">
        <w:rPr>
          <w:rFonts w:ascii="Times New Roman" w:eastAsia="Times New Roman" w:hAnsi="Times New Roman" w:cs="Times New Roman"/>
          <w:sz w:val="20"/>
          <w:szCs w:val="20"/>
        </w:rPr>
        <w:t>)</w:t>
      </w:r>
      <w:r w:rsidR="00A948EB" w:rsidRPr="004D3CB3">
        <w:rPr>
          <w:rFonts w:ascii="Times New Roman" w:eastAsia="Times New Roman" w:hAnsi="Times New Roman" w:cs="Times New Roman"/>
          <w:sz w:val="20"/>
          <w:szCs w:val="20"/>
        </w:rPr>
        <w:t>.</w:t>
      </w:r>
      <w:proofErr w:type="gramEnd"/>
      <w:r w:rsidRPr="004D3CB3">
        <w:rPr>
          <w:rFonts w:ascii="Times New Roman" w:eastAsia="Times New Roman" w:hAnsi="Times New Roman" w:cs="Times New Roman"/>
          <w:sz w:val="20"/>
          <w:szCs w:val="20"/>
        </w:rPr>
        <w:t xml:space="preserve"> Brutality of jihadist terrorism: a contest theory perspective and empirical evidence in the p</w:t>
      </w:r>
      <w:r w:rsidR="00A948EB" w:rsidRPr="004D3CB3">
        <w:rPr>
          <w:rFonts w:ascii="Times New Roman" w:eastAsia="Times New Roman" w:hAnsi="Times New Roman" w:cs="Times New Roman"/>
          <w:sz w:val="20"/>
          <w:szCs w:val="20"/>
        </w:rPr>
        <w:t>eriod 2002-2010.</w:t>
      </w:r>
      <w:r w:rsidR="00AA4861" w:rsidRPr="004D3CB3">
        <w:rPr>
          <w:rFonts w:ascii="Times New Roman" w:eastAsia="Times New Roman" w:hAnsi="Times New Roman" w:cs="Times New Roman"/>
          <w:sz w:val="20"/>
          <w:szCs w:val="20"/>
        </w:rPr>
        <w:t xml:space="preserve"> </w:t>
      </w:r>
      <w:r w:rsidR="00AA4861" w:rsidRPr="004D3CB3">
        <w:rPr>
          <w:rFonts w:ascii="Times New Roman" w:eastAsia="Times New Roman" w:hAnsi="Times New Roman" w:cs="Times New Roman"/>
          <w:i/>
          <w:sz w:val="20"/>
          <w:szCs w:val="20"/>
        </w:rPr>
        <w:t>Journa</w:t>
      </w:r>
      <w:r w:rsidR="00880DD1">
        <w:rPr>
          <w:rFonts w:ascii="Times New Roman" w:eastAsia="Times New Roman" w:hAnsi="Times New Roman" w:cs="Times New Roman"/>
          <w:i/>
          <w:sz w:val="20"/>
          <w:szCs w:val="20"/>
        </w:rPr>
        <w:t xml:space="preserve">l of Policy </w:t>
      </w:r>
      <w:proofErr w:type="spellStart"/>
      <w:r w:rsidR="00880DD1">
        <w:rPr>
          <w:rFonts w:ascii="Times New Roman" w:eastAsia="Times New Roman" w:hAnsi="Times New Roman" w:cs="Times New Roman"/>
          <w:i/>
          <w:sz w:val="20"/>
          <w:szCs w:val="20"/>
        </w:rPr>
        <w:t>Model</w:t>
      </w:r>
      <w:r w:rsidRPr="004D3CB3">
        <w:rPr>
          <w:rFonts w:ascii="Times New Roman" w:eastAsia="Times New Roman" w:hAnsi="Times New Roman" w:cs="Times New Roman"/>
          <w:i/>
          <w:sz w:val="20"/>
          <w:szCs w:val="20"/>
        </w:rPr>
        <w:t>ing</w:t>
      </w:r>
      <w:proofErr w:type="spellEnd"/>
      <w:r w:rsidRPr="004D3CB3">
        <w:rPr>
          <w:rFonts w:ascii="Times New Roman" w:eastAsia="Times New Roman" w:hAnsi="Times New Roman" w:cs="Times New Roman"/>
          <w:sz w:val="20"/>
          <w:szCs w:val="20"/>
        </w:rPr>
        <w:t xml:space="preserve"> 35:</w:t>
      </w:r>
      <w:r w:rsidR="00AA4861" w:rsidRPr="004D3CB3">
        <w:rPr>
          <w:rFonts w:ascii="Times New Roman" w:eastAsia="Times New Roman" w:hAnsi="Times New Roman" w:cs="Times New Roman"/>
          <w:sz w:val="20"/>
          <w:szCs w:val="20"/>
        </w:rPr>
        <w:t xml:space="preserve"> 685-696</w:t>
      </w:r>
      <w:r w:rsidR="0042390E" w:rsidRPr="004D3CB3">
        <w:rPr>
          <w:rFonts w:ascii="Times New Roman" w:eastAsia="Times New Roman" w:hAnsi="Times New Roman" w:cs="Times New Roman"/>
          <w:sz w:val="20"/>
          <w:szCs w:val="20"/>
        </w:rPr>
        <w:t xml:space="preserve">. </w:t>
      </w:r>
    </w:p>
    <w:p w:rsidR="004801A2" w:rsidRPr="004D3CB3" w:rsidRDefault="00A948EB" w:rsidP="0040227B">
      <w:pPr>
        <w:spacing w:after="0" w:line="240" w:lineRule="auto"/>
        <w:ind w:left="720" w:hanging="720"/>
        <w:jc w:val="both"/>
        <w:rPr>
          <w:rFonts w:ascii="Times New Roman" w:hAnsi="Times New Roman" w:cs="Times New Roman"/>
          <w:sz w:val="20"/>
          <w:szCs w:val="20"/>
        </w:rPr>
      </w:pPr>
      <w:proofErr w:type="gramStart"/>
      <w:r w:rsidRPr="004D3CB3">
        <w:rPr>
          <w:rFonts w:ascii="Times New Roman" w:hAnsi="Times New Roman" w:cs="Times New Roman"/>
          <w:sz w:val="20"/>
          <w:szCs w:val="20"/>
        </w:rPr>
        <w:t>Crenshaw, M</w:t>
      </w:r>
      <w:r w:rsidR="00FA6176" w:rsidRPr="004D3CB3">
        <w:rPr>
          <w:rFonts w:ascii="Times New Roman" w:hAnsi="Times New Roman" w:cs="Times New Roman"/>
          <w:sz w:val="20"/>
          <w:szCs w:val="20"/>
        </w:rPr>
        <w:t>artha</w:t>
      </w:r>
      <w:r w:rsidR="004801A2" w:rsidRPr="004D3CB3">
        <w:rPr>
          <w:rFonts w:ascii="Times New Roman" w:hAnsi="Times New Roman" w:cs="Times New Roman"/>
          <w:sz w:val="20"/>
          <w:szCs w:val="20"/>
        </w:rPr>
        <w:t xml:space="preserve"> </w:t>
      </w:r>
      <w:r w:rsidR="00FA6176" w:rsidRPr="004D3CB3">
        <w:rPr>
          <w:rFonts w:ascii="Times New Roman" w:hAnsi="Times New Roman" w:cs="Times New Roman"/>
          <w:sz w:val="20"/>
          <w:szCs w:val="20"/>
        </w:rPr>
        <w:t>(</w:t>
      </w:r>
      <w:r w:rsidR="004801A2" w:rsidRPr="004D3CB3">
        <w:rPr>
          <w:rFonts w:ascii="Times New Roman" w:hAnsi="Times New Roman" w:cs="Times New Roman"/>
          <w:sz w:val="20"/>
          <w:szCs w:val="20"/>
        </w:rPr>
        <w:t>1981</w:t>
      </w:r>
      <w:r w:rsidR="00FA6176" w:rsidRPr="004D3CB3">
        <w:rPr>
          <w:rFonts w:ascii="Times New Roman" w:hAnsi="Times New Roman" w:cs="Times New Roman"/>
          <w:sz w:val="20"/>
          <w:szCs w:val="20"/>
        </w:rPr>
        <w:t>).</w:t>
      </w:r>
      <w:proofErr w:type="gramEnd"/>
      <w:r w:rsidR="00FA6176" w:rsidRPr="004D3CB3">
        <w:rPr>
          <w:rFonts w:ascii="Times New Roman" w:hAnsi="Times New Roman" w:cs="Times New Roman"/>
          <w:sz w:val="20"/>
          <w:szCs w:val="20"/>
        </w:rPr>
        <w:t xml:space="preserve"> </w:t>
      </w:r>
      <w:proofErr w:type="gramStart"/>
      <w:r w:rsidR="00FA6176" w:rsidRPr="004D3CB3">
        <w:rPr>
          <w:rFonts w:ascii="Times New Roman" w:hAnsi="Times New Roman" w:cs="Times New Roman"/>
          <w:sz w:val="20"/>
          <w:szCs w:val="20"/>
        </w:rPr>
        <w:t>The causes of t</w:t>
      </w:r>
      <w:r w:rsidR="004801A2" w:rsidRPr="004D3CB3">
        <w:rPr>
          <w:rFonts w:ascii="Times New Roman" w:hAnsi="Times New Roman" w:cs="Times New Roman"/>
          <w:sz w:val="20"/>
          <w:szCs w:val="20"/>
        </w:rPr>
        <w:t>errorism.</w:t>
      </w:r>
      <w:proofErr w:type="gramEnd"/>
      <w:r w:rsidR="004801A2" w:rsidRPr="004D3CB3">
        <w:rPr>
          <w:rFonts w:ascii="Times New Roman" w:hAnsi="Times New Roman" w:cs="Times New Roman"/>
          <w:sz w:val="20"/>
          <w:szCs w:val="20"/>
        </w:rPr>
        <w:t xml:space="preserve"> </w:t>
      </w:r>
      <w:r w:rsidR="00FA6176" w:rsidRPr="004D3CB3">
        <w:rPr>
          <w:rFonts w:ascii="Times New Roman" w:hAnsi="Times New Roman" w:cs="Times New Roman"/>
          <w:i/>
          <w:iCs/>
          <w:sz w:val="20"/>
          <w:szCs w:val="20"/>
        </w:rPr>
        <w:t>Comparative Politics</w:t>
      </w:r>
      <w:r w:rsidR="00FA6176" w:rsidRPr="004D3CB3">
        <w:rPr>
          <w:rFonts w:ascii="Times New Roman" w:hAnsi="Times New Roman" w:cs="Times New Roman"/>
          <w:iCs/>
          <w:sz w:val="20"/>
          <w:szCs w:val="20"/>
        </w:rPr>
        <w:t xml:space="preserve"> </w:t>
      </w:r>
      <w:r w:rsidR="00FA6176" w:rsidRPr="004D3CB3">
        <w:rPr>
          <w:rFonts w:ascii="Times New Roman" w:hAnsi="Times New Roman" w:cs="Times New Roman"/>
          <w:sz w:val="20"/>
          <w:szCs w:val="20"/>
        </w:rPr>
        <w:t>13:</w:t>
      </w:r>
      <w:r w:rsidR="004801A2" w:rsidRPr="004D3CB3">
        <w:rPr>
          <w:rFonts w:ascii="Times New Roman" w:hAnsi="Times New Roman" w:cs="Times New Roman"/>
          <w:sz w:val="20"/>
          <w:szCs w:val="20"/>
        </w:rPr>
        <w:t xml:space="preserve"> 379-99.</w:t>
      </w:r>
    </w:p>
    <w:p w:rsidR="004801A2" w:rsidRPr="004D3CB3" w:rsidRDefault="00FA6176" w:rsidP="0040227B">
      <w:pPr>
        <w:spacing w:after="0" w:line="240" w:lineRule="auto"/>
        <w:ind w:left="720" w:hanging="720"/>
        <w:jc w:val="both"/>
        <w:rPr>
          <w:rFonts w:ascii="Times New Roman" w:hAnsi="Times New Roman" w:cs="Times New Roman"/>
          <w:sz w:val="20"/>
          <w:szCs w:val="20"/>
        </w:rPr>
      </w:pPr>
      <w:r w:rsidRPr="004D3CB3">
        <w:rPr>
          <w:rFonts w:ascii="Times New Roman" w:hAnsi="Times New Roman" w:cs="Times New Roman"/>
          <w:sz w:val="20"/>
          <w:szCs w:val="20"/>
        </w:rPr>
        <w:t>Cronin, Audrey</w:t>
      </w:r>
      <w:r w:rsidR="004801A2" w:rsidRPr="004D3CB3">
        <w:rPr>
          <w:rFonts w:ascii="Times New Roman" w:hAnsi="Times New Roman" w:cs="Times New Roman"/>
          <w:sz w:val="20"/>
          <w:szCs w:val="20"/>
        </w:rPr>
        <w:t xml:space="preserve"> </w:t>
      </w:r>
      <w:r w:rsidRPr="004D3CB3">
        <w:rPr>
          <w:rFonts w:ascii="Times New Roman" w:hAnsi="Times New Roman" w:cs="Times New Roman"/>
          <w:sz w:val="20"/>
          <w:szCs w:val="20"/>
        </w:rPr>
        <w:t>(</w:t>
      </w:r>
      <w:r w:rsidR="004801A2" w:rsidRPr="004D3CB3">
        <w:rPr>
          <w:rFonts w:ascii="Times New Roman" w:hAnsi="Times New Roman" w:cs="Times New Roman"/>
          <w:sz w:val="20"/>
          <w:szCs w:val="20"/>
        </w:rPr>
        <w:t>2006</w:t>
      </w:r>
      <w:r w:rsidRPr="004D3CB3">
        <w:rPr>
          <w:rFonts w:ascii="Times New Roman" w:hAnsi="Times New Roman" w:cs="Times New Roman"/>
          <w:sz w:val="20"/>
          <w:szCs w:val="20"/>
        </w:rPr>
        <w:t>). How Al-Qaida ends: the decline and demise of terrorist g</w:t>
      </w:r>
      <w:r w:rsidR="004801A2" w:rsidRPr="004D3CB3">
        <w:rPr>
          <w:rFonts w:ascii="Times New Roman" w:hAnsi="Times New Roman" w:cs="Times New Roman"/>
          <w:sz w:val="20"/>
          <w:szCs w:val="20"/>
        </w:rPr>
        <w:t xml:space="preserve">roups. </w:t>
      </w:r>
      <w:r w:rsidRPr="004D3CB3">
        <w:rPr>
          <w:rFonts w:ascii="Times New Roman" w:hAnsi="Times New Roman" w:cs="Times New Roman"/>
          <w:i/>
          <w:sz w:val="20"/>
          <w:szCs w:val="20"/>
        </w:rPr>
        <w:t>International Security</w:t>
      </w:r>
      <w:r w:rsidRPr="004D3CB3">
        <w:rPr>
          <w:rFonts w:ascii="Times New Roman" w:hAnsi="Times New Roman" w:cs="Times New Roman"/>
          <w:sz w:val="20"/>
          <w:szCs w:val="20"/>
        </w:rPr>
        <w:t xml:space="preserve"> 31:</w:t>
      </w:r>
      <w:r w:rsidR="00A948EB" w:rsidRPr="004D3CB3">
        <w:rPr>
          <w:rFonts w:ascii="Times New Roman" w:hAnsi="Times New Roman" w:cs="Times New Roman"/>
          <w:sz w:val="20"/>
          <w:szCs w:val="20"/>
        </w:rPr>
        <w:t xml:space="preserve"> 7-48</w:t>
      </w:r>
    </w:p>
    <w:p w:rsidR="004D2010" w:rsidRPr="004D3CB3" w:rsidRDefault="00FA6176" w:rsidP="0040227B">
      <w:pPr>
        <w:spacing w:after="0" w:line="240" w:lineRule="auto"/>
        <w:ind w:left="720" w:hanging="720"/>
        <w:jc w:val="both"/>
        <w:rPr>
          <w:rFonts w:ascii="Times New Roman" w:hAnsi="Times New Roman" w:cs="Times New Roman"/>
          <w:bCs/>
          <w:sz w:val="20"/>
          <w:szCs w:val="20"/>
        </w:rPr>
      </w:pPr>
      <w:r w:rsidRPr="004D3CB3">
        <w:rPr>
          <w:rFonts w:ascii="Times New Roman" w:hAnsi="Times New Roman" w:cs="Times New Roman"/>
          <w:bCs/>
          <w:sz w:val="20"/>
          <w:szCs w:val="20"/>
        </w:rPr>
        <w:t xml:space="preserve">Della </w:t>
      </w:r>
      <w:proofErr w:type="spellStart"/>
      <w:r w:rsidRPr="004D3CB3">
        <w:rPr>
          <w:rFonts w:ascii="Times New Roman" w:hAnsi="Times New Roman" w:cs="Times New Roman"/>
          <w:bCs/>
          <w:sz w:val="20"/>
          <w:szCs w:val="20"/>
        </w:rPr>
        <w:t>Porta</w:t>
      </w:r>
      <w:proofErr w:type="spellEnd"/>
      <w:r w:rsidRPr="004D3CB3">
        <w:rPr>
          <w:rFonts w:ascii="Times New Roman" w:hAnsi="Times New Roman" w:cs="Times New Roman"/>
          <w:bCs/>
          <w:sz w:val="20"/>
          <w:szCs w:val="20"/>
        </w:rPr>
        <w:t>, Donatella</w:t>
      </w:r>
      <w:r w:rsidR="004D2010" w:rsidRPr="004D3CB3">
        <w:rPr>
          <w:rFonts w:ascii="Times New Roman" w:hAnsi="Times New Roman" w:cs="Times New Roman"/>
          <w:bCs/>
          <w:sz w:val="20"/>
          <w:szCs w:val="20"/>
        </w:rPr>
        <w:t xml:space="preserve"> </w:t>
      </w:r>
      <w:r w:rsidRPr="004D3CB3">
        <w:rPr>
          <w:rFonts w:ascii="Times New Roman" w:hAnsi="Times New Roman" w:cs="Times New Roman"/>
          <w:bCs/>
          <w:sz w:val="20"/>
          <w:szCs w:val="20"/>
        </w:rPr>
        <w:t>(</w:t>
      </w:r>
      <w:r w:rsidR="004D2010" w:rsidRPr="004D3CB3">
        <w:rPr>
          <w:rFonts w:ascii="Times New Roman" w:hAnsi="Times New Roman" w:cs="Times New Roman"/>
          <w:bCs/>
          <w:sz w:val="20"/>
          <w:szCs w:val="20"/>
        </w:rPr>
        <w:t>1995</w:t>
      </w:r>
      <w:r w:rsidRPr="004D3CB3">
        <w:rPr>
          <w:rFonts w:ascii="Times New Roman" w:hAnsi="Times New Roman" w:cs="Times New Roman"/>
          <w:bCs/>
          <w:sz w:val="20"/>
          <w:szCs w:val="20"/>
        </w:rPr>
        <w:t>)</w:t>
      </w:r>
      <w:r w:rsidR="004D2010" w:rsidRPr="004D3CB3">
        <w:rPr>
          <w:rFonts w:ascii="Times New Roman" w:hAnsi="Times New Roman" w:cs="Times New Roman"/>
          <w:bCs/>
          <w:sz w:val="20"/>
          <w:szCs w:val="20"/>
        </w:rPr>
        <w:t xml:space="preserve">. </w:t>
      </w:r>
      <w:proofErr w:type="gramStart"/>
      <w:r w:rsidR="004D2010" w:rsidRPr="004D3CB3">
        <w:rPr>
          <w:rFonts w:ascii="Times New Roman" w:hAnsi="Times New Roman" w:cs="Times New Roman"/>
          <w:bCs/>
          <w:i/>
          <w:sz w:val="20"/>
          <w:szCs w:val="20"/>
        </w:rPr>
        <w:t xml:space="preserve">Social </w:t>
      </w:r>
      <w:r w:rsidRPr="004D3CB3">
        <w:rPr>
          <w:rFonts w:ascii="Times New Roman" w:hAnsi="Times New Roman" w:cs="Times New Roman"/>
          <w:bCs/>
          <w:i/>
          <w:sz w:val="20"/>
          <w:szCs w:val="20"/>
        </w:rPr>
        <w:t>movements, political violence, and the state – a comparative a</w:t>
      </w:r>
      <w:r w:rsidR="004D2010" w:rsidRPr="004D3CB3">
        <w:rPr>
          <w:rFonts w:ascii="Times New Roman" w:hAnsi="Times New Roman" w:cs="Times New Roman"/>
          <w:bCs/>
          <w:i/>
          <w:sz w:val="20"/>
          <w:szCs w:val="20"/>
        </w:rPr>
        <w:t>nalysis of Italy and Germany.</w:t>
      </w:r>
      <w:proofErr w:type="gramEnd"/>
      <w:r w:rsidR="009B41B2" w:rsidRPr="004D3CB3">
        <w:rPr>
          <w:rFonts w:ascii="Times New Roman" w:hAnsi="Times New Roman" w:cs="Times New Roman"/>
          <w:bCs/>
          <w:sz w:val="20"/>
          <w:szCs w:val="20"/>
        </w:rPr>
        <w:t xml:space="preserve"> </w:t>
      </w:r>
      <w:proofErr w:type="gramStart"/>
      <w:r w:rsidR="009B41B2" w:rsidRPr="004D3CB3">
        <w:rPr>
          <w:rFonts w:ascii="Times New Roman" w:hAnsi="Times New Roman" w:cs="Times New Roman"/>
          <w:bCs/>
          <w:sz w:val="20"/>
          <w:szCs w:val="20"/>
        </w:rPr>
        <w:t>Cambridge, UK,</w:t>
      </w:r>
      <w:r w:rsidR="004D2010" w:rsidRPr="004D3CB3">
        <w:rPr>
          <w:rFonts w:ascii="Times New Roman" w:hAnsi="Times New Roman" w:cs="Times New Roman"/>
          <w:bCs/>
          <w:sz w:val="20"/>
          <w:szCs w:val="20"/>
        </w:rPr>
        <w:t xml:space="preserve"> Cambridge University Press.</w:t>
      </w:r>
      <w:proofErr w:type="gramEnd"/>
    </w:p>
    <w:p w:rsidR="00CB7007" w:rsidRPr="004D3CB3" w:rsidRDefault="009B41B2" w:rsidP="0040227B">
      <w:pPr>
        <w:spacing w:after="0" w:line="240" w:lineRule="auto"/>
        <w:ind w:left="720" w:hanging="720"/>
        <w:jc w:val="both"/>
        <w:rPr>
          <w:rFonts w:ascii="Times New Roman" w:hAnsi="Times New Roman" w:cs="Times New Roman"/>
          <w:bCs/>
          <w:sz w:val="20"/>
          <w:szCs w:val="20"/>
        </w:rPr>
      </w:pPr>
      <w:r w:rsidRPr="004D3CB3">
        <w:rPr>
          <w:rFonts w:ascii="Times New Roman" w:hAnsi="Times New Roman" w:cs="Times New Roman"/>
          <w:bCs/>
          <w:sz w:val="20"/>
          <w:szCs w:val="20"/>
        </w:rPr>
        <w:t>Ehrlich, Isaac</w:t>
      </w:r>
      <w:r w:rsidR="00CB7007" w:rsidRPr="004D3CB3">
        <w:rPr>
          <w:rFonts w:ascii="Times New Roman" w:hAnsi="Times New Roman" w:cs="Times New Roman"/>
          <w:bCs/>
          <w:sz w:val="20"/>
          <w:szCs w:val="20"/>
        </w:rPr>
        <w:t xml:space="preserve"> </w:t>
      </w:r>
      <w:r w:rsidRPr="004D3CB3">
        <w:rPr>
          <w:rFonts w:ascii="Times New Roman" w:hAnsi="Times New Roman" w:cs="Times New Roman"/>
          <w:bCs/>
          <w:sz w:val="20"/>
          <w:szCs w:val="20"/>
        </w:rPr>
        <w:t>(</w:t>
      </w:r>
      <w:r w:rsidR="00CB7007" w:rsidRPr="004D3CB3">
        <w:rPr>
          <w:rFonts w:ascii="Times New Roman" w:hAnsi="Times New Roman" w:cs="Times New Roman"/>
          <w:bCs/>
          <w:sz w:val="20"/>
          <w:szCs w:val="20"/>
        </w:rPr>
        <w:t>1973</w:t>
      </w:r>
      <w:r w:rsidRPr="004D3CB3">
        <w:rPr>
          <w:rFonts w:ascii="Times New Roman" w:hAnsi="Times New Roman" w:cs="Times New Roman"/>
          <w:bCs/>
          <w:sz w:val="20"/>
          <w:szCs w:val="20"/>
        </w:rPr>
        <w:t>)</w:t>
      </w:r>
      <w:r w:rsidR="00A948EB" w:rsidRPr="004D3CB3">
        <w:rPr>
          <w:rFonts w:ascii="Times New Roman" w:hAnsi="Times New Roman" w:cs="Times New Roman"/>
          <w:bCs/>
          <w:sz w:val="20"/>
          <w:szCs w:val="20"/>
        </w:rPr>
        <w:t>.</w:t>
      </w:r>
      <w:r w:rsidRPr="004D3CB3">
        <w:rPr>
          <w:rFonts w:ascii="Times New Roman" w:hAnsi="Times New Roman" w:cs="Times New Roman"/>
          <w:bCs/>
          <w:sz w:val="20"/>
          <w:szCs w:val="20"/>
        </w:rPr>
        <w:t xml:space="preserve"> Participation in illegitimate activities: a t</w:t>
      </w:r>
      <w:r w:rsidR="00CB7007" w:rsidRPr="004D3CB3">
        <w:rPr>
          <w:rFonts w:ascii="Times New Roman" w:hAnsi="Times New Roman" w:cs="Times New Roman"/>
          <w:bCs/>
          <w:sz w:val="20"/>
          <w:szCs w:val="20"/>
        </w:rPr>
        <w:t>heoreti</w:t>
      </w:r>
      <w:r w:rsidRPr="004D3CB3">
        <w:rPr>
          <w:rFonts w:ascii="Times New Roman" w:hAnsi="Times New Roman" w:cs="Times New Roman"/>
          <w:bCs/>
          <w:sz w:val="20"/>
          <w:szCs w:val="20"/>
        </w:rPr>
        <w:t>cal and empirical i</w:t>
      </w:r>
      <w:r w:rsidR="00A948EB" w:rsidRPr="004D3CB3">
        <w:rPr>
          <w:rFonts w:ascii="Times New Roman" w:hAnsi="Times New Roman" w:cs="Times New Roman"/>
          <w:bCs/>
          <w:sz w:val="20"/>
          <w:szCs w:val="20"/>
        </w:rPr>
        <w:t>nvestigation.</w:t>
      </w:r>
      <w:r w:rsidRPr="004D3CB3">
        <w:rPr>
          <w:rFonts w:ascii="Times New Roman" w:hAnsi="Times New Roman" w:cs="Times New Roman"/>
          <w:bCs/>
          <w:i/>
          <w:sz w:val="20"/>
          <w:szCs w:val="20"/>
        </w:rPr>
        <w:t xml:space="preserve"> Journal of Political Economy </w:t>
      </w:r>
      <w:r w:rsidRPr="004D3CB3">
        <w:rPr>
          <w:rFonts w:ascii="Times New Roman" w:hAnsi="Times New Roman" w:cs="Times New Roman"/>
          <w:bCs/>
          <w:sz w:val="20"/>
          <w:szCs w:val="20"/>
        </w:rPr>
        <w:t>81:</w:t>
      </w:r>
      <w:r w:rsidR="00CB7007" w:rsidRPr="004D3CB3">
        <w:rPr>
          <w:rFonts w:ascii="Times New Roman" w:hAnsi="Times New Roman" w:cs="Times New Roman"/>
          <w:bCs/>
          <w:sz w:val="20"/>
          <w:szCs w:val="20"/>
        </w:rPr>
        <w:t xml:space="preserve"> 521-565.</w:t>
      </w:r>
    </w:p>
    <w:p w:rsidR="00CB7007" w:rsidRPr="004D3CB3" w:rsidRDefault="00CB7007" w:rsidP="0040227B">
      <w:pPr>
        <w:spacing w:after="0" w:line="240" w:lineRule="auto"/>
        <w:ind w:left="720" w:hanging="720"/>
        <w:jc w:val="both"/>
        <w:rPr>
          <w:rFonts w:ascii="Times New Roman" w:hAnsi="Times New Roman" w:cs="Times New Roman"/>
          <w:sz w:val="20"/>
          <w:szCs w:val="20"/>
        </w:rPr>
      </w:pPr>
      <w:r w:rsidRPr="004D3CB3">
        <w:rPr>
          <w:rFonts w:ascii="Times New Roman" w:hAnsi="Times New Roman" w:cs="Times New Roman"/>
          <w:sz w:val="20"/>
          <w:szCs w:val="20"/>
        </w:rPr>
        <w:t>Enders,</w:t>
      </w:r>
      <w:r w:rsidR="00C01500" w:rsidRPr="004D3CB3">
        <w:rPr>
          <w:rFonts w:ascii="Times New Roman" w:hAnsi="Times New Roman" w:cs="Times New Roman"/>
          <w:sz w:val="20"/>
          <w:szCs w:val="20"/>
        </w:rPr>
        <w:t xml:space="preserve"> Walter</w:t>
      </w:r>
      <w:r w:rsidR="00A948EB" w:rsidRPr="004D3CB3">
        <w:rPr>
          <w:rFonts w:ascii="Times New Roman" w:hAnsi="Times New Roman" w:cs="Times New Roman"/>
          <w:sz w:val="20"/>
          <w:szCs w:val="20"/>
        </w:rPr>
        <w:t xml:space="preserve">, </w:t>
      </w:r>
      <w:r w:rsidR="00C01500" w:rsidRPr="004D3CB3">
        <w:rPr>
          <w:rFonts w:ascii="Times New Roman" w:hAnsi="Times New Roman" w:cs="Times New Roman"/>
          <w:sz w:val="20"/>
          <w:szCs w:val="20"/>
        </w:rPr>
        <w:t xml:space="preserve">Gerald F. </w:t>
      </w:r>
      <w:proofErr w:type="spellStart"/>
      <w:r w:rsidR="00C01500" w:rsidRPr="004D3CB3">
        <w:rPr>
          <w:rFonts w:ascii="Times New Roman" w:hAnsi="Times New Roman" w:cs="Times New Roman"/>
          <w:sz w:val="20"/>
          <w:szCs w:val="20"/>
        </w:rPr>
        <w:t>Parise</w:t>
      </w:r>
      <w:proofErr w:type="spellEnd"/>
      <w:r w:rsidR="00C01500" w:rsidRPr="004D3CB3">
        <w:rPr>
          <w:rFonts w:ascii="Times New Roman" w:hAnsi="Times New Roman" w:cs="Times New Roman"/>
          <w:sz w:val="20"/>
          <w:szCs w:val="20"/>
        </w:rPr>
        <w:t xml:space="preserve"> and Todd Sandler</w:t>
      </w:r>
      <w:r w:rsidRPr="004D3CB3">
        <w:rPr>
          <w:rFonts w:ascii="Times New Roman" w:hAnsi="Times New Roman" w:cs="Times New Roman"/>
          <w:sz w:val="20"/>
          <w:szCs w:val="20"/>
        </w:rPr>
        <w:t xml:space="preserve"> </w:t>
      </w:r>
      <w:r w:rsidR="00C01500" w:rsidRPr="004D3CB3">
        <w:rPr>
          <w:rFonts w:ascii="Times New Roman" w:hAnsi="Times New Roman" w:cs="Times New Roman"/>
          <w:sz w:val="20"/>
          <w:szCs w:val="20"/>
        </w:rPr>
        <w:t>(</w:t>
      </w:r>
      <w:r w:rsidRPr="004D3CB3">
        <w:rPr>
          <w:rFonts w:ascii="Times New Roman" w:hAnsi="Times New Roman" w:cs="Times New Roman"/>
          <w:sz w:val="20"/>
          <w:szCs w:val="20"/>
        </w:rPr>
        <w:t>1992</w:t>
      </w:r>
      <w:r w:rsidR="00C01500" w:rsidRPr="004D3CB3">
        <w:rPr>
          <w:rFonts w:ascii="Times New Roman" w:hAnsi="Times New Roman" w:cs="Times New Roman"/>
          <w:sz w:val="20"/>
          <w:szCs w:val="20"/>
        </w:rPr>
        <w:t>). A time-series analysis of transnational terrorism: trends and c</w:t>
      </w:r>
      <w:r w:rsidRPr="004D3CB3">
        <w:rPr>
          <w:rFonts w:ascii="Times New Roman" w:hAnsi="Times New Roman" w:cs="Times New Roman"/>
          <w:sz w:val="20"/>
          <w:szCs w:val="20"/>
        </w:rPr>
        <w:t xml:space="preserve">ycles. </w:t>
      </w:r>
      <w:r w:rsidRPr="004D3CB3">
        <w:rPr>
          <w:rFonts w:ascii="Times New Roman" w:hAnsi="Times New Roman" w:cs="Times New Roman"/>
          <w:i/>
          <w:iCs/>
          <w:sz w:val="20"/>
          <w:szCs w:val="20"/>
        </w:rPr>
        <w:t xml:space="preserve">Defence Economics </w:t>
      </w:r>
      <w:r w:rsidRPr="004D3CB3">
        <w:rPr>
          <w:rFonts w:ascii="Times New Roman" w:hAnsi="Times New Roman" w:cs="Times New Roman"/>
          <w:bCs/>
          <w:sz w:val="20"/>
          <w:szCs w:val="20"/>
        </w:rPr>
        <w:t>3</w:t>
      </w:r>
      <w:r w:rsidR="00C01500" w:rsidRPr="004D3CB3">
        <w:rPr>
          <w:rFonts w:ascii="Times New Roman" w:hAnsi="Times New Roman" w:cs="Times New Roman"/>
          <w:sz w:val="20"/>
          <w:szCs w:val="20"/>
        </w:rPr>
        <w:t>:</w:t>
      </w:r>
      <w:r w:rsidRPr="004D3CB3">
        <w:rPr>
          <w:rFonts w:ascii="Times New Roman" w:hAnsi="Times New Roman" w:cs="Times New Roman"/>
          <w:sz w:val="20"/>
          <w:szCs w:val="20"/>
        </w:rPr>
        <w:t xml:space="preserve"> 305–320.</w:t>
      </w:r>
    </w:p>
    <w:p w:rsidR="0042390E" w:rsidRPr="004D3CB3" w:rsidRDefault="00C01500" w:rsidP="0040227B">
      <w:pPr>
        <w:spacing w:after="0" w:line="240" w:lineRule="auto"/>
        <w:ind w:left="720" w:hanging="720"/>
        <w:jc w:val="both"/>
        <w:rPr>
          <w:rFonts w:ascii="Times New Roman" w:hAnsi="Times New Roman" w:cs="Times New Roman"/>
          <w:bCs/>
          <w:sz w:val="20"/>
          <w:szCs w:val="20"/>
        </w:rPr>
      </w:pPr>
      <w:proofErr w:type="gramStart"/>
      <w:r w:rsidRPr="004D3CB3">
        <w:rPr>
          <w:rFonts w:ascii="Times New Roman" w:hAnsi="Times New Roman" w:cs="Times New Roman"/>
          <w:sz w:val="20"/>
          <w:szCs w:val="20"/>
        </w:rPr>
        <w:t>Enders, Walter</w:t>
      </w:r>
      <w:r w:rsidR="0042390E" w:rsidRPr="004D3CB3">
        <w:rPr>
          <w:rFonts w:ascii="Times New Roman" w:hAnsi="Times New Roman" w:cs="Times New Roman"/>
          <w:sz w:val="20"/>
          <w:szCs w:val="20"/>
        </w:rPr>
        <w:t xml:space="preserve"> and </w:t>
      </w:r>
      <w:r w:rsidRPr="004D3CB3">
        <w:rPr>
          <w:rFonts w:ascii="Times New Roman" w:hAnsi="Times New Roman" w:cs="Times New Roman"/>
          <w:sz w:val="20"/>
          <w:szCs w:val="20"/>
        </w:rPr>
        <w:t xml:space="preserve">Todd </w:t>
      </w:r>
      <w:r w:rsidR="0042390E" w:rsidRPr="004D3CB3">
        <w:rPr>
          <w:rFonts w:ascii="Times New Roman" w:hAnsi="Times New Roman" w:cs="Times New Roman"/>
          <w:sz w:val="20"/>
          <w:szCs w:val="20"/>
        </w:rPr>
        <w:t>Sandler</w:t>
      </w:r>
      <w:r w:rsidRPr="004D3CB3">
        <w:rPr>
          <w:rFonts w:ascii="Times New Roman" w:hAnsi="Times New Roman" w:cs="Times New Roman"/>
          <w:sz w:val="20"/>
          <w:szCs w:val="20"/>
        </w:rPr>
        <w:t xml:space="preserve"> (</w:t>
      </w:r>
      <w:r w:rsidR="00A948EB" w:rsidRPr="004D3CB3">
        <w:rPr>
          <w:rFonts w:ascii="Times New Roman" w:hAnsi="Times New Roman" w:cs="Times New Roman"/>
          <w:sz w:val="20"/>
          <w:szCs w:val="20"/>
        </w:rPr>
        <w:t>2002</w:t>
      </w:r>
      <w:r w:rsidRPr="004D3CB3">
        <w:rPr>
          <w:rFonts w:ascii="Times New Roman" w:hAnsi="Times New Roman" w:cs="Times New Roman"/>
          <w:sz w:val="20"/>
          <w:szCs w:val="20"/>
        </w:rPr>
        <w:t>)</w:t>
      </w:r>
      <w:r w:rsidR="00A948EB" w:rsidRPr="004D3CB3">
        <w:rPr>
          <w:rFonts w:ascii="Times New Roman" w:hAnsi="Times New Roman" w:cs="Times New Roman"/>
          <w:sz w:val="20"/>
          <w:szCs w:val="20"/>
        </w:rPr>
        <w:t>.</w:t>
      </w:r>
      <w:proofErr w:type="gramEnd"/>
      <w:r w:rsidRPr="004D3CB3">
        <w:rPr>
          <w:rFonts w:ascii="Times New Roman" w:hAnsi="Times New Roman" w:cs="Times New Roman"/>
          <w:sz w:val="20"/>
          <w:szCs w:val="20"/>
        </w:rPr>
        <w:t xml:space="preserve"> Patterns of transnational terrorism, 1970-1999: a</w:t>
      </w:r>
      <w:r w:rsidR="0042390E" w:rsidRPr="004D3CB3">
        <w:rPr>
          <w:rFonts w:ascii="Times New Roman" w:hAnsi="Times New Roman" w:cs="Times New Roman"/>
          <w:sz w:val="20"/>
          <w:szCs w:val="20"/>
        </w:rPr>
        <w:t>l</w:t>
      </w:r>
      <w:r w:rsidRPr="004D3CB3">
        <w:rPr>
          <w:rFonts w:ascii="Times New Roman" w:hAnsi="Times New Roman" w:cs="Times New Roman"/>
          <w:sz w:val="20"/>
          <w:szCs w:val="20"/>
        </w:rPr>
        <w:t>ternative time-s</w:t>
      </w:r>
      <w:r w:rsidR="00A948EB" w:rsidRPr="004D3CB3">
        <w:rPr>
          <w:rFonts w:ascii="Times New Roman" w:hAnsi="Times New Roman" w:cs="Times New Roman"/>
          <w:sz w:val="20"/>
          <w:szCs w:val="20"/>
        </w:rPr>
        <w:t>er</w:t>
      </w:r>
      <w:r w:rsidRPr="004D3CB3">
        <w:rPr>
          <w:rFonts w:ascii="Times New Roman" w:hAnsi="Times New Roman" w:cs="Times New Roman"/>
          <w:sz w:val="20"/>
          <w:szCs w:val="20"/>
        </w:rPr>
        <w:t>ies e</w:t>
      </w:r>
      <w:r w:rsidR="00A948EB" w:rsidRPr="004D3CB3">
        <w:rPr>
          <w:rFonts w:ascii="Times New Roman" w:hAnsi="Times New Roman" w:cs="Times New Roman"/>
          <w:sz w:val="20"/>
          <w:szCs w:val="20"/>
        </w:rPr>
        <w:t>stimates.</w:t>
      </w:r>
      <w:r w:rsidR="0042390E" w:rsidRPr="004D3CB3">
        <w:rPr>
          <w:rFonts w:ascii="Times New Roman" w:hAnsi="Times New Roman" w:cs="Times New Roman"/>
          <w:i/>
          <w:sz w:val="20"/>
          <w:szCs w:val="20"/>
        </w:rPr>
        <w:t xml:space="preserve"> </w:t>
      </w:r>
      <w:r w:rsidRPr="004D3CB3">
        <w:rPr>
          <w:rFonts w:ascii="Times New Roman" w:hAnsi="Times New Roman" w:cs="Times New Roman"/>
          <w:i/>
          <w:sz w:val="20"/>
          <w:szCs w:val="20"/>
        </w:rPr>
        <w:t xml:space="preserve">International Studies Quarterly </w:t>
      </w:r>
      <w:r w:rsidRPr="004D3CB3">
        <w:rPr>
          <w:rFonts w:ascii="Times New Roman" w:hAnsi="Times New Roman" w:cs="Times New Roman"/>
          <w:sz w:val="20"/>
          <w:szCs w:val="20"/>
        </w:rPr>
        <w:t>46:</w:t>
      </w:r>
      <w:r w:rsidR="0042390E" w:rsidRPr="004D3CB3">
        <w:rPr>
          <w:rFonts w:ascii="Times New Roman" w:hAnsi="Times New Roman" w:cs="Times New Roman"/>
          <w:sz w:val="20"/>
          <w:szCs w:val="20"/>
        </w:rPr>
        <w:t xml:space="preserve"> 145-165.</w:t>
      </w:r>
    </w:p>
    <w:p w:rsidR="0042390E" w:rsidRPr="004D3CB3" w:rsidRDefault="00C01500" w:rsidP="0040227B">
      <w:pPr>
        <w:spacing w:after="0" w:line="240" w:lineRule="auto"/>
        <w:ind w:left="720" w:hanging="720"/>
        <w:jc w:val="both"/>
        <w:rPr>
          <w:rFonts w:ascii="Times New Roman" w:hAnsi="Times New Roman" w:cs="Times New Roman"/>
          <w:bCs/>
          <w:sz w:val="20"/>
          <w:szCs w:val="20"/>
        </w:rPr>
      </w:pPr>
      <w:proofErr w:type="gramStart"/>
      <w:r w:rsidRPr="004D3CB3">
        <w:rPr>
          <w:rFonts w:ascii="Times New Roman" w:hAnsi="Times New Roman" w:cs="Times New Roman"/>
          <w:sz w:val="20"/>
          <w:szCs w:val="20"/>
        </w:rPr>
        <w:t>Enders, Walter</w:t>
      </w:r>
      <w:r w:rsidR="0042390E" w:rsidRPr="004D3CB3">
        <w:rPr>
          <w:rFonts w:ascii="Times New Roman" w:hAnsi="Times New Roman" w:cs="Times New Roman"/>
          <w:sz w:val="20"/>
          <w:szCs w:val="20"/>
        </w:rPr>
        <w:t xml:space="preserve"> and </w:t>
      </w:r>
      <w:r w:rsidRPr="004D3CB3">
        <w:rPr>
          <w:rFonts w:ascii="Times New Roman" w:hAnsi="Times New Roman" w:cs="Times New Roman"/>
          <w:sz w:val="20"/>
          <w:szCs w:val="20"/>
        </w:rPr>
        <w:t>Todd Sandler</w:t>
      </w:r>
      <w:r w:rsidR="00A948EB" w:rsidRPr="004D3CB3">
        <w:rPr>
          <w:rFonts w:ascii="Times New Roman" w:hAnsi="Times New Roman" w:cs="Times New Roman"/>
          <w:sz w:val="20"/>
          <w:szCs w:val="20"/>
        </w:rPr>
        <w:t xml:space="preserve"> </w:t>
      </w:r>
      <w:r w:rsidRPr="004D3CB3">
        <w:rPr>
          <w:rFonts w:ascii="Times New Roman" w:hAnsi="Times New Roman" w:cs="Times New Roman"/>
          <w:sz w:val="20"/>
          <w:szCs w:val="20"/>
        </w:rPr>
        <w:t>(</w:t>
      </w:r>
      <w:r w:rsidR="00A948EB" w:rsidRPr="004D3CB3">
        <w:rPr>
          <w:rFonts w:ascii="Times New Roman" w:hAnsi="Times New Roman" w:cs="Times New Roman"/>
          <w:sz w:val="20"/>
          <w:szCs w:val="20"/>
        </w:rPr>
        <w:t>2005</w:t>
      </w:r>
      <w:r w:rsidRPr="004D3CB3">
        <w:rPr>
          <w:rFonts w:ascii="Times New Roman" w:hAnsi="Times New Roman" w:cs="Times New Roman"/>
          <w:sz w:val="20"/>
          <w:szCs w:val="20"/>
        </w:rPr>
        <w:t>)</w:t>
      </w:r>
      <w:r w:rsidR="00A948EB" w:rsidRPr="004D3CB3">
        <w:rPr>
          <w:rFonts w:ascii="Times New Roman" w:hAnsi="Times New Roman" w:cs="Times New Roman"/>
          <w:sz w:val="20"/>
          <w:szCs w:val="20"/>
        </w:rPr>
        <w:t>.</w:t>
      </w:r>
      <w:proofErr w:type="gramEnd"/>
      <w:r w:rsidRPr="004D3CB3">
        <w:rPr>
          <w:rFonts w:ascii="Times New Roman" w:hAnsi="Times New Roman" w:cs="Times New Roman"/>
          <w:sz w:val="20"/>
          <w:szCs w:val="20"/>
        </w:rPr>
        <w:t xml:space="preserve"> Transnational t</w:t>
      </w:r>
      <w:r w:rsidR="0042390E" w:rsidRPr="004D3CB3">
        <w:rPr>
          <w:rFonts w:ascii="Times New Roman" w:hAnsi="Times New Roman" w:cs="Times New Roman"/>
          <w:sz w:val="20"/>
          <w:szCs w:val="20"/>
        </w:rPr>
        <w:t>errorism 1968-2000:</w:t>
      </w:r>
      <w:r w:rsidRPr="004D3CB3">
        <w:rPr>
          <w:rFonts w:ascii="Times New Roman" w:hAnsi="Times New Roman" w:cs="Times New Roman"/>
          <w:sz w:val="20"/>
          <w:szCs w:val="20"/>
        </w:rPr>
        <w:t xml:space="preserve"> t</w:t>
      </w:r>
      <w:r w:rsidR="0042390E" w:rsidRPr="004D3CB3">
        <w:rPr>
          <w:rFonts w:ascii="Times New Roman" w:hAnsi="Times New Roman" w:cs="Times New Roman"/>
          <w:sz w:val="20"/>
          <w:szCs w:val="20"/>
        </w:rPr>
        <w:t>hresh</w:t>
      </w:r>
      <w:r w:rsidRPr="004D3CB3">
        <w:rPr>
          <w:rFonts w:ascii="Times New Roman" w:hAnsi="Times New Roman" w:cs="Times New Roman"/>
          <w:sz w:val="20"/>
          <w:szCs w:val="20"/>
        </w:rPr>
        <w:t>olds, persistence and f</w:t>
      </w:r>
      <w:r w:rsidR="00A948EB" w:rsidRPr="004D3CB3">
        <w:rPr>
          <w:rFonts w:ascii="Times New Roman" w:hAnsi="Times New Roman" w:cs="Times New Roman"/>
          <w:sz w:val="20"/>
          <w:szCs w:val="20"/>
        </w:rPr>
        <w:t>orecasts.</w:t>
      </w:r>
      <w:r w:rsidRPr="004D3CB3">
        <w:rPr>
          <w:rFonts w:ascii="Times New Roman" w:hAnsi="Times New Roman" w:cs="Times New Roman"/>
          <w:sz w:val="20"/>
          <w:szCs w:val="20"/>
        </w:rPr>
        <w:t xml:space="preserve"> </w:t>
      </w:r>
      <w:r w:rsidRPr="004D3CB3">
        <w:rPr>
          <w:rFonts w:ascii="Times New Roman" w:hAnsi="Times New Roman" w:cs="Times New Roman"/>
          <w:i/>
          <w:sz w:val="20"/>
          <w:szCs w:val="20"/>
        </w:rPr>
        <w:t xml:space="preserve">Southern Economic Journal </w:t>
      </w:r>
      <w:r w:rsidRPr="004D3CB3">
        <w:rPr>
          <w:rFonts w:ascii="Times New Roman" w:hAnsi="Times New Roman" w:cs="Times New Roman"/>
          <w:sz w:val="20"/>
          <w:szCs w:val="20"/>
        </w:rPr>
        <w:t>71:</w:t>
      </w:r>
      <w:r w:rsidR="0042390E" w:rsidRPr="004D3CB3">
        <w:rPr>
          <w:rFonts w:ascii="Times New Roman" w:hAnsi="Times New Roman" w:cs="Times New Roman"/>
          <w:sz w:val="20"/>
          <w:szCs w:val="20"/>
        </w:rPr>
        <w:t xml:space="preserve"> 467-482.</w:t>
      </w:r>
    </w:p>
    <w:p w:rsidR="00CB7007" w:rsidRPr="004D3CB3" w:rsidRDefault="00CB7007" w:rsidP="0040227B">
      <w:pPr>
        <w:spacing w:after="0" w:line="240" w:lineRule="auto"/>
        <w:ind w:left="720" w:hanging="720"/>
        <w:jc w:val="both"/>
        <w:rPr>
          <w:rFonts w:ascii="Times New Roman" w:hAnsi="Times New Roman" w:cs="Times New Roman"/>
          <w:sz w:val="20"/>
          <w:szCs w:val="20"/>
        </w:rPr>
      </w:pPr>
      <w:proofErr w:type="spellStart"/>
      <w:r w:rsidRPr="004D3CB3">
        <w:rPr>
          <w:rFonts w:ascii="Times New Roman" w:hAnsi="Times New Roman" w:cs="Times New Roman"/>
          <w:sz w:val="20"/>
          <w:szCs w:val="20"/>
        </w:rPr>
        <w:t>Fear</w:t>
      </w:r>
      <w:r w:rsidR="00C01500" w:rsidRPr="004D3CB3">
        <w:rPr>
          <w:rFonts w:ascii="Times New Roman" w:hAnsi="Times New Roman" w:cs="Times New Roman"/>
          <w:sz w:val="20"/>
          <w:szCs w:val="20"/>
        </w:rPr>
        <w:t>on</w:t>
      </w:r>
      <w:proofErr w:type="spellEnd"/>
      <w:r w:rsidR="00C01500" w:rsidRPr="004D3CB3">
        <w:rPr>
          <w:rFonts w:ascii="Times New Roman" w:hAnsi="Times New Roman" w:cs="Times New Roman"/>
          <w:sz w:val="20"/>
          <w:szCs w:val="20"/>
        </w:rPr>
        <w:t>, James (</w:t>
      </w:r>
      <w:r w:rsidR="00A948EB" w:rsidRPr="004D3CB3">
        <w:rPr>
          <w:rFonts w:ascii="Times New Roman" w:hAnsi="Times New Roman" w:cs="Times New Roman"/>
          <w:sz w:val="20"/>
          <w:szCs w:val="20"/>
        </w:rPr>
        <w:t>1995</w:t>
      </w:r>
      <w:r w:rsidR="00C01500" w:rsidRPr="004D3CB3">
        <w:rPr>
          <w:rFonts w:ascii="Times New Roman" w:hAnsi="Times New Roman" w:cs="Times New Roman"/>
          <w:sz w:val="20"/>
          <w:szCs w:val="20"/>
        </w:rPr>
        <w:t xml:space="preserve">). </w:t>
      </w:r>
      <w:proofErr w:type="gramStart"/>
      <w:r w:rsidR="00C01500" w:rsidRPr="004D3CB3">
        <w:rPr>
          <w:rFonts w:ascii="Times New Roman" w:hAnsi="Times New Roman" w:cs="Times New Roman"/>
          <w:sz w:val="20"/>
          <w:szCs w:val="20"/>
        </w:rPr>
        <w:t>Rationalist e</w:t>
      </w:r>
      <w:r w:rsidR="00A948EB" w:rsidRPr="004D3CB3">
        <w:rPr>
          <w:rFonts w:ascii="Times New Roman" w:hAnsi="Times New Roman" w:cs="Times New Roman"/>
          <w:sz w:val="20"/>
          <w:szCs w:val="20"/>
        </w:rPr>
        <w:t>xplanations f</w:t>
      </w:r>
      <w:r w:rsidR="00C01500" w:rsidRPr="004D3CB3">
        <w:rPr>
          <w:rFonts w:ascii="Times New Roman" w:hAnsi="Times New Roman" w:cs="Times New Roman"/>
          <w:sz w:val="20"/>
          <w:szCs w:val="20"/>
        </w:rPr>
        <w:t>or w</w:t>
      </w:r>
      <w:r w:rsidRPr="004D3CB3">
        <w:rPr>
          <w:rFonts w:ascii="Times New Roman" w:hAnsi="Times New Roman" w:cs="Times New Roman"/>
          <w:sz w:val="20"/>
          <w:szCs w:val="20"/>
        </w:rPr>
        <w:t>ar.</w:t>
      </w:r>
      <w:proofErr w:type="gramEnd"/>
      <w:r w:rsidRPr="004D3CB3">
        <w:rPr>
          <w:rFonts w:ascii="Times New Roman" w:hAnsi="Times New Roman" w:cs="Times New Roman"/>
          <w:sz w:val="20"/>
          <w:szCs w:val="20"/>
        </w:rPr>
        <w:t xml:space="preserve"> </w:t>
      </w:r>
      <w:r w:rsidRPr="004D3CB3">
        <w:rPr>
          <w:rFonts w:ascii="Times New Roman" w:hAnsi="Times New Roman" w:cs="Times New Roman"/>
          <w:i/>
          <w:sz w:val="20"/>
          <w:szCs w:val="20"/>
        </w:rPr>
        <w:t>In</w:t>
      </w:r>
      <w:r w:rsidR="00C01500" w:rsidRPr="004D3CB3">
        <w:rPr>
          <w:rFonts w:ascii="Times New Roman" w:hAnsi="Times New Roman" w:cs="Times New Roman"/>
          <w:i/>
          <w:sz w:val="20"/>
          <w:szCs w:val="20"/>
        </w:rPr>
        <w:t>ternational Organization</w:t>
      </w:r>
      <w:r w:rsidR="00C01500" w:rsidRPr="004D3CB3">
        <w:rPr>
          <w:rFonts w:ascii="Times New Roman" w:hAnsi="Times New Roman" w:cs="Times New Roman"/>
          <w:sz w:val="20"/>
          <w:szCs w:val="20"/>
        </w:rPr>
        <w:t xml:space="preserve"> 49:</w:t>
      </w:r>
      <w:r w:rsidRPr="004D3CB3">
        <w:rPr>
          <w:rFonts w:ascii="Times New Roman" w:hAnsi="Times New Roman" w:cs="Times New Roman"/>
          <w:sz w:val="20"/>
          <w:szCs w:val="20"/>
        </w:rPr>
        <w:t xml:space="preserve"> 379-414. </w:t>
      </w:r>
    </w:p>
    <w:p w:rsidR="0042390E" w:rsidRPr="004D3CB3" w:rsidRDefault="0042390E" w:rsidP="0040227B">
      <w:pPr>
        <w:spacing w:after="0" w:line="240" w:lineRule="auto"/>
        <w:ind w:left="720" w:hanging="720"/>
        <w:jc w:val="both"/>
        <w:rPr>
          <w:rFonts w:ascii="Times New Roman" w:hAnsi="Times New Roman" w:cs="Times New Roman"/>
          <w:sz w:val="20"/>
          <w:szCs w:val="20"/>
        </w:rPr>
      </w:pPr>
      <w:proofErr w:type="gramStart"/>
      <w:r w:rsidRPr="004D3CB3">
        <w:rPr>
          <w:rFonts w:ascii="Times New Roman" w:hAnsi="Times New Roman" w:cs="Times New Roman"/>
          <w:sz w:val="20"/>
          <w:szCs w:val="20"/>
        </w:rPr>
        <w:t>Frey, B</w:t>
      </w:r>
      <w:r w:rsidR="00C01500" w:rsidRPr="004D3CB3">
        <w:rPr>
          <w:rFonts w:ascii="Times New Roman" w:hAnsi="Times New Roman" w:cs="Times New Roman"/>
          <w:sz w:val="20"/>
          <w:szCs w:val="20"/>
        </w:rPr>
        <w:t xml:space="preserve">runo and Simon </w:t>
      </w:r>
      <w:proofErr w:type="spellStart"/>
      <w:r w:rsidR="00C01500" w:rsidRPr="004D3CB3">
        <w:rPr>
          <w:rFonts w:ascii="Times New Roman" w:hAnsi="Times New Roman" w:cs="Times New Roman"/>
          <w:sz w:val="20"/>
          <w:szCs w:val="20"/>
        </w:rPr>
        <w:t>Luechinger</w:t>
      </w:r>
      <w:proofErr w:type="spellEnd"/>
      <w:r w:rsidR="00A948EB" w:rsidRPr="004D3CB3">
        <w:rPr>
          <w:rFonts w:ascii="Times New Roman" w:hAnsi="Times New Roman" w:cs="Times New Roman"/>
          <w:sz w:val="20"/>
          <w:szCs w:val="20"/>
        </w:rPr>
        <w:t xml:space="preserve"> </w:t>
      </w:r>
      <w:r w:rsidR="00C01500" w:rsidRPr="004D3CB3">
        <w:rPr>
          <w:rFonts w:ascii="Times New Roman" w:hAnsi="Times New Roman" w:cs="Times New Roman"/>
          <w:sz w:val="20"/>
          <w:szCs w:val="20"/>
        </w:rPr>
        <w:t>(</w:t>
      </w:r>
      <w:r w:rsidR="00A948EB" w:rsidRPr="004D3CB3">
        <w:rPr>
          <w:rFonts w:ascii="Times New Roman" w:hAnsi="Times New Roman" w:cs="Times New Roman"/>
          <w:sz w:val="20"/>
          <w:szCs w:val="20"/>
        </w:rPr>
        <w:t>2003</w:t>
      </w:r>
      <w:r w:rsidR="00C01500" w:rsidRPr="004D3CB3">
        <w:rPr>
          <w:rFonts w:ascii="Times New Roman" w:hAnsi="Times New Roman" w:cs="Times New Roman"/>
          <w:sz w:val="20"/>
          <w:szCs w:val="20"/>
        </w:rPr>
        <w:t>)</w:t>
      </w:r>
      <w:r w:rsidR="00A948EB" w:rsidRPr="004D3CB3">
        <w:rPr>
          <w:rFonts w:ascii="Times New Roman" w:hAnsi="Times New Roman" w:cs="Times New Roman"/>
          <w:sz w:val="20"/>
          <w:szCs w:val="20"/>
        </w:rPr>
        <w:t>.</w:t>
      </w:r>
      <w:proofErr w:type="gramEnd"/>
      <w:r w:rsidR="00C01500" w:rsidRPr="004D3CB3">
        <w:rPr>
          <w:rFonts w:ascii="Times New Roman" w:hAnsi="Times New Roman" w:cs="Times New Roman"/>
          <w:sz w:val="20"/>
          <w:szCs w:val="20"/>
        </w:rPr>
        <w:t xml:space="preserve"> How to fight terrorism: a</w:t>
      </w:r>
      <w:r w:rsidRPr="004D3CB3">
        <w:rPr>
          <w:rFonts w:ascii="Times New Roman" w:hAnsi="Times New Roman" w:cs="Times New Roman"/>
          <w:sz w:val="20"/>
          <w:szCs w:val="20"/>
        </w:rPr>
        <w:t>lternatives to</w:t>
      </w:r>
      <w:r w:rsidR="00C01500" w:rsidRPr="004D3CB3">
        <w:rPr>
          <w:rFonts w:ascii="Times New Roman" w:hAnsi="Times New Roman" w:cs="Times New Roman"/>
          <w:sz w:val="20"/>
          <w:szCs w:val="20"/>
        </w:rPr>
        <w:t xml:space="preserve"> d</w:t>
      </w:r>
      <w:r w:rsidR="00A948EB" w:rsidRPr="004D3CB3">
        <w:rPr>
          <w:rFonts w:ascii="Times New Roman" w:hAnsi="Times New Roman" w:cs="Times New Roman"/>
          <w:sz w:val="20"/>
          <w:szCs w:val="20"/>
        </w:rPr>
        <w:t>eterrence.</w:t>
      </w:r>
      <w:bookmarkStart w:id="0" w:name="_GoBack"/>
      <w:bookmarkEnd w:id="0"/>
      <w:r w:rsidR="00C01500" w:rsidRPr="004D3CB3">
        <w:rPr>
          <w:rFonts w:ascii="Times New Roman" w:hAnsi="Times New Roman" w:cs="Times New Roman"/>
          <w:sz w:val="20"/>
          <w:szCs w:val="20"/>
        </w:rPr>
        <w:t xml:space="preserve"> </w:t>
      </w:r>
      <w:r w:rsidR="00C01500" w:rsidRPr="004D3CB3">
        <w:rPr>
          <w:rFonts w:ascii="Times New Roman" w:hAnsi="Times New Roman" w:cs="Times New Roman"/>
          <w:i/>
          <w:sz w:val="20"/>
          <w:szCs w:val="20"/>
        </w:rPr>
        <w:t>Defence and Peace Economics</w:t>
      </w:r>
      <w:r w:rsidR="00C01500" w:rsidRPr="004D3CB3">
        <w:rPr>
          <w:rFonts w:ascii="Times New Roman" w:hAnsi="Times New Roman" w:cs="Times New Roman"/>
          <w:sz w:val="20"/>
          <w:szCs w:val="20"/>
        </w:rPr>
        <w:t xml:space="preserve"> 14:</w:t>
      </w:r>
      <w:r w:rsidRPr="004D3CB3">
        <w:rPr>
          <w:rFonts w:ascii="Times New Roman" w:hAnsi="Times New Roman" w:cs="Times New Roman"/>
          <w:sz w:val="20"/>
          <w:szCs w:val="20"/>
        </w:rPr>
        <w:t xml:space="preserve"> 237-249.</w:t>
      </w:r>
    </w:p>
    <w:p w:rsidR="00A948EB" w:rsidRPr="004D3CB3" w:rsidRDefault="00C01500" w:rsidP="0040227B">
      <w:pPr>
        <w:spacing w:after="0" w:line="240" w:lineRule="auto"/>
        <w:ind w:left="720" w:hanging="720"/>
        <w:jc w:val="both"/>
        <w:rPr>
          <w:rFonts w:ascii="Times New Roman" w:hAnsi="Times New Roman" w:cs="Times New Roman"/>
          <w:sz w:val="20"/>
          <w:szCs w:val="20"/>
        </w:rPr>
      </w:pPr>
      <w:proofErr w:type="gramStart"/>
      <w:r w:rsidRPr="004D3CB3">
        <w:rPr>
          <w:rFonts w:ascii="Times New Roman" w:hAnsi="Times New Roman" w:cs="Times New Roman"/>
          <w:sz w:val="20"/>
          <w:szCs w:val="20"/>
        </w:rPr>
        <w:t>Freytag, Andreas,</w:t>
      </w:r>
      <w:r w:rsidR="00CB7007" w:rsidRPr="004D3CB3">
        <w:rPr>
          <w:rFonts w:ascii="Times New Roman" w:hAnsi="Times New Roman" w:cs="Times New Roman"/>
          <w:sz w:val="20"/>
          <w:szCs w:val="20"/>
        </w:rPr>
        <w:t xml:space="preserve"> </w:t>
      </w:r>
      <w:r w:rsidRPr="004D3CB3">
        <w:rPr>
          <w:rFonts w:ascii="Times New Roman" w:hAnsi="Times New Roman" w:cs="Times New Roman"/>
          <w:sz w:val="20"/>
          <w:szCs w:val="20"/>
        </w:rPr>
        <w:t xml:space="preserve">Jens J. Kruger, Daniel </w:t>
      </w:r>
      <w:proofErr w:type="spellStart"/>
      <w:r w:rsidRPr="004D3CB3">
        <w:rPr>
          <w:rFonts w:ascii="Times New Roman" w:hAnsi="Times New Roman" w:cs="Times New Roman"/>
          <w:sz w:val="20"/>
          <w:szCs w:val="20"/>
        </w:rPr>
        <w:t>Meierrieks</w:t>
      </w:r>
      <w:proofErr w:type="spellEnd"/>
      <w:r w:rsidRPr="004D3CB3">
        <w:rPr>
          <w:rFonts w:ascii="Times New Roman" w:hAnsi="Times New Roman" w:cs="Times New Roman"/>
          <w:sz w:val="20"/>
          <w:szCs w:val="20"/>
        </w:rPr>
        <w:t xml:space="preserve"> and</w:t>
      </w:r>
      <w:r w:rsidR="00A948EB" w:rsidRPr="004D3CB3">
        <w:rPr>
          <w:rFonts w:ascii="Times New Roman" w:hAnsi="Times New Roman" w:cs="Times New Roman"/>
          <w:sz w:val="20"/>
          <w:szCs w:val="20"/>
        </w:rPr>
        <w:t xml:space="preserve"> </w:t>
      </w:r>
      <w:r w:rsidRPr="004D3CB3">
        <w:rPr>
          <w:rFonts w:ascii="Times New Roman" w:hAnsi="Times New Roman" w:cs="Times New Roman"/>
          <w:sz w:val="20"/>
          <w:szCs w:val="20"/>
        </w:rPr>
        <w:t>Friedrich Schneider (</w:t>
      </w:r>
      <w:r w:rsidR="00CB7007" w:rsidRPr="004D3CB3">
        <w:rPr>
          <w:rFonts w:ascii="Times New Roman" w:hAnsi="Times New Roman" w:cs="Times New Roman"/>
          <w:sz w:val="20"/>
          <w:szCs w:val="20"/>
        </w:rPr>
        <w:t>2011</w:t>
      </w:r>
      <w:r w:rsidRPr="004D3CB3">
        <w:rPr>
          <w:rFonts w:ascii="Times New Roman" w:hAnsi="Times New Roman" w:cs="Times New Roman"/>
          <w:sz w:val="20"/>
          <w:szCs w:val="20"/>
        </w:rPr>
        <w:t>).</w:t>
      </w:r>
      <w:proofErr w:type="gramEnd"/>
      <w:r w:rsidRPr="004D3CB3">
        <w:rPr>
          <w:rFonts w:ascii="Times New Roman" w:hAnsi="Times New Roman" w:cs="Times New Roman"/>
          <w:sz w:val="20"/>
          <w:szCs w:val="20"/>
        </w:rPr>
        <w:t xml:space="preserve"> The o</w:t>
      </w:r>
      <w:r w:rsidR="00CB7007" w:rsidRPr="004D3CB3">
        <w:rPr>
          <w:rFonts w:ascii="Times New Roman" w:hAnsi="Times New Roman" w:cs="Times New Roman"/>
          <w:sz w:val="20"/>
          <w:szCs w:val="20"/>
        </w:rPr>
        <w:t>rigins o</w:t>
      </w:r>
      <w:r w:rsidRPr="004D3CB3">
        <w:rPr>
          <w:rFonts w:ascii="Times New Roman" w:hAnsi="Times New Roman" w:cs="Times New Roman"/>
          <w:sz w:val="20"/>
          <w:szCs w:val="20"/>
        </w:rPr>
        <w:t>f terrorism: cross-country estimates of socio-economic determinants of t</w:t>
      </w:r>
      <w:r w:rsidR="00CB7007" w:rsidRPr="004D3CB3">
        <w:rPr>
          <w:rFonts w:ascii="Times New Roman" w:hAnsi="Times New Roman" w:cs="Times New Roman"/>
          <w:sz w:val="20"/>
          <w:szCs w:val="20"/>
        </w:rPr>
        <w:t xml:space="preserve">errorism. </w:t>
      </w:r>
      <w:r w:rsidR="00CB7007" w:rsidRPr="004D3CB3">
        <w:rPr>
          <w:rFonts w:ascii="Times New Roman" w:hAnsi="Times New Roman" w:cs="Times New Roman"/>
          <w:i/>
          <w:sz w:val="20"/>
          <w:szCs w:val="20"/>
        </w:rPr>
        <w:t xml:space="preserve">European </w:t>
      </w:r>
      <w:r w:rsidRPr="004D3CB3">
        <w:rPr>
          <w:rFonts w:ascii="Times New Roman" w:hAnsi="Times New Roman" w:cs="Times New Roman"/>
          <w:i/>
          <w:sz w:val="20"/>
          <w:szCs w:val="20"/>
        </w:rPr>
        <w:t>Journal of Political Economy</w:t>
      </w:r>
      <w:r w:rsidRPr="004D3CB3">
        <w:rPr>
          <w:rFonts w:ascii="Times New Roman" w:hAnsi="Times New Roman" w:cs="Times New Roman"/>
          <w:sz w:val="20"/>
          <w:szCs w:val="20"/>
        </w:rPr>
        <w:t xml:space="preserve"> 27:</w:t>
      </w:r>
      <w:r w:rsidR="00CB7007" w:rsidRPr="004D3CB3">
        <w:rPr>
          <w:rFonts w:ascii="Times New Roman" w:hAnsi="Times New Roman" w:cs="Times New Roman"/>
          <w:sz w:val="20"/>
          <w:szCs w:val="20"/>
        </w:rPr>
        <w:t xml:space="preserve"> s5-s16.</w:t>
      </w:r>
    </w:p>
    <w:p w:rsidR="004801A2" w:rsidRPr="004D3CB3" w:rsidRDefault="00A948EB" w:rsidP="0040227B">
      <w:pPr>
        <w:spacing w:after="0" w:line="240" w:lineRule="auto"/>
        <w:ind w:left="720" w:hanging="720"/>
        <w:jc w:val="both"/>
        <w:rPr>
          <w:rFonts w:ascii="Times New Roman" w:hAnsi="Times New Roman" w:cs="Times New Roman"/>
          <w:sz w:val="20"/>
          <w:szCs w:val="20"/>
        </w:rPr>
      </w:pPr>
      <w:r w:rsidRPr="004D3CB3">
        <w:rPr>
          <w:rFonts w:ascii="Times New Roman" w:hAnsi="Times New Roman" w:cs="Times New Roman"/>
          <w:sz w:val="20"/>
          <w:szCs w:val="20"/>
        </w:rPr>
        <w:t>Hoffman, B</w:t>
      </w:r>
      <w:r w:rsidR="00C01500" w:rsidRPr="004D3CB3">
        <w:rPr>
          <w:rFonts w:ascii="Times New Roman" w:hAnsi="Times New Roman" w:cs="Times New Roman"/>
          <w:sz w:val="20"/>
          <w:szCs w:val="20"/>
        </w:rPr>
        <w:t xml:space="preserve">ruce (2006). </w:t>
      </w:r>
      <w:proofErr w:type="gramStart"/>
      <w:r w:rsidR="00C01500" w:rsidRPr="004D3CB3">
        <w:rPr>
          <w:rFonts w:ascii="Times New Roman" w:hAnsi="Times New Roman" w:cs="Times New Roman"/>
          <w:i/>
          <w:sz w:val="20"/>
          <w:szCs w:val="20"/>
        </w:rPr>
        <w:t>Inside t</w:t>
      </w:r>
      <w:r w:rsidR="004801A2" w:rsidRPr="004D3CB3">
        <w:rPr>
          <w:rFonts w:ascii="Times New Roman" w:hAnsi="Times New Roman" w:cs="Times New Roman"/>
          <w:i/>
          <w:sz w:val="20"/>
          <w:szCs w:val="20"/>
        </w:rPr>
        <w:t>errorism</w:t>
      </w:r>
      <w:r w:rsidR="004801A2" w:rsidRPr="004D3CB3">
        <w:rPr>
          <w:rFonts w:ascii="Times New Roman" w:hAnsi="Times New Roman" w:cs="Times New Roman"/>
          <w:sz w:val="20"/>
          <w:szCs w:val="20"/>
        </w:rPr>
        <w:t>.</w:t>
      </w:r>
      <w:proofErr w:type="gramEnd"/>
      <w:r w:rsidR="004801A2" w:rsidRPr="004D3CB3">
        <w:rPr>
          <w:rFonts w:ascii="Times New Roman" w:hAnsi="Times New Roman" w:cs="Times New Roman"/>
          <w:sz w:val="20"/>
          <w:szCs w:val="20"/>
        </w:rPr>
        <w:t xml:space="preserve"> </w:t>
      </w:r>
      <w:proofErr w:type="gramStart"/>
      <w:r w:rsidR="00C01500" w:rsidRPr="004D3CB3">
        <w:rPr>
          <w:rFonts w:ascii="Times New Roman" w:hAnsi="Times New Roman" w:cs="Times New Roman"/>
          <w:sz w:val="20"/>
          <w:szCs w:val="20"/>
        </w:rPr>
        <w:t>New York, NY, Columbia University Press</w:t>
      </w:r>
      <w:r w:rsidR="004801A2" w:rsidRPr="004D3CB3">
        <w:rPr>
          <w:rFonts w:ascii="Times New Roman" w:hAnsi="Times New Roman" w:cs="Times New Roman"/>
          <w:sz w:val="20"/>
          <w:szCs w:val="20"/>
        </w:rPr>
        <w:t>.</w:t>
      </w:r>
      <w:proofErr w:type="gramEnd"/>
    </w:p>
    <w:p w:rsidR="004801A2" w:rsidRPr="004D3CB3" w:rsidRDefault="004801A2" w:rsidP="0040227B">
      <w:pPr>
        <w:spacing w:after="0" w:line="240" w:lineRule="auto"/>
        <w:ind w:left="720" w:hanging="720"/>
        <w:jc w:val="both"/>
        <w:rPr>
          <w:rFonts w:ascii="Times New Roman" w:hAnsi="Times New Roman" w:cs="Times New Roman"/>
          <w:sz w:val="20"/>
          <w:szCs w:val="20"/>
        </w:rPr>
      </w:pPr>
      <w:proofErr w:type="spellStart"/>
      <w:proofErr w:type="gramStart"/>
      <w:r w:rsidRPr="004D3CB3">
        <w:rPr>
          <w:rFonts w:ascii="Times New Roman" w:hAnsi="Times New Roman" w:cs="Times New Roman"/>
          <w:sz w:val="20"/>
          <w:szCs w:val="20"/>
        </w:rPr>
        <w:t>Im</w:t>
      </w:r>
      <w:proofErr w:type="spellEnd"/>
      <w:r w:rsidR="00C01500" w:rsidRPr="004D3CB3">
        <w:rPr>
          <w:rFonts w:ascii="Times New Roman" w:hAnsi="Times New Roman" w:cs="Times New Roman"/>
          <w:sz w:val="20"/>
          <w:szCs w:val="20"/>
        </w:rPr>
        <w:t>, Eric</w:t>
      </w:r>
      <w:r w:rsidR="00A948EB" w:rsidRPr="004D3CB3">
        <w:rPr>
          <w:rFonts w:ascii="Times New Roman" w:hAnsi="Times New Roman" w:cs="Times New Roman"/>
          <w:sz w:val="20"/>
          <w:szCs w:val="20"/>
        </w:rPr>
        <w:t xml:space="preserve">, </w:t>
      </w:r>
      <w:r w:rsidR="00C01500" w:rsidRPr="004D3CB3">
        <w:rPr>
          <w:rFonts w:ascii="Times New Roman" w:hAnsi="Times New Roman" w:cs="Times New Roman"/>
          <w:sz w:val="20"/>
          <w:szCs w:val="20"/>
        </w:rPr>
        <w:t xml:space="preserve">Jon </w:t>
      </w:r>
      <w:proofErr w:type="spellStart"/>
      <w:r w:rsidR="00C01500" w:rsidRPr="004D3CB3">
        <w:rPr>
          <w:rFonts w:ascii="Times New Roman" w:hAnsi="Times New Roman" w:cs="Times New Roman"/>
          <w:sz w:val="20"/>
          <w:szCs w:val="20"/>
        </w:rPr>
        <w:t>Cauley</w:t>
      </w:r>
      <w:proofErr w:type="spellEnd"/>
      <w:r w:rsidR="00C01500" w:rsidRPr="004D3CB3">
        <w:rPr>
          <w:rFonts w:ascii="Times New Roman" w:hAnsi="Times New Roman" w:cs="Times New Roman"/>
          <w:sz w:val="20"/>
          <w:szCs w:val="20"/>
        </w:rPr>
        <w:t xml:space="preserve"> and Todd Sandler (</w:t>
      </w:r>
      <w:r w:rsidRPr="004D3CB3">
        <w:rPr>
          <w:rFonts w:ascii="Times New Roman" w:hAnsi="Times New Roman" w:cs="Times New Roman"/>
          <w:sz w:val="20"/>
          <w:szCs w:val="20"/>
        </w:rPr>
        <w:t>1987</w:t>
      </w:r>
      <w:r w:rsidR="00C01500" w:rsidRPr="004D3CB3">
        <w:rPr>
          <w:rFonts w:ascii="Times New Roman" w:hAnsi="Times New Roman" w:cs="Times New Roman"/>
          <w:sz w:val="20"/>
          <w:szCs w:val="20"/>
        </w:rPr>
        <w:t>)</w:t>
      </w:r>
      <w:r w:rsidRPr="004D3CB3">
        <w:rPr>
          <w:rFonts w:ascii="Times New Roman" w:hAnsi="Times New Roman" w:cs="Times New Roman"/>
          <w:sz w:val="20"/>
          <w:szCs w:val="20"/>
        </w:rPr>
        <w:t>.</w:t>
      </w:r>
      <w:proofErr w:type="gramEnd"/>
      <w:r w:rsidRPr="004D3CB3">
        <w:rPr>
          <w:rFonts w:ascii="Times New Roman" w:hAnsi="Times New Roman" w:cs="Times New Roman"/>
          <w:sz w:val="20"/>
          <w:szCs w:val="20"/>
        </w:rPr>
        <w:t xml:space="preserve"> Cycles and </w:t>
      </w:r>
      <w:r w:rsidR="00C01500" w:rsidRPr="004D3CB3">
        <w:rPr>
          <w:rFonts w:ascii="Times New Roman" w:hAnsi="Times New Roman" w:cs="Times New Roman"/>
          <w:sz w:val="20"/>
          <w:szCs w:val="20"/>
        </w:rPr>
        <w:t xml:space="preserve">substitutions in terrorist activities: a spectral approach. </w:t>
      </w:r>
      <w:proofErr w:type="spellStart"/>
      <w:r w:rsidR="00C01500" w:rsidRPr="004D3CB3">
        <w:rPr>
          <w:rFonts w:ascii="Times New Roman" w:hAnsi="Times New Roman" w:cs="Times New Roman"/>
          <w:i/>
          <w:sz w:val="20"/>
          <w:szCs w:val="20"/>
        </w:rPr>
        <w:t>Kyklos</w:t>
      </w:r>
      <w:proofErr w:type="spellEnd"/>
      <w:r w:rsidR="00C01500" w:rsidRPr="004D3CB3">
        <w:rPr>
          <w:rFonts w:ascii="Times New Roman" w:hAnsi="Times New Roman" w:cs="Times New Roman"/>
          <w:sz w:val="20"/>
          <w:szCs w:val="20"/>
        </w:rPr>
        <w:t xml:space="preserve"> 40:</w:t>
      </w:r>
      <w:r w:rsidRPr="004D3CB3">
        <w:rPr>
          <w:rFonts w:ascii="Times New Roman" w:hAnsi="Times New Roman" w:cs="Times New Roman"/>
          <w:sz w:val="20"/>
          <w:szCs w:val="20"/>
        </w:rPr>
        <w:t xml:space="preserve"> 238-255.</w:t>
      </w:r>
    </w:p>
    <w:p w:rsidR="004D2010" w:rsidRPr="004D3CB3" w:rsidRDefault="004D2010" w:rsidP="0040227B">
      <w:pPr>
        <w:spacing w:after="0" w:line="240" w:lineRule="auto"/>
        <w:ind w:left="720" w:hanging="720"/>
        <w:jc w:val="both"/>
        <w:rPr>
          <w:rFonts w:ascii="Times New Roman" w:hAnsi="Times New Roman" w:cs="Times New Roman"/>
          <w:sz w:val="20"/>
          <w:szCs w:val="20"/>
        </w:rPr>
      </w:pPr>
      <w:proofErr w:type="gramStart"/>
      <w:r w:rsidRPr="004D3CB3">
        <w:rPr>
          <w:rFonts w:ascii="Times New Roman" w:hAnsi="Times New Roman" w:cs="Times New Roman"/>
          <w:sz w:val="20"/>
          <w:szCs w:val="20"/>
        </w:rPr>
        <w:t xml:space="preserve">Instituut voor </w:t>
      </w:r>
      <w:r w:rsidR="00C01500" w:rsidRPr="004D3CB3">
        <w:rPr>
          <w:rFonts w:ascii="Times New Roman" w:hAnsi="Times New Roman" w:cs="Times New Roman"/>
          <w:sz w:val="20"/>
          <w:szCs w:val="20"/>
        </w:rPr>
        <w:t>Veiligheids en Crisismanagement</w:t>
      </w:r>
      <w:r w:rsidRPr="004D3CB3">
        <w:rPr>
          <w:rFonts w:ascii="Times New Roman" w:hAnsi="Times New Roman" w:cs="Times New Roman"/>
          <w:sz w:val="20"/>
          <w:szCs w:val="20"/>
        </w:rPr>
        <w:t xml:space="preserve"> </w:t>
      </w:r>
      <w:r w:rsidR="00C01500" w:rsidRPr="004D3CB3">
        <w:rPr>
          <w:rFonts w:ascii="Times New Roman" w:hAnsi="Times New Roman" w:cs="Times New Roman"/>
          <w:sz w:val="20"/>
          <w:szCs w:val="20"/>
        </w:rPr>
        <w:t>(</w:t>
      </w:r>
      <w:r w:rsidRPr="004D3CB3">
        <w:rPr>
          <w:rFonts w:ascii="Times New Roman" w:hAnsi="Times New Roman" w:cs="Times New Roman"/>
          <w:sz w:val="20"/>
          <w:szCs w:val="20"/>
        </w:rPr>
        <w:t>2007</w:t>
      </w:r>
      <w:r w:rsidR="00C01500" w:rsidRPr="004D3CB3">
        <w:rPr>
          <w:rFonts w:ascii="Times New Roman" w:hAnsi="Times New Roman" w:cs="Times New Roman"/>
          <w:sz w:val="20"/>
          <w:szCs w:val="20"/>
        </w:rPr>
        <w:t>)</w:t>
      </w:r>
      <w:r w:rsidRPr="004D3CB3">
        <w:rPr>
          <w:rFonts w:ascii="Times New Roman" w:hAnsi="Times New Roman" w:cs="Times New Roman"/>
          <w:sz w:val="20"/>
          <w:szCs w:val="20"/>
        </w:rPr>
        <w:t>.</w:t>
      </w:r>
      <w:proofErr w:type="gramEnd"/>
      <w:r w:rsidRPr="004D3CB3">
        <w:rPr>
          <w:rFonts w:ascii="Times New Roman" w:hAnsi="Times New Roman" w:cs="Times New Roman"/>
          <w:sz w:val="20"/>
          <w:szCs w:val="20"/>
        </w:rPr>
        <w:t xml:space="preserve"> </w:t>
      </w:r>
      <w:proofErr w:type="gramStart"/>
      <w:r w:rsidRPr="004D3CB3">
        <w:rPr>
          <w:rFonts w:ascii="Times New Roman" w:hAnsi="Times New Roman" w:cs="Times New Roman"/>
          <w:i/>
          <w:sz w:val="20"/>
          <w:szCs w:val="20"/>
        </w:rPr>
        <w:t>Lone Wolf Terrorism</w:t>
      </w:r>
      <w:r w:rsidRPr="004D3CB3">
        <w:rPr>
          <w:rFonts w:ascii="Times New Roman" w:hAnsi="Times New Roman" w:cs="Times New Roman"/>
          <w:sz w:val="20"/>
          <w:szCs w:val="20"/>
        </w:rPr>
        <w:t>.</w:t>
      </w:r>
      <w:proofErr w:type="gramEnd"/>
      <w:r w:rsidRPr="004D3CB3">
        <w:rPr>
          <w:rFonts w:ascii="Times New Roman" w:hAnsi="Times New Roman" w:cs="Times New Roman"/>
          <w:sz w:val="20"/>
          <w:szCs w:val="20"/>
        </w:rPr>
        <w:t xml:space="preserve"> </w:t>
      </w:r>
      <w:proofErr w:type="gramStart"/>
      <w:r w:rsidR="00C01500" w:rsidRPr="004D3CB3">
        <w:rPr>
          <w:rFonts w:ascii="Times New Roman" w:hAnsi="Times New Roman" w:cs="Times New Roman"/>
          <w:sz w:val="20"/>
          <w:szCs w:val="20"/>
        </w:rPr>
        <w:t xml:space="preserve">Netherlands, </w:t>
      </w:r>
      <w:r w:rsidRPr="004D3CB3">
        <w:rPr>
          <w:rFonts w:ascii="Times New Roman" w:hAnsi="Times New Roman" w:cs="Times New Roman"/>
          <w:sz w:val="20"/>
          <w:szCs w:val="20"/>
        </w:rPr>
        <w:t xml:space="preserve">Instituut voor </w:t>
      </w:r>
      <w:r w:rsidR="00C01500" w:rsidRPr="004D3CB3">
        <w:rPr>
          <w:rFonts w:ascii="Times New Roman" w:hAnsi="Times New Roman" w:cs="Times New Roman"/>
          <w:sz w:val="20"/>
          <w:szCs w:val="20"/>
        </w:rPr>
        <w:t>Veiligheids en Crisismanagement</w:t>
      </w:r>
      <w:r w:rsidRPr="004D3CB3">
        <w:rPr>
          <w:rFonts w:ascii="Times New Roman" w:hAnsi="Times New Roman" w:cs="Times New Roman"/>
          <w:sz w:val="20"/>
          <w:szCs w:val="20"/>
        </w:rPr>
        <w:t>.</w:t>
      </w:r>
      <w:proofErr w:type="gramEnd"/>
      <w:r w:rsidRPr="004D3CB3">
        <w:rPr>
          <w:rFonts w:ascii="Times New Roman" w:hAnsi="Times New Roman" w:cs="Times New Roman"/>
          <w:sz w:val="20"/>
          <w:szCs w:val="20"/>
        </w:rPr>
        <w:t xml:space="preserve"> </w:t>
      </w:r>
    </w:p>
    <w:p w:rsidR="0042390E" w:rsidRPr="004D3CB3" w:rsidRDefault="00C01500" w:rsidP="0040227B">
      <w:pPr>
        <w:spacing w:after="0" w:line="240" w:lineRule="auto"/>
        <w:ind w:left="720" w:hanging="720"/>
        <w:jc w:val="both"/>
        <w:rPr>
          <w:rFonts w:ascii="Times New Roman" w:hAnsi="Times New Roman" w:cs="Times New Roman"/>
          <w:sz w:val="20"/>
          <w:szCs w:val="20"/>
        </w:rPr>
      </w:pPr>
      <w:proofErr w:type="spellStart"/>
      <w:r w:rsidRPr="004D3CB3">
        <w:rPr>
          <w:rFonts w:ascii="Times New Roman" w:hAnsi="Times New Roman" w:cs="Times New Roman"/>
          <w:sz w:val="20"/>
          <w:szCs w:val="20"/>
        </w:rPr>
        <w:t>Intriligator</w:t>
      </w:r>
      <w:proofErr w:type="spellEnd"/>
      <w:r w:rsidRPr="004D3CB3">
        <w:rPr>
          <w:rFonts w:ascii="Times New Roman" w:hAnsi="Times New Roman" w:cs="Times New Roman"/>
          <w:sz w:val="20"/>
          <w:szCs w:val="20"/>
        </w:rPr>
        <w:t>, M</w:t>
      </w:r>
      <w:r w:rsidR="00910D5C" w:rsidRPr="004D3CB3">
        <w:rPr>
          <w:rFonts w:ascii="Times New Roman" w:hAnsi="Times New Roman" w:cs="Times New Roman"/>
          <w:sz w:val="20"/>
          <w:szCs w:val="20"/>
        </w:rPr>
        <w:t>ichael</w:t>
      </w:r>
      <w:r w:rsidR="00A948EB" w:rsidRPr="004D3CB3">
        <w:rPr>
          <w:rFonts w:ascii="Times New Roman" w:hAnsi="Times New Roman" w:cs="Times New Roman"/>
          <w:sz w:val="20"/>
          <w:szCs w:val="20"/>
        </w:rPr>
        <w:t xml:space="preserve"> </w:t>
      </w:r>
      <w:r w:rsidR="00910D5C" w:rsidRPr="004D3CB3">
        <w:rPr>
          <w:rFonts w:ascii="Times New Roman" w:hAnsi="Times New Roman" w:cs="Times New Roman"/>
          <w:sz w:val="20"/>
          <w:szCs w:val="20"/>
        </w:rPr>
        <w:t>(</w:t>
      </w:r>
      <w:r w:rsidR="00A948EB" w:rsidRPr="004D3CB3">
        <w:rPr>
          <w:rFonts w:ascii="Times New Roman" w:hAnsi="Times New Roman" w:cs="Times New Roman"/>
          <w:sz w:val="20"/>
          <w:szCs w:val="20"/>
        </w:rPr>
        <w:t>2010</w:t>
      </w:r>
      <w:r w:rsidR="00910D5C" w:rsidRPr="004D3CB3">
        <w:rPr>
          <w:rFonts w:ascii="Times New Roman" w:hAnsi="Times New Roman" w:cs="Times New Roman"/>
          <w:sz w:val="20"/>
          <w:szCs w:val="20"/>
        </w:rPr>
        <w:t xml:space="preserve">). </w:t>
      </w:r>
      <w:proofErr w:type="gramStart"/>
      <w:r w:rsidR="00910D5C" w:rsidRPr="004D3CB3">
        <w:rPr>
          <w:rFonts w:ascii="Times New Roman" w:hAnsi="Times New Roman" w:cs="Times New Roman"/>
          <w:sz w:val="20"/>
          <w:szCs w:val="20"/>
        </w:rPr>
        <w:t>The e</w:t>
      </w:r>
      <w:r w:rsidR="00A948EB" w:rsidRPr="004D3CB3">
        <w:rPr>
          <w:rFonts w:ascii="Times New Roman" w:hAnsi="Times New Roman" w:cs="Times New Roman"/>
          <w:sz w:val="20"/>
          <w:szCs w:val="20"/>
        </w:rPr>
        <w:t xml:space="preserve">conomics </w:t>
      </w:r>
      <w:r w:rsidR="00910D5C" w:rsidRPr="004D3CB3">
        <w:rPr>
          <w:rFonts w:ascii="Times New Roman" w:hAnsi="Times New Roman" w:cs="Times New Roman"/>
          <w:sz w:val="20"/>
          <w:szCs w:val="20"/>
        </w:rPr>
        <w:t>of t</w:t>
      </w:r>
      <w:r w:rsidR="00A948EB" w:rsidRPr="004D3CB3">
        <w:rPr>
          <w:rFonts w:ascii="Times New Roman" w:hAnsi="Times New Roman" w:cs="Times New Roman"/>
          <w:sz w:val="20"/>
          <w:szCs w:val="20"/>
        </w:rPr>
        <w:t>errorism.</w:t>
      </w:r>
      <w:proofErr w:type="gramEnd"/>
      <w:r w:rsidR="00910D5C" w:rsidRPr="004D3CB3">
        <w:rPr>
          <w:rFonts w:ascii="Times New Roman" w:hAnsi="Times New Roman" w:cs="Times New Roman"/>
          <w:sz w:val="20"/>
          <w:szCs w:val="20"/>
        </w:rPr>
        <w:t xml:space="preserve"> </w:t>
      </w:r>
      <w:r w:rsidR="00910D5C" w:rsidRPr="004D3CB3">
        <w:rPr>
          <w:rFonts w:ascii="Times New Roman" w:hAnsi="Times New Roman" w:cs="Times New Roman"/>
          <w:i/>
          <w:sz w:val="20"/>
          <w:szCs w:val="20"/>
        </w:rPr>
        <w:t>Economic Inquiry</w:t>
      </w:r>
      <w:r w:rsidR="00910D5C" w:rsidRPr="004D3CB3">
        <w:rPr>
          <w:rFonts w:ascii="Times New Roman" w:hAnsi="Times New Roman" w:cs="Times New Roman"/>
          <w:sz w:val="20"/>
          <w:szCs w:val="20"/>
        </w:rPr>
        <w:t xml:space="preserve"> 48:</w:t>
      </w:r>
      <w:r w:rsidR="0042390E" w:rsidRPr="004D3CB3">
        <w:rPr>
          <w:rFonts w:ascii="Times New Roman" w:hAnsi="Times New Roman" w:cs="Times New Roman"/>
          <w:sz w:val="20"/>
          <w:szCs w:val="20"/>
        </w:rPr>
        <w:t xml:space="preserve"> 1-13.</w:t>
      </w:r>
    </w:p>
    <w:p w:rsidR="004801A2" w:rsidRPr="004D3CB3" w:rsidRDefault="00910D5C" w:rsidP="0040227B">
      <w:pPr>
        <w:spacing w:after="0" w:line="240" w:lineRule="auto"/>
        <w:jc w:val="both"/>
        <w:rPr>
          <w:rFonts w:ascii="Times New Roman" w:hAnsi="Times New Roman" w:cs="Times New Roman"/>
          <w:sz w:val="20"/>
          <w:szCs w:val="20"/>
        </w:rPr>
      </w:pPr>
      <w:r w:rsidRPr="004D3CB3">
        <w:rPr>
          <w:rFonts w:ascii="Times New Roman" w:hAnsi="Times New Roman" w:cs="Times New Roman"/>
          <w:sz w:val="20"/>
          <w:szCs w:val="20"/>
        </w:rPr>
        <w:t>Jarvis, Lee</w:t>
      </w:r>
      <w:r w:rsidR="004801A2" w:rsidRPr="004D3CB3">
        <w:rPr>
          <w:rFonts w:ascii="Times New Roman" w:hAnsi="Times New Roman" w:cs="Times New Roman"/>
          <w:sz w:val="20"/>
          <w:szCs w:val="20"/>
        </w:rPr>
        <w:t xml:space="preserve"> </w:t>
      </w:r>
      <w:r w:rsidRPr="004D3CB3">
        <w:rPr>
          <w:rFonts w:ascii="Times New Roman" w:hAnsi="Times New Roman" w:cs="Times New Roman"/>
          <w:sz w:val="20"/>
          <w:szCs w:val="20"/>
        </w:rPr>
        <w:t>(</w:t>
      </w:r>
      <w:r w:rsidR="004801A2" w:rsidRPr="004D3CB3">
        <w:rPr>
          <w:rFonts w:ascii="Times New Roman" w:hAnsi="Times New Roman" w:cs="Times New Roman"/>
          <w:sz w:val="20"/>
          <w:szCs w:val="20"/>
        </w:rPr>
        <w:t>2009</w:t>
      </w:r>
      <w:r w:rsidRPr="004D3CB3">
        <w:rPr>
          <w:rFonts w:ascii="Times New Roman" w:hAnsi="Times New Roman" w:cs="Times New Roman"/>
          <w:sz w:val="20"/>
          <w:szCs w:val="20"/>
        </w:rPr>
        <w:t xml:space="preserve">). </w:t>
      </w:r>
      <w:proofErr w:type="gramStart"/>
      <w:r w:rsidRPr="004D3CB3">
        <w:rPr>
          <w:rFonts w:ascii="Times New Roman" w:hAnsi="Times New Roman" w:cs="Times New Roman"/>
          <w:sz w:val="20"/>
          <w:szCs w:val="20"/>
        </w:rPr>
        <w:t>The spaces and faces of critical terrorism studies.</w:t>
      </w:r>
      <w:proofErr w:type="gramEnd"/>
      <w:r w:rsidRPr="004D3CB3">
        <w:rPr>
          <w:rFonts w:ascii="Times New Roman" w:hAnsi="Times New Roman" w:cs="Times New Roman"/>
          <w:sz w:val="20"/>
          <w:szCs w:val="20"/>
        </w:rPr>
        <w:t xml:space="preserve"> </w:t>
      </w:r>
      <w:r w:rsidRPr="004D3CB3">
        <w:rPr>
          <w:rFonts w:ascii="Times New Roman" w:hAnsi="Times New Roman" w:cs="Times New Roman"/>
          <w:i/>
          <w:sz w:val="20"/>
          <w:szCs w:val="20"/>
        </w:rPr>
        <w:t>Security Dialogue</w:t>
      </w:r>
      <w:r w:rsidRPr="004D3CB3">
        <w:rPr>
          <w:rFonts w:ascii="Times New Roman" w:hAnsi="Times New Roman" w:cs="Times New Roman"/>
          <w:sz w:val="20"/>
          <w:szCs w:val="20"/>
        </w:rPr>
        <w:t xml:space="preserve"> 40:</w:t>
      </w:r>
      <w:r w:rsidR="004801A2" w:rsidRPr="004D3CB3">
        <w:rPr>
          <w:rFonts w:ascii="Times New Roman" w:hAnsi="Times New Roman" w:cs="Times New Roman"/>
          <w:sz w:val="20"/>
          <w:szCs w:val="20"/>
        </w:rPr>
        <w:t xml:space="preserve"> 5-27.</w:t>
      </w:r>
    </w:p>
    <w:p w:rsidR="0042390E" w:rsidRPr="004D3CB3" w:rsidRDefault="0042390E" w:rsidP="0040227B">
      <w:pPr>
        <w:spacing w:after="0" w:line="240" w:lineRule="auto"/>
        <w:ind w:left="720" w:hanging="720"/>
        <w:jc w:val="both"/>
        <w:rPr>
          <w:rFonts w:ascii="Times New Roman" w:hAnsi="Times New Roman" w:cs="Times New Roman"/>
          <w:sz w:val="20"/>
          <w:szCs w:val="20"/>
        </w:rPr>
      </w:pPr>
      <w:proofErr w:type="gramStart"/>
      <w:r w:rsidRPr="004D3CB3">
        <w:rPr>
          <w:rFonts w:ascii="Times New Roman" w:hAnsi="Times New Roman" w:cs="Times New Roman"/>
          <w:sz w:val="20"/>
          <w:szCs w:val="20"/>
        </w:rPr>
        <w:t>Kah</w:t>
      </w:r>
      <w:r w:rsidR="00910D5C" w:rsidRPr="004D3CB3">
        <w:rPr>
          <w:rFonts w:ascii="Times New Roman" w:hAnsi="Times New Roman" w:cs="Times New Roman"/>
          <w:sz w:val="20"/>
          <w:szCs w:val="20"/>
        </w:rPr>
        <w:t>neman, Daniel</w:t>
      </w:r>
      <w:r w:rsidR="00A948EB" w:rsidRPr="004D3CB3">
        <w:rPr>
          <w:rFonts w:ascii="Times New Roman" w:hAnsi="Times New Roman" w:cs="Times New Roman"/>
          <w:sz w:val="20"/>
          <w:szCs w:val="20"/>
        </w:rPr>
        <w:t xml:space="preserve"> and </w:t>
      </w:r>
      <w:r w:rsidR="00910D5C" w:rsidRPr="004D3CB3">
        <w:rPr>
          <w:rFonts w:ascii="Times New Roman" w:hAnsi="Times New Roman" w:cs="Times New Roman"/>
          <w:sz w:val="20"/>
          <w:szCs w:val="20"/>
        </w:rPr>
        <w:t>Amos Tversky</w:t>
      </w:r>
      <w:r w:rsidR="00A948EB" w:rsidRPr="004D3CB3">
        <w:rPr>
          <w:rFonts w:ascii="Times New Roman" w:hAnsi="Times New Roman" w:cs="Times New Roman"/>
          <w:sz w:val="20"/>
          <w:szCs w:val="20"/>
        </w:rPr>
        <w:t xml:space="preserve"> </w:t>
      </w:r>
      <w:r w:rsidR="00910D5C" w:rsidRPr="004D3CB3">
        <w:rPr>
          <w:rFonts w:ascii="Times New Roman" w:hAnsi="Times New Roman" w:cs="Times New Roman"/>
          <w:sz w:val="20"/>
          <w:szCs w:val="20"/>
        </w:rPr>
        <w:t>(</w:t>
      </w:r>
      <w:r w:rsidR="00A948EB" w:rsidRPr="004D3CB3">
        <w:rPr>
          <w:rFonts w:ascii="Times New Roman" w:hAnsi="Times New Roman" w:cs="Times New Roman"/>
          <w:sz w:val="20"/>
          <w:szCs w:val="20"/>
        </w:rPr>
        <w:t>1979</w:t>
      </w:r>
      <w:r w:rsidR="00910D5C" w:rsidRPr="004D3CB3">
        <w:rPr>
          <w:rFonts w:ascii="Times New Roman" w:hAnsi="Times New Roman" w:cs="Times New Roman"/>
          <w:sz w:val="20"/>
          <w:szCs w:val="20"/>
        </w:rPr>
        <w:t>)</w:t>
      </w:r>
      <w:r w:rsidR="00A948EB" w:rsidRPr="004D3CB3">
        <w:rPr>
          <w:rFonts w:ascii="Times New Roman" w:hAnsi="Times New Roman" w:cs="Times New Roman"/>
          <w:sz w:val="20"/>
          <w:szCs w:val="20"/>
        </w:rPr>
        <w:t>.</w:t>
      </w:r>
      <w:proofErr w:type="gramEnd"/>
      <w:r w:rsidR="00910D5C" w:rsidRPr="004D3CB3">
        <w:rPr>
          <w:rFonts w:ascii="Times New Roman" w:hAnsi="Times New Roman" w:cs="Times New Roman"/>
          <w:sz w:val="20"/>
          <w:szCs w:val="20"/>
        </w:rPr>
        <w:t xml:space="preserve"> Prospect theory: an analysis of decision under r</w:t>
      </w:r>
      <w:r w:rsidRPr="004D3CB3">
        <w:rPr>
          <w:rFonts w:ascii="Times New Roman" w:hAnsi="Times New Roman" w:cs="Times New Roman"/>
          <w:sz w:val="20"/>
          <w:szCs w:val="20"/>
        </w:rPr>
        <w:t>is</w:t>
      </w:r>
      <w:r w:rsidR="00A948EB" w:rsidRPr="004D3CB3">
        <w:rPr>
          <w:rFonts w:ascii="Times New Roman" w:hAnsi="Times New Roman" w:cs="Times New Roman"/>
          <w:sz w:val="20"/>
          <w:szCs w:val="20"/>
        </w:rPr>
        <w:t>k.</w:t>
      </w:r>
      <w:r w:rsidR="00910D5C" w:rsidRPr="004D3CB3">
        <w:rPr>
          <w:rFonts w:ascii="Times New Roman" w:hAnsi="Times New Roman" w:cs="Times New Roman"/>
          <w:sz w:val="20"/>
          <w:szCs w:val="20"/>
        </w:rPr>
        <w:t xml:space="preserve"> </w:t>
      </w:r>
      <w:proofErr w:type="spellStart"/>
      <w:r w:rsidR="00910D5C" w:rsidRPr="004D3CB3">
        <w:rPr>
          <w:rFonts w:ascii="Times New Roman" w:hAnsi="Times New Roman" w:cs="Times New Roman"/>
          <w:i/>
          <w:sz w:val="20"/>
          <w:szCs w:val="20"/>
        </w:rPr>
        <w:t>Econometrica</w:t>
      </w:r>
      <w:proofErr w:type="spellEnd"/>
      <w:r w:rsidR="00910D5C" w:rsidRPr="004D3CB3">
        <w:rPr>
          <w:rFonts w:ascii="Times New Roman" w:hAnsi="Times New Roman" w:cs="Times New Roman"/>
          <w:sz w:val="20"/>
          <w:szCs w:val="20"/>
        </w:rPr>
        <w:t xml:space="preserve"> 47:</w:t>
      </w:r>
      <w:r w:rsidRPr="004D3CB3">
        <w:rPr>
          <w:rFonts w:ascii="Times New Roman" w:hAnsi="Times New Roman" w:cs="Times New Roman"/>
          <w:sz w:val="20"/>
          <w:szCs w:val="20"/>
        </w:rPr>
        <w:t xml:space="preserve"> 263-292. </w:t>
      </w:r>
    </w:p>
    <w:p w:rsidR="00CB7007" w:rsidRPr="004D3CB3" w:rsidRDefault="00CB7007" w:rsidP="0040227B">
      <w:pPr>
        <w:spacing w:after="0" w:line="240" w:lineRule="auto"/>
        <w:ind w:left="720" w:hanging="720"/>
        <w:jc w:val="both"/>
        <w:rPr>
          <w:rFonts w:ascii="Times New Roman" w:hAnsi="Times New Roman" w:cs="Times New Roman"/>
          <w:sz w:val="20"/>
          <w:szCs w:val="20"/>
        </w:rPr>
      </w:pPr>
      <w:proofErr w:type="spellStart"/>
      <w:proofErr w:type="gramStart"/>
      <w:r w:rsidRPr="004D3CB3">
        <w:rPr>
          <w:rFonts w:ascii="Times New Roman" w:hAnsi="Times New Roman" w:cs="Times New Roman"/>
          <w:sz w:val="20"/>
          <w:szCs w:val="20"/>
        </w:rPr>
        <w:t>K</w:t>
      </w:r>
      <w:r w:rsidR="00910D5C" w:rsidRPr="004D3CB3">
        <w:rPr>
          <w:rFonts w:ascii="Times New Roman" w:hAnsi="Times New Roman" w:cs="Times New Roman"/>
          <w:sz w:val="20"/>
          <w:szCs w:val="20"/>
        </w:rPr>
        <w:t>is-Katos</w:t>
      </w:r>
      <w:proofErr w:type="spellEnd"/>
      <w:r w:rsidR="00910D5C" w:rsidRPr="004D3CB3">
        <w:rPr>
          <w:rFonts w:ascii="Times New Roman" w:hAnsi="Times New Roman" w:cs="Times New Roman"/>
          <w:sz w:val="20"/>
          <w:szCs w:val="20"/>
        </w:rPr>
        <w:t xml:space="preserve">, </w:t>
      </w:r>
      <w:proofErr w:type="spellStart"/>
      <w:r w:rsidR="00910D5C" w:rsidRPr="004D3CB3">
        <w:rPr>
          <w:rFonts w:ascii="Times New Roman" w:hAnsi="Times New Roman" w:cs="Times New Roman"/>
          <w:sz w:val="20"/>
          <w:szCs w:val="20"/>
        </w:rPr>
        <w:t>Krisztina</w:t>
      </w:r>
      <w:proofErr w:type="spellEnd"/>
      <w:r w:rsidR="00910D5C" w:rsidRPr="004D3CB3">
        <w:rPr>
          <w:rFonts w:ascii="Times New Roman" w:hAnsi="Times New Roman" w:cs="Times New Roman"/>
          <w:sz w:val="20"/>
          <w:szCs w:val="20"/>
        </w:rPr>
        <w:t>,</w:t>
      </w:r>
      <w:r w:rsidRPr="004D3CB3">
        <w:rPr>
          <w:rFonts w:ascii="Times New Roman" w:hAnsi="Times New Roman" w:cs="Times New Roman"/>
          <w:sz w:val="20"/>
          <w:szCs w:val="20"/>
        </w:rPr>
        <w:t xml:space="preserve"> </w:t>
      </w:r>
      <w:r w:rsidR="00910D5C" w:rsidRPr="004D3CB3">
        <w:rPr>
          <w:rFonts w:ascii="Times New Roman" w:hAnsi="Times New Roman" w:cs="Times New Roman"/>
          <w:sz w:val="20"/>
          <w:szCs w:val="20"/>
        </w:rPr>
        <w:t xml:space="preserve">Helge </w:t>
      </w:r>
      <w:proofErr w:type="spellStart"/>
      <w:r w:rsidR="00910D5C" w:rsidRPr="004D3CB3">
        <w:rPr>
          <w:rFonts w:ascii="Times New Roman" w:hAnsi="Times New Roman" w:cs="Times New Roman"/>
          <w:sz w:val="20"/>
          <w:szCs w:val="20"/>
        </w:rPr>
        <w:t>Liebert</w:t>
      </w:r>
      <w:proofErr w:type="spellEnd"/>
      <w:r w:rsidR="00910D5C" w:rsidRPr="004D3CB3">
        <w:rPr>
          <w:rFonts w:ascii="Times New Roman" w:hAnsi="Times New Roman" w:cs="Times New Roman"/>
          <w:sz w:val="20"/>
          <w:szCs w:val="20"/>
        </w:rPr>
        <w:t xml:space="preserve"> and</w:t>
      </w:r>
      <w:r w:rsidRPr="004D3CB3">
        <w:rPr>
          <w:rFonts w:ascii="Times New Roman" w:hAnsi="Times New Roman" w:cs="Times New Roman"/>
          <w:sz w:val="20"/>
          <w:szCs w:val="20"/>
        </w:rPr>
        <w:t xml:space="preserve"> </w:t>
      </w:r>
      <w:proofErr w:type="spellStart"/>
      <w:r w:rsidR="00910D5C" w:rsidRPr="004D3CB3">
        <w:rPr>
          <w:rFonts w:ascii="Times New Roman" w:hAnsi="Times New Roman" w:cs="Times New Roman"/>
          <w:sz w:val="20"/>
          <w:szCs w:val="20"/>
        </w:rPr>
        <w:t>Günther</w:t>
      </w:r>
      <w:proofErr w:type="spellEnd"/>
      <w:r w:rsidR="00910D5C" w:rsidRPr="004D3CB3">
        <w:rPr>
          <w:rFonts w:ascii="Times New Roman" w:hAnsi="Times New Roman" w:cs="Times New Roman"/>
          <w:sz w:val="20"/>
          <w:szCs w:val="20"/>
        </w:rPr>
        <w:t xml:space="preserve"> Schulze</w:t>
      </w:r>
      <w:r w:rsidRPr="004D3CB3">
        <w:rPr>
          <w:rFonts w:ascii="Times New Roman" w:hAnsi="Times New Roman" w:cs="Times New Roman"/>
          <w:sz w:val="20"/>
          <w:szCs w:val="20"/>
        </w:rPr>
        <w:t xml:space="preserve"> </w:t>
      </w:r>
      <w:r w:rsidR="00910D5C" w:rsidRPr="004D3CB3">
        <w:rPr>
          <w:rFonts w:ascii="Times New Roman" w:hAnsi="Times New Roman" w:cs="Times New Roman"/>
          <w:sz w:val="20"/>
          <w:szCs w:val="20"/>
        </w:rPr>
        <w:t>(</w:t>
      </w:r>
      <w:r w:rsidRPr="004D3CB3">
        <w:rPr>
          <w:rFonts w:ascii="Times New Roman" w:hAnsi="Times New Roman" w:cs="Times New Roman"/>
          <w:sz w:val="20"/>
          <w:szCs w:val="20"/>
        </w:rPr>
        <w:t>2011</w:t>
      </w:r>
      <w:r w:rsidR="00910D5C" w:rsidRPr="004D3CB3">
        <w:rPr>
          <w:rFonts w:ascii="Times New Roman" w:hAnsi="Times New Roman" w:cs="Times New Roman"/>
          <w:sz w:val="20"/>
          <w:szCs w:val="20"/>
        </w:rPr>
        <w:t>).</w:t>
      </w:r>
      <w:proofErr w:type="gramEnd"/>
      <w:r w:rsidR="00910D5C" w:rsidRPr="004D3CB3">
        <w:rPr>
          <w:rFonts w:ascii="Times New Roman" w:hAnsi="Times New Roman" w:cs="Times New Roman"/>
          <w:sz w:val="20"/>
          <w:szCs w:val="20"/>
        </w:rPr>
        <w:t xml:space="preserve"> </w:t>
      </w:r>
      <w:proofErr w:type="gramStart"/>
      <w:r w:rsidR="00910D5C" w:rsidRPr="004D3CB3">
        <w:rPr>
          <w:rFonts w:ascii="Times New Roman" w:hAnsi="Times New Roman" w:cs="Times New Roman"/>
          <w:sz w:val="20"/>
          <w:szCs w:val="20"/>
        </w:rPr>
        <w:t>On the origins of domestic and international t</w:t>
      </w:r>
      <w:r w:rsidRPr="004D3CB3">
        <w:rPr>
          <w:rFonts w:ascii="Times New Roman" w:hAnsi="Times New Roman" w:cs="Times New Roman"/>
          <w:sz w:val="20"/>
          <w:szCs w:val="20"/>
        </w:rPr>
        <w:t>errorism.</w:t>
      </w:r>
      <w:proofErr w:type="gramEnd"/>
      <w:r w:rsidRPr="004D3CB3">
        <w:rPr>
          <w:rFonts w:ascii="Times New Roman" w:hAnsi="Times New Roman" w:cs="Times New Roman"/>
          <w:sz w:val="20"/>
          <w:szCs w:val="20"/>
        </w:rPr>
        <w:t xml:space="preserve"> </w:t>
      </w:r>
      <w:r w:rsidRPr="004D3CB3">
        <w:rPr>
          <w:rFonts w:ascii="Times New Roman" w:hAnsi="Times New Roman" w:cs="Times New Roman"/>
          <w:i/>
          <w:sz w:val="20"/>
          <w:szCs w:val="20"/>
        </w:rPr>
        <w:t xml:space="preserve">European </w:t>
      </w:r>
      <w:r w:rsidR="00910D5C" w:rsidRPr="004D3CB3">
        <w:rPr>
          <w:rFonts w:ascii="Times New Roman" w:hAnsi="Times New Roman" w:cs="Times New Roman"/>
          <w:i/>
          <w:sz w:val="20"/>
          <w:szCs w:val="20"/>
        </w:rPr>
        <w:t xml:space="preserve">Journal of Political Economy </w:t>
      </w:r>
      <w:r w:rsidR="00910D5C" w:rsidRPr="004D3CB3">
        <w:rPr>
          <w:rFonts w:ascii="Times New Roman" w:hAnsi="Times New Roman" w:cs="Times New Roman"/>
          <w:sz w:val="20"/>
          <w:szCs w:val="20"/>
        </w:rPr>
        <w:t>27:</w:t>
      </w:r>
      <w:r w:rsidRPr="004D3CB3">
        <w:rPr>
          <w:rFonts w:ascii="Times New Roman" w:hAnsi="Times New Roman" w:cs="Times New Roman"/>
          <w:sz w:val="20"/>
          <w:szCs w:val="20"/>
        </w:rPr>
        <w:t xml:space="preserve"> s17-s36. </w:t>
      </w:r>
    </w:p>
    <w:p w:rsidR="004801A2" w:rsidRPr="004D3CB3" w:rsidRDefault="00910D5C" w:rsidP="0040227B">
      <w:pPr>
        <w:spacing w:after="0" w:line="240" w:lineRule="auto"/>
        <w:ind w:left="720" w:hanging="720"/>
        <w:jc w:val="both"/>
        <w:rPr>
          <w:rFonts w:ascii="Times New Roman" w:hAnsi="Times New Roman" w:cs="Times New Roman"/>
          <w:sz w:val="20"/>
          <w:szCs w:val="20"/>
        </w:rPr>
      </w:pPr>
      <w:proofErr w:type="spellStart"/>
      <w:proofErr w:type="gramStart"/>
      <w:r w:rsidRPr="004D3CB3">
        <w:rPr>
          <w:rFonts w:ascii="Times New Roman" w:hAnsi="Times New Roman" w:cs="Times New Roman"/>
          <w:sz w:val="20"/>
          <w:szCs w:val="20"/>
        </w:rPr>
        <w:t>Kollias</w:t>
      </w:r>
      <w:proofErr w:type="spellEnd"/>
      <w:r w:rsidRPr="004D3CB3">
        <w:rPr>
          <w:rFonts w:ascii="Times New Roman" w:hAnsi="Times New Roman" w:cs="Times New Roman"/>
          <w:sz w:val="20"/>
          <w:szCs w:val="20"/>
        </w:rPr>
        <w:t xml:space="preserve">, Christos, </w:t>
      </w:r>
      <w:proofErr w:type="spellStart"/>
      <w:r w:rsidRPr="004D3CB3">
        <w:rPr>
          <w:rFonts w:ascii="Times New Roman" w:hAnsi="Times New Roman" w:cs="Times New Roman"/>
          <w:sz w:val="20"/>
          <w:szCs w:val="20"/>
        </w:rPr>
        <w:t>Efthalia</w:t>
      </w:r>
      <w:proofErr w:type="spellEnd"/>
      <w:r w:rsidRPr="004D3CB3">
        <w:rPr>
          <w:rFonts w:ascii="Times New Roman" w:hAnsi="Times New Roman" w:cs="Times New Roman"/>
          <w:sz w:val="20"/>
          <w:szCs w:val="20"/>
        </w:rPr>
        <w:t xml:space="preserve"> </w:t>
      </w:r>
      <w:proofErr w:type="spellStart"/>
      <w:r w:rsidRPr="004D3CB3">
        <w:rPr>
          <w:rFonts w:ascii="Times New Roman" w:hAnsi="Times New Roman" w:cs="Times New Roman"/>
          <w:sz w:val="20"/>
          <w:szCs w:val="20"/>
        </w:rPr>
        <w:t>Manou</w:t>
      </w:r>
      <w:proofErr w:type="spellEnd"/>
      <w:r w:rsidRPr="004D3CB3">
        <w:rPr>
          <w:rFonts w:ascii="Times New Roman" w:hAnsi="Times New Roman" w:cs="Times New Roman"/>
          <w:sz w:val="20"/>
          <w:szCs w:val="20"/>
        </w:rPr>
        <w:t xml:space="preserve">, </w:t>
      </w:r>
      <w:proofErr w:type="spellStart"/>
      <w:r w:rsidRPr="004D3CB3">
        <w:rPr>
          <w:rFonts w:ascii="Times New Roman" w:hAnsi="Times New Roman" w:cs="Times New Roman"/>
          <w:sz w:val="20"/>
          <w:szCs w:val="20"/>
        </w:rPr>
        <w:t>Stephanos</w:t>
      </w:r>
      <w:proofErr w:type="spellEnd"/>
      <w:r w:rsidRPr="004D3CB3">
        <w:rPr>
          <w:rFonts w:ascii="Times New Roman" w:hAnsi="Times New Roman" w:cs="Times New Roman"/>
          <w:sz w:val="20"/>
          <w:szCs w:val="20"/>
        </w:rPr>
        <w:t xml:space="preserve"> </w:t>
      </w:r>
      <w:proofErr w:type="spellStart"/>
      <w:r w:rsidRPr="004D3CB3">
        <w:rPr>
          <w:rFonts w:ascii="Times New Roman" w:hAnsi="Times New Roman" w:cs="Times New Roman"/>
          <w:sz w:val="20"/>
          <w:szCs w:val="20"/>
        </w:rPr>
        <w:t>Papadamou</w:t>
      </w:r>
      <w:proofErr w:type="spellEnd"/>
      <w:r w:rsidRPr="004D3CB3">
        <w:rPr>
          <w:rFonts w:ascii="Times New Roman" w:hAnsi="Times New Roman" w:cs="Times New Roman"/>
          <w:sz w:val="20"/>
          <w:szCs w:val="20"/>
        </w:rPr>
        <w:t xml:space="preserve"> and </w:t>
      </w:r>
      <w:proofErr w:type="spellStart"/>
      <w:r w:rsidRPr="004D3CB3">
        <w:rPr>
          <w:rFonts w:ascii="Times New Roman" w:hAnsi="Times New Roman" w:cs="Times New Roman"/>
          <w:sz w:val="20"/>
          <w:szCs w:val="20"/>
        </w:rPr>
        <w:t>Apostolos</w:t>
      </w:r>
      <w:proofErr w:type="spellEnd"/>
      <w:r w:rsidRPr="004D3CB3">
        <w:rPr>
          <w:rFonts w:ascii="Times New Roman" w:hAnsi="Times New Roman" w:cs="Times New Roman"/>
          <w:sz w:val="20"/>
          <w:szCs w:val="20"/>
        </w:rPr>
        <w:t xml:space="preserve"> </w:t>
      </w:r>
      <w:proofErr w:type="spellStart"/>
      <w:r w:rsidRPr="004D3CB3">
        <w:rPr>
          <w:rFonts w:ascii="Times New Roman" w:hAnsi="Times New Roman" w:cs="Times New Roman"/>
          <w:sz w:val="20"/>
          <w:szCs w:val="20"/>
        </w:rPr>
        <w:t>Staggianis</w:t>
      </w:r>
      <w:proofErr w:type="spellEnd"/>
      <w:r w:rsidR="004801A2" w:rsidRPr="004D3CB3">
        <w:rPr>
          <w:rFonts w:ascii="Times New Roman" w:hAnsi="Times New Roman" w:cs="Times New Roman"/>
          <w:sz w:val="20"/>
          <w:szCs w:val="20"/>
        </w:rPr>
        <w:t xml:space="preserve"> </w:t>
      </w:r>
      <w:r w:rsidRPr="004D3CB3">
        <w:rPr>
          <w:rFonts w:ascii="Times New Roman" w:hAnsi="Times New Roman" w:cs="Times New Roman"/>
          <w:sz w:val="20"/>
          <w:szCs w:val="20"/>
        </w:rPr>
        <w:t>(</w:t>
      </w:r>
      <w:r w:rsidR="004801A2" w:rsidRPr="004D3CB3">
        <w:rPr>
          <w:rFonts w:ascii="Times New Roman" w:hAnsi="Times New Roman" w:cs="Times New Roman"/>
          <w:sz w:val="20"/>
          <w:szCs w:val="20"/>
        </w:rPr>
        <w:t>2011</w:t>
      </w:r>
      <w:r w:rsidRPr="004D3CB3">
        <w:rPr>
          <w:rFonts w:ascii="Times New Roman" w:hAnsi="Times New Roman" w:cs="Times New Roman"/>
          <w:sz w:val="20"/>
          <w:szCs w:val="20"/>
        </w:rPr>
        <w:t>).</w:t>
      </w:r>
      <w:proofErr w:type="gramEnd"/>
      <w:r w:rsidRPr="004D3CB3">
        <w:rPr>
          <w:rFonts w:ascii="Times New Roman" w:hAnsi="Times New Roman" w:cs="Times New Roman"/>
          <w:sz w:val="20"/>
          <w:szCs w:val="20"/>
        </w:rPr>
        <w:t xml:space="preserve"> Stock markets and terrorist attacks: c</w:t>
      </w:r>
      <w:r w:rsidR="004801A2" w:rsidRPr="004D3CB3">
        <w:rPr>
          <w:rFonts w:ascii="Times New Roman" w:hAnsi="Times New Roman" w:cs="Times New Roman"/>
          <w:sz w:val="20"/>
          <w:szCs w:val="20"/>
        </w:rPr>
        <w:t>omp</w:t>
      </w:r>
      <w:r w:rsidRPr="004D3CB3">
        <w:rPr>
          <w:rFonts w:ascii="Times New Roman" w:hAnsi="Times New Roman" w:cs="Times New Roman"/>
          <w:sz w:val="20"/>
          <w:szCs w:val="20"/>
        </w:rPr>
        <w:t>arative e</w:t>
      </w:r>
      <w:r w:rsidR="004801A2" w:rsidRPr="004D3CB3">
        <w:rPr>
          <w:rFonts w:ascii="Times New Roman" w:hAnsi="Times New Roman" w:cs="Times New Roman"/>
          <w:sz w:val="20"/>
          <w:szCs w:val="20"/>
        </w:rPr>
        <w:t xml:space="preserve">vidence </w:t>
      </w:r>
      <w:r w:rsidR="00A948EB" w:rsidRPr="004D3CB3">
        <w:rPr>
          <w:rFonts w:ascii="Times New Roman" w:hAnsi="Times New Roman" w:cs="Times New Roman"/>
          <w:sz w:val="20"/>
          <w:szCs w:val="20"/>
        </w:rPr>
        <w:t>from</w:t>
      </w:r>
      <w:r w:rsidRPr="004D3CB3">
        <w:rPr>
          <w:rFonts w:ascii="Times New Roman" w:hAnsi="Times New Roman" w:cs="Times New Roman"/>
          <w:sz w:val="20"/>
          <w:szCs w:val="20"/>
        </w:rPr>
        <w:t xml:space="preserve"> a large and a small capitalisation m</w:t>
      </w:r>
      <w:r w:rsidR="004801A2" w:rsidRPr="004D3CB3">
        <w:rPr>
          <w:rFonts w:ascii="Times New Roman" w:hAnsi="Times New Roman" w:cs="Times New Roman"/>
          <w:sz w:val="20"/>
          <w:szCs w:val="20"/>
        </w:rPr>
        <w:t xml:space="preserve">arket. </w:t>
      </w:r>
      <w:r w:rsidR="004801A2" w:rsidRPr="004D3CB3">
        <w:rPr>
          <w:rFonts w:ascii="Times New Roman" w:hAnsi="Times New Roman" w:cs="Times New Roman"/>
          <w:i/>
          <w:sz w:val="20"/>
          <w:szCs w:val="20"/>
        </w:rPr>
        <w:t xml:space="preserve">European </w:t>
      </w:r>
      <w:r w:rsidRPr="004D3CB3">
        <w:rPr>
          <w:rFonts w:ascii="Times New Roman" w:hAnsi="Times New Roman" w:cs="Times New Roman"/>
          <w:i/>
          <w:sz w:val="20"/>
          <w:szCs w:val="20"/>
        </w:rPr>
        <w:t>Journal of Political Economy</w:t>
      </w:r>
      <w:r w:rsidRPr="004D3CB3">
        <w:rPr>
          <w:rFonts w:ascii="Times New Roman" w:hAnsi="Times New Roman" w:cs="Times New Roman"/>
          <w:sz w:val="20"/>
          <w:szCs w:val="20"/>
        </w:rPr>
        <w:t xml:space="preserve"> 27:</w:t>
      </w:r>
      <w:r w:rsidR="004801A2" w:rsidRPr="004D3CB3">
        <w:rPr>
          <w:rFonts w:ascii="Times New Roman" w:hAnsi="Times New Roman" w:cs="Times New Roman"/>
          <w:sz w:val="20"/>
          <w:szCs w:val="20"/>
        </w:rPr>
        <w:t xml:space="preserve"> s64-s77.</w:t>
      </w:r>
    </w:p>
    <w:p w:rsidR="0042390E" w:rsidRPr="004D3CB3" w:rsidRDefault="00910D5C" w:rsidP="0040227B">
      <w:pPr>
        <w:spacing w:after="0" w:line="240" w:lineRule="auto"/>
        <w:ind w:left="720" w:hanging="720"/>
        <w:jc w:val="both"/>
        <w:rPr>
          <w:rFonts w:ascii="Times New Roman" w:hAnsi="Times New Roman" w:cs="Times New Roman"/>
          <w:sz w:val="20"/>
          <w:szCs w:val="20"/>
        </w:rPr>
      </w:pPr>
      <w:proofErr w:type="spellStart"/>
      <w:r w:rsidRPr="004D3CB3">
        <w:rPr>
          <w:rFonts w:ascii="Times New Roman" w:hAnsi="Times New Roman" w:cs="Times New Roman"/>
          <w:sz w:val="20"/>
          <w:szCs w:val="20"/>
        </w:rPr>
        <w:lastRenderedPageBreak/>
        <w:t>Landes</w:t>
      </w:r>
      <w:proofErr w:type="spellEnd"/>
      <w:r w:rsidRPr="004D3CB3">
        <w:rPr>
          <w:rFonts w:ascii="Times New Roman" w:hAnsi="Times New Roman" w:cs="Times New Roman"/>
          <w:sz w:val="20"/>
          <w:szCs w:val="20"/>
        </w:rPr>
        <w:t>, William</w:t>
      </w:r>
      <w:r w:rsidR="00A948EB" w:rsidRPr="004D3CB3">
        <w:rPr>
          <w:rFonts w:ascii="Times New Roman" w:hAnsi="Times New Roman" w:cs="Times New Roman"/>
          <w:sz w:val="20"/>
          <w:szCs w:val="20"/>
        </w:rPr>
        <w:t xml:space="preserve"> </w:t>
      </w:r>
      <w:r w:rsidRPr="004D3CB3">
        <w:rPr>
          <w:rFonts w:ascii="Times New Roman" w:hAnsi="Times New Roman" w:cs="Times New Roman"/>
          <w:sz w:val="20"/>
          <w:szCs w:val="20"/>
        </w:rPr>
        <w:t>(</w:t>
      </w:r>
      <w:r w:rsidR="00A948EB" w:rsidRPr="004D3CB3">
        <w:rPr>
          <w:rFonts w:ascii="Times New Roman" w:hAnsi="Times New Roman" w:cs="Times New Roman"/>
          <w:sz w:val="20"/>
          <w:szCs w:val="20"/>
        </w:rPr>
        <w:t>1978</w:t>
      </w:r>
      <w:r w:rsidRPr="004D3CB3">
        <w:rPr>
          <w:rFonts w:ascii="Times New Roman" w:hAnsi="Times New Roman" w:cs="Times New Roman"/>
          <w:sz w:val="20"/>
          <w:szCs w:val="20"/>
        </w:rPr>
        <w:t>)</w:t>
      </w:r>
      <w:r w:rsidR="00A948EB" w:rsidRPr="004D3CB3">
        <w:rPr>
          <w:rFonts w:ascii="Times New Roman" w:hAnsi="Times New Roman" w:cs="Times New Roman"/>
          <w:sz w:val="20"/>
          <w:szCs w:val="20"/>
        </w:rPr>
        <w:t>.</w:t>
      </w:r>
      <w:r w:rsidRPr="004D3CB3">
        <w:rPr>
          <w:rFonts w:ascii="Times New Roman" w:hAnsi="Times New Roman" w:cs="Times New Roman"/>
          <w:sz w:val="20"/>
          <w:szCs w:val="20"/>
        </w:rPr>
        <w:t xml:space="preserve"> An economic study of U.S. aircraft h</w:t>
      </w:r>
      <w:r w:rsidR="0042390E" w:rsidRPr="004D3CB3">
        <w:rPr>
          <w:rFonts w:ascii="Times New Roman" w:hAnsi="Times New Roman" w:cs="Times New Roman"/>
          <w:sz w:val="20"/>
          <w:szCs w:val="20"/>
        </w:rPr>
        <w:t>ijacking: 19</w:t>
      </w:r>
      <w:r w:rsidR="00A948EB" w:rsidRPr="004D3CB3">
        <w:rPr>
          <w:rFonts w:ascii="Times New Roman" w:hAnsi="Times New Roman" w:cs="Times New Roman"/>
          <w:sz w:val="20"/>
          <w:szCs w:val="20"/>
        </w:rPr>
        <w:t>61 to 1976.</w:t>
      </w:r>
      <w:r w:rsidRPr="004D3CB3">
        <w:rPr>
          <w:rFonts w:ascii="Times New Roman" w:hAnsi="Times New Roman" w:cs="Times New Roman"/>
          <w:sz w:val="20"/>
          <w:szCs w:val="20"/>
        </w:rPr>
        <w:t xml:space="preserve"> </w:t>
      </w:r>
      <w:r w:rsidRPr="004D3CB3">
        <w:rPr>
          <w:rFonts w:ascii="Times New Roman" w:hAnsi="Times New Roman" w:cs="Times New Roman"/>
          <w:i/>
          <w:sz w:val="20"/>
          <w:szCs w:val="20"/>
        </w:rPr>
        <w:t>Journal of Law and Economics</w:t>
      </w:r>
      <w:r w:rsidRPr="004D3CB3">
        <w:rPr>
          <w:rFonts w:ascii="Times New Roman" w:hAnsi="Times New Roman" w:cs="Times New Roman"/>
          <w:sz w:val="20"/>
          <w:szCs w:val="20"/>
        </w:rPr>
        <w:t xml:space="preserve"> 21:</w:t>
      </w:r>
      <w:r w:rsidR="0042390E" w:rsidRPr="004D3CB3">
        <w:rPr>
          <w:rFonts w:ascii="Times New Roman" w:hAnsi="Times New Roman" w:cs="Times New Roman"/>
          <w:sz w:val="20"/>
          <w:szCs w:val="20"/>
        </w:rPr>
        <w:t xml:space="preserve"> 1-31.</w:t>
      </w:r>
    </w:p>
    <w:p w:rsidR="00CB7007" w:rsidRPr="004D3CB3" w:rsidRDefault="00950D8E" w:rsidP="0040227B">
      <w:pPr>
        <w:spacing w:after="0" w:line="240" w:lineRule="auto"/>
        <w:ind w:left="720" w:hanging="720"/>
        <w:jc w:val="both"/>
        <w:rPr>
          <w:rFonts w:ascii="Times New Roman" w:hAnsi="Times New Roman" w:cs="Times New Roman"/>
          <w:sz w:val="20"/>
          <w:szCs w:val="20"/>
        </w:rPr>
      </w:pPr>
      <w:proofErr w:type="spellStart"/>
      <w:r w:rsidRPr="004D3CB3">
        <w:rPr>
          <w:rFonts w:ascii="Times New Roman" w:hAnsi="Times New Roman" w:cs="Times New Roman"/>
          <w:sz w:val="20"/>
          <w:szCs w:val="20"/>
        </w:rPr>
        <w:t>Llussá</w:t>
      </w:r>
      <w:proofErr w:type="spellEnd"/>
      <w:r w:rsidRPr="004D3CB3">
        <w:rPr>
          <w:rFonts w:ascii="Times New Roman" w:hAnsi="Times New Roman" w:cs="Times New Roman"/>
          <w:sz w:val="20"/>
          <w:szCs w:val="20"/>
        </w:rPr>
        <w:t>, Fernanda</w:t>
      </w:r>
      <w:r w:rsidR="00A948EB" w:rsidRPr="004D3CB3">
        <w:rPr>
          <w:rFonts w:ascii="Times New Roman" w:hAnsi="Times New Roman" w:cs="Times New Roman"/>
          <w:sz w:val="20"/>
          <w:szCs w:val="20"/>
        </w:rPr>
        <w:t>, Tavares, J</w:t>
      </w:r>
      <w:r w:rsidRPr="004D3CB3">
        <w:rPr>
          <w:rFonts w:ascii="Times New Roman" w:hAnsi="Times New Roman" w:cs="Times New Roman"/>
          <w:sz w:val="20"/>
          <w:szCs w:val="20"/>
        </w:rPr>
        <w:t>osé (</w:t>
      </w:r>
      <w:r w:rsidR="00CB7007" w:rsidRPr="004D3CB3">
        <w:rPr>
          <w:rFonts w:ascii="Times New Roman" w:hAnsi="Times New Roman" w:cs="Times New Roman"/>
          <w:sz w:val="20"/>
          <w:szCs w:val="20"/>
        </w:rPr>
        <w:t>2008</w:t>
      </w:r>
      <w:r w:rsidRPr="004D3CB3">
        <w:rPr>
          <w:rFonts w:ascii="Times New Roman" w:hAnsi="Times New Roman" w:cs="Times New Roman"/>
          <w:sz w:val="20"/>
          <w:szCs w:val="20"/>
        </w:rPr>
        <w:t>). Economics and terrorism: what we know, what we should know and the data we need. In: Keefer, Philip and</w:t>
      </w:r>
      <w:r w:rsidR="00CB7007" w:rsidRPr="004D3CB3">
        <w:rPr>
          <w:rFonts w:ascii="Times New Roman" w:hAnsi="Times New Roman" w:cs="Times New Roman"/>
          <w:sz w:val="20"/>
          <w:szCs w:val="20"/>
        </w:rPr>
        <w:t xml:space="preserve"> </w:t>
      </w:r>
      <w:r w:rsidRPr="004D3CB3">
        <w:rPr>
          <w:rFonts w:ascii="Times New Roman" w:hAnsi="Times New Roman" w:cs="Times New Roman"/>
          <w:sz w:val="20"/>
          <w:szCs w:val="20"/>
        </w:rPr>
        <w:t xml:space="preserve">Norman </w:t>
      </w:r>
      <w:proofErr w:type="spellStart"/>
      <w:r w:rsidR="00CB7007" w:rsidRPr="004D3CB3">
        <w:rPr>
          <w:rFonts w:ascii="Times New Roman" w:hAnsi="Times New Roman" w:cs="Times New Roman"/>
          <w:sz w:val="20"/>
          <w:szCs w:val="20"/>
        </w:rPr>
        <w:t>Lo</w:t>
      </w:r>
      <w:r w:rsidRPr="004D3CB3">
        <w:rPr>
          <w:rFonts w:ascii="Times New Roman" w:hAnsi="Times New Roman" w:cs="Times New Roman"/>
          <w:sz w:val="20"/>
          <w:szCs w:val="20"/>
        </w:rPr>
        <w:t>ayza</w:t>
      </w:r>
      <w:proofErr w:type="spellEnd"/>
      <w:r w:rsidRPr="004D3CB3">
        <w:rPr>
          <w:rFonts w:ascii="Times New Roman" w:hAnsi="Times New Roman" w:cs="Times New Roman"/>
          <w:sz w:val="20"/>
          <w:szCs w:val="20"/>
        </w:rPr>
        <w:t xml:space="preserve">, </w:t>
      </w:r>
      <w:r w:rsidR="00CB7007" w:rsidRPr="004D3CB3">
        <w:rPr>
          <w:rFonts w:ascii="Times New Roman" w:hAnsi="Times New Roman" w:cs="Times New Roman"/>
          <w:sz w:val="20"/>
          <w:szCs w:val="20"/>
        </w:rPr>
        <w:t xml:space="preserve">(Eds.), </w:t>
      </w:r>
      <w:r w:rsidRPr="004D3CB3">
        <w:rPr>
          <w:rFonts w:ascii="Times New Roman" w:hAnsi="Times New Roman" w:cs="Times New Roman"/>
          <w:i/>
          <w:sz w:val="20"/>
          <w:szCs w:val="20"/>
        </w:rPr>
        <w:t>Terrorism, economic development and political o</w:t>
      </w:r>
      <w:r w:rsidR="00CB7007" w:rsidRPr="004D3CB3">
        <w:rPr>
          <w:rFonts w:ascii="Times New Roman" w:hAnsi="Times New Roman" w:cs="Times New Roman"/>
          <w:i/>
          <w:sz w:val="20"/>
          <w:szCs w:val="20"/>
        </w:rPr>
        <w:t>penness</w:t>
      </w:r>
      <w:r w:rsidR="00CB7007" w:rsidRPr="004D3CB3">
        <w:rPr>
          <w:rFonts w:ascii="Times New Roman" w:hAnsi="Times New Roman" w:cs="Times New Roman"/>
          <w:sz w:val="20"/>
          <w:szCs w:val="20"/>
        </w:rPr>
        <w:t xml:space="preserve">. </w:t>
      </w:r>
      <w:r w:rsidRPr="004D3CB3">
        <w:rPr>
          <w:rFonts w:ascii="Times New Roman" w:hAnsi="Times New Roman" w:cs="Times New Roman"/>
          <w:sz w:val="20"/>
          <w:szCs w:val="20"/>
        </w:rPr>
        <w:t xml:space="preserve">Cambridge, UK, </w:t>
      </w:r>
      <w:r w:rsidR="00CB7007" w:rsidRPr="004D3CB3">
        <w:rPr>
          <w:rFonts w:ascii="Times New Roman" w:hAnsi="Times New Roman" w:cs="Times New Roman"/>
          <w:sz w:val="20"/>
          <w:szCs w:val="20"/>
        </w:rPr>
        <w:t>Cambridge Universit</w:t>
      </w:r>
      <w:r w:rsidRPr="004D3CB3">
        <w:rPr>
          <w:rFonts w:ascii="Times New Roman" w:hAnsi="Times New Roman" w:cs="Times New Roman"/>
          <w:sz w:val="20"/>
          <w:szCs w:val="20"/>
        </w:rPr>
        <w:t xml:space="preserve">y Press: </w:t>
      </w:r>
      <w:r w:rsidR="00CB7007" w:rsidRPr="004D3CB3">
        <w:rPr>
          <w:rFonts w:ascii="Times New Roman" w:hAnsi="Times New Roman" w:cs="Times New Roman"/>
          <w:sz w:val="20"/>
          <w:szCs w:val="20"/>
        </w:rPr>
        <w:t>233–254.</w:t>
      </w:r>
    </w:p>
    <w:p w:rsidR="00CB7007" w:rsidRPr="004D3CB3" w:rsidRDefault="00C0421E" w:rsidP="0040227B">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O’</w:t>
      </w:r>
      <w:r w:rsidR="00A948EB" w:rsidRPr="004D3CB3">
        <w:rPr>
          <w:rFonts w:ascii="Times New Roman" w:hAnsi="Times New Roman" w:cs="Times New Roman"/>
          <w:sz w:val="20"/>
          <w:szCs w:val="20"/>
        </w:rPr>
        <w:t>Neill, Ba</w:t>
      </w:r>
      <w:r w:rsidR="00950D8E" w:rsidRPr="004D3CB3">
        <w:rPr>
          <w:rFonts w:ascii="Times New Roman" w:hAnsi="Times New Roman" w:cs="Times New Roman"/>
          <w:sz w:val="20"/>
          <w:szCs w:val="20"/>
        </w:rPr>
        <w:t>rry</w:t>
      </w:r>
      <w:r w:rsidR="00A948EB" w:rsidRPr="004D3CB3">
        <w:rPr>
          <w:rFonts w:ascii="Times New Roman" w:hAnsi="Times New Roman" w:cs="Times New Roman"/>
          <w:sz w:val="20"/>
          <w:szCs w:val="20"/>
        </w:rPr>
        <w:t xml:space="preserve"> </w:t>
      </w:r>
      <w:r w:rsidR="00950D8E" w:rsidRPr="004D3CB3">
        <w:rPr>
          <w:rFonts w:ascii="Times New Roman" w:hAnsi="Times New Roman" w:cs="Times New Roman"/>
          <w:sz w:val="20"/>
          <w:szCs w:val="20"/>
        </w:rPr>
        <w:t>(</w:t>
      </w:r>
      <w:r w:rsidR="00A948EB" w:rsidRPr="004D3CB3">
        <w:rPr>
          <w:rFonts w:ascii="Times New Roman" w:hAnsi="Times New Roman" w:cs="Times New Roman"/>
          <w:sz w:val="20"/>
          <w:szCs w:val="20"/>
        </w:rPr>
        <w:t>2001</w:t>
      </w:r>
      <w:r w:rsidR="00950D8E" w:rsidRPr="004D3CB3">
        <w:rPr>
          <w:rFonts w:ascii="Times New Roman" w:hAnsi="Times New Roman" w:cs="Times New Roman"/>
          <w:sz w:val="20"/>
          <w:szCs w:val="20"/>
        </w:rPr>
        <w:t xml:space="preserve">). </w:t>
      </w:r>
      <w:proofErr w:type="gramStart"/>
      <w:r w:rsidR="00950D8E" w:rsidRPr="004D3CB3">
        <w:rPr>
          <w:rFonts w:ascii="Times New Roman" w:hAnsi="Times New Roman" w:cs="Times New Roman"/>
          <w:sz w:val="20"/>
          <w:szCs w:val="20"/>
        </w:rPr>
        <w:t>Risk aversion in international relations t</w:t>
      </w:r>
      <w:r w:rsidR="00CB7007" w:rsidRPr="004D3CB3">
        <w:rPr>
          <w:rFonts w:ascii="Times New Roman" w:hAnsi="Times New Roman" w:cs="Times New Roman"/>
          <w:sz w:val="20"/>
          <w:szCs w:val="20"/>
        </w:rPr>
        <w:t>heory.</w:t>
      </w:r>
      <w:proofErr w:type="gramEnd"/>
      <w:r w:rsidR="00CB7007" w:rsidRPr="004D3CB3">
        <w:rPr>
          <w:rFonts w:ascii="Times New Roman" w:hAnsi="Times New Roman" w:cs="Times New Roman"/>
          <w:sz w:val="20"/>
          <w:szCs w:val="20"/>
        </w:rPr>
        <w:t xml:space="preserve"> </w:t>
      </w:r>
      <w:r w:rsidR="00CB7007" w:rsidRPr="004D3CB3">
        <w:rPr>
          <w:rFonts w:ascii="Times New Roman" w:hAnsi="Times New Roman" w:cs="Times New Roman"/>
          <w:i/>
          <w:sz w:val="20"/>
          <w:szCs w:val="20"/>
        </w:rPr>
        <w:t>Int</w:t>
      </w:r>
      <w:r w:rsidR="00950D8E" w:rsidRPr="004D3CB3">
        <w:rPr>
          <w:rFonts w:ascii="Times New Roman" w:hAnsi="Times New Roman" w:cs="Times New Roman"/>
          <w:i/>
          <w:sz w:val="20"/>
          <w:szCs w:val="20"/>
        </w:rPr>
        <w:t>ernational Studies Quarterly</w:t>
      </w:r>
      <w:r w:rsidR="00950D8E" w:rsidRPr="004D3CB3">
        <w:rPr>
          <w:rFonts w:ascii="Times New Roman" w:hAnsi="Times New Roman" w:cs="Times New Roman"/>
          <w:sz w:val="20"/>
          <w:szCs w:val="20"/>
        </w:rPr>
        <w:t xml:space="preserve"> 45:</w:t>
      </w:r>
      <w:r w:rsidR="00A948EB" w:rsidRPr="004D3CB3">
        <w:rPr>
          <w:rFonts w:ascii="Times New Roman" w:hAnsi="Times New Roman" w:cs="Times New Roman"/>
          <w:sz w:val="20"/>
          <w:szCs w:val="20"/>
        </w:rPr>
        <w:t xml:space="preserve"> </w:t>
      </w:r>
      <w:r w:rsidR="00CB7007" w:rsidRPr="004D3CB3">
        <w:rPr>
          <w:rFonts w:ascii="Times New Roman" w:hAnsi="Times New Roman" w:cs="Times New Roman"/>
          <w:sz w:val="20"/>
          <w:szCs w:val="20"/>
        </w:rPr>
        <w:t xml:space="preserve">617-40. </w:t>
      </w:r>
    </w:p>
    <w:p w:rsidR="00CB7007" w:rsidRPr="004D3CB3" w:rsidRDefault="00950D8E" w:rsidP="0040227B">
      <w:pPr>
        <w:spacing w:after="0" w:line="240" w:lineRule="auto"/>
        <w:ind w:left="720" w:hanging="720"/>
        <w:jc w:val="both"/>
        <w:rPr>
          <w:rFonts w:ascii="Times New Roman" w:hAnsi="Times New Roman" w:cs="Times New Roman"/>
          <w:sz w:val="20"/>
          <w:szCs w:val="20"/>
        </w:rPr>
      </w:pPr>
      <w:proofErr w:type="spellStart"/>
      <w:r w:rsidRPr="004D3CB3">
        <w:rPr>
          <w:rFonts w:ascii="Times New Roman" w:hAnsi="Times New Roman" w:cs="Times New Roman"/>
          <w:sz w:val="20"/>
          <w:szCs w:val="20"/>
        </w:rPr>
        <w:t>Pape</w:t>
      </w:r>
      <w:proofErr w:type="spellEnd"/>
      <w:r w:rsidRPr="004D3CB3">
        <w:rPr>
          <w:rFonts w:ascii="Times New Roman" w:hAnsi="Times New Roman" w:cs="Times New Roman"/>
          <w:sz w:val="20"/>
          <w:szCs w:val="20"/>
        </w:rPr>
        <w:t>, Robert</w:t>
      </w:r>
      <w:r w:rsidR="00CB7007" w:rsidRPr="004D3CB3">
        <w:rPr>
          <w:rFonts w:ascii="Times New Roman" w:hAnsi="Times New Roman" w:cs="Times New Roman"/>
          <w:sz w:val="20"/>
          <w:szCs w:val="20"/>
        </w:rPr>
        <w:t xml:space="preserve"> </w:t>
      </w:r>
      <w:r w:rsidRPr="004D3CB3">
        <w:rPr>
          <w:rFonts w:ascii="Times New Roman" w:hAnsi="Times New Roman" w:cs="Times New Roman"/>
          <w:sz w:val="20"/>
          <w:szCs w:val="20"/>
        </w:rPr>
        <w:t>(</w:t>
      </w:r>
      <w:r w:rsidR="00CB7007" w:rsidRPr="004D3CB3">
        <w:rPr>
          <w:rFonts w:ascii="Times New Roman" w:hAnsi="Times New Roman" w:cs="Times New Roman"/>
          <w:sz w:val="20"/>
          <w:szCs w:val="20"/>
        </w:rPr>
        <w:t>2003</w:t>
      </w:r>
      <w:r w:rsidRPr="004D3CB3">
        <w:rPr>
          <w:rFonts w:ascii="Times New Roman" w:hAnsi="Times New Roman" w:cs="Times New Roman"/>
          <w:sz w:val="20"/>
          <w:szCs w:val="20"/>
        </w:rPr>
        <w:t xml:space="preserve">). </w:t>
      </w:r>
      <w:proofErr w:type="gramStart"/>
      <w:r w:rsidRPr="004D3CB3">
        <w:rPr>
          <w:rFonts w:ascii="Times New Roman" w:hAnsi="Times New Roman" w:cs="Times New Roman"/>
          <w:sz w:val="20"/>
          <w:szCs w:val="20"/>
        </w:rPr>
        <w:t>The strategic logic of suicide t</w:t>
      </w:r>
      <w:r w:rsidR="00CB7007" w:rsidRPr="004D3CB3">
        <w:rPr>
          <w:rFonts w:ascii="Times New Roman" w:hAnsi="Times New Roman" w:cs="Times New Roman"/>
          <w:sz w:val="20"/>
          <w:szCs w:val="20"/>
        </w:rPr>
        <w:t>errorism.</w:t>
      </w:r>
      <w:proofErr w:type="gramEnd"/>
      <w:r w:rsidR="00CB7007" w:rsidRPr="004D3CB3">
        <w:rPr>
          <w:rFonts w:ascii="Times New Roman" w:hAnsi="Times New Roman" w:cs="Times New Roman"/>
          <w:sz w:val="20"/>
          <w:szCs w:val="20"/>
        </w:rPr>
        <w:t xml:space="preserve"> </w:t>
      </w:r>
      <w:r w:rsidR="00CB7007" w:rsidRPr="004D3CB3">
        <w:rPr>
          <w:rFonts w:ascii="Times New Roman" w:hAnsi="Times New Roman" w:cs="Times New Roman"/>
          <w:i/>
          <w:sz w:val="20"/>
          <w:szCs w:val="20"/>
        </w:rPr>
        <w:t>American Political Science Review</w:t>
      </w:r>
      <w:r w:rsidRPr="004D3CB3">
        <w:rPr>
          <w:rFonts w:ascii="Times New Roman" w:hAnsi="Times New Roman" w:cs="Times New Roman"/>
          <w:sz w:val="20"/>
          <w:szCs w:val="20"/>
        </w:rPr>
        <w:t xml:space="preserve"> 97:</w:t>
      </w:r>
      <w:r w:rsidR="00CB7007" w:rsidRPr="004D3CB3">
        <w:rPr>
          <w:rFonts w:ascii="Times New Roman" w:hAnsi="Times New Roman" w:cs="Times New Roman"/>
          <w:sz w:val="20"/>
          <w:szCs w:val="20"/>
        </w:rPr>
        <w:t xml:space="preserve"> 343-361.</w:t>
      </w:r>
    </w:p>
    <w:p w:rsidR="00CB7007" w:rsidRPr="004D3CB3" w:rsidRDefault="00950D8E" w:rsidP="0040227B">
      <w:pPr>
        <w:spacing w:after="0" w:line="240" w:lineRule="auto"/>
        <w:ind w:left="720" w:hanging="720"/>
        <w:jc w:val="both"/>
        <w:rPr>
          <w:rFonts w:ascii="Times New Roman" w:hAnsi="Times New Roman" w:cs="Times New Roman"/>
          <w:sz w:val="20"/>
          <w:szCs w:val="20"/>
        </w:rPr>
      </w:pPr>
      <w:proofErr w:type="spellStart"/>
      <w:r w:rsidRPr="004D3CB3">
        <w:rPr>
          <w:rFonts w:ascii="Times New Roman" w:hAnsi="Times New Roman" w:cs="Times New Roman"/>
          <w:sz w:val="20"/>
          <w:szCs w:val="20"/>
        </w:rPr>
        <w:t>Pape</w:t>
      </w:r>
      <w:proofErr w:type="spellEnd"/>
      <w:r w:rsidRPr="004D3CB3">
        <w:rPr>
          <w:rFonts w:ascii="Times New Roman" w:hAnsi="Times New Roman" w:cs="Times New Roman"/>
          <w:sz w:val="20"/>
          <w:szCs w:val="20"/>
        </w:rPr>
        <w:t xml:space="preserve">, Robert (2005). </w:t>
      </w:r>
      <w:proofErr w:type="gramStart"/>
      <w:r w:rsidRPr="004D3CB3">
        <w:rPr>
          <w:rFonts w:ascii="Times New Roman" w:hAnsi="Times New Roman" w:cs="Times New Roman"/>
          <w:i/>
          <w:sz w:val="20"/>
          <w:szCs w:val="20"/>
        </w:rPr>
        <w:t>Dying to win: the s</w:t>
      </w:r>
      <w:r w:rsidR="00CB7007" w:rsidRPr="004D3CB3">
        <w:rPr>
          <w:rFonts w:ascii="Times New Roman" w:hAnsi="Times New Roman" w:cs="Times New Roman"/>
          <w:i/>
          <w:sz w:val="20"/>
          <w:szCs w:val="20"/>
        </w:rPr>
        <w:t>trategi</w:t>
      </w:r>
      <w:r w:rsidRPr="004D3CB3">
        <w:rPr>
          <w:rFonts w:ascii="Times New Roman" w:hAnsi="Times New Roman" w:cs="Times New Roman"/>
          <w:i/>
          <w:sz w:val="20"/>
          <w:szCs w:val="20"/>
        </w:rPr>
        <w:t>c logic of suicide t</w:t>
      </w:r>
      <w:r w:rsidR="00CB7007" w:rsidRPr="004D3CB3">
        <w:rPr>
          <w:rFonts w:ascii="Times New Roman" w:hAnsi="Times New Roman" w:cs="Times New Roman"/>
          <w:i/>
          <w:sz w:val="20"/>
          <w:szCs w:val="20"/>
        </w:rPr>
        <w:t>errorism</w:t>
      </w:r>
      <w:r w:rsidR="00CB7007" w:rsidRPr="004D3CB3">
        <w:rPr>
          <w:rFonts w:ascii="Times New Roman" w:hAnsi="Times New Roman" w:cs="Times New Roman"/>
          <w:sz w:val="20"/>
          <w:szCs w:val="20"/>
        </w:rPr>
        <w:t>.</w:t>
      </w:r>
      <w:proofErr w:type="gramEnd"/>
      <w:r w:rsidR="00CB7007" w:rsidRPr="004D3CB3">
        <w:rPr>
          <w:rFonts w:ascii="Times New Roman" w:hAnsi="Times New Roman" w:cs="Times New Roman"/>
          <w:sz w:val="20"/>
          <w:szCs w:val="20"/>
        </w:rPr>
        <w:t xml:space="preserve"> </w:t>
      </w:r>
      <w:proofErr w:type="gramStart"/>
      <w:r w:rsidRPr="004D3CB3">
        <w:rPr>
          <w:rFonts w:ascii="Times New Roman" w:hAnsi="Times New Roman" w:cs="Times New Roman"/>
          <w:sz w:val="20"/>
          <w:szCs w:val="20"/>
        </w:rPr>
        <w:t>New York, NY, Random House</w:t>
      </w:r>
      <w:r w:rsidR="00CB7007" w:rsidRPr="004D3CB3">
        <w:rPr>
          <w:rFonts w:ascii="Times New Roman" w:hAnsi="Times New Roman" w:cs="Times New Roman"/>
          <w:sz w:val="20"/>
          <w:szCs w:val="20"/>
        </w:rPr>
        <w:t>.</w:t>
      </w:r>
      <w:proofErr w:type="gramEnd"/>
    </w:p>
    <w:p w:rsidR="00B6272B" w:rsidRPr="004D3CB3" w:rsidRDefault="00950D8E" w:rsidP="0040227B">
      <w:pPr>
        <w:spacing w:after="0" w:line="240" w:lineRule="auto"/>
        <w:ind w:left="720" w:hanging="720"/>
        <w:jc w:val="both"/>
        <w:rPr>
          <w:rFonts w:ascii="Times New Roman" w:hAnsi="Times New Roman" w:cs="Times New Roman"/>
          <w:sz w:val="20"/>
          <w:szCs w:val="20"/>
        </w:rPr>
      </w:pPr>
      <w:proofErr w:type="spellStart"/>
      <w:r w:rsidRPr="004D3CB3">
        <w:rPr>
          <w:rFonts w:ascii="Times New Roman" w:hAnsi="Times New Roman" w:cs="Times New Roman"/>
          <w:sz w:val="20"/>
          <w:szCs w:val="20"/>
        </w:rPr>
        <w:t>Pesendorfer</w:t>
      </w:r>
      <w:proofErr w:type="spellEnd"/>
      <w:r w:rsidRPr="004D3CB3">
        <w:rPr>
          <w:rFonts w:ascii="Times New Roman" w:hAnsi="Times New Roman" w:cs="Times New Roman"/>
          <w:sz w:val="20"/>
          <w:szCs w:val="20"/>
        </w:rPr>
        <w:t>, Wolfgang</w:t>
      </w:r>
      <w:r w:rsidR="00B6272B" w:rsidRPr="004D3CB3">
        <w:rPr>
          <w:rFonts w:ascii="Times New Roman" w:hAnsi="Times New Roman" w:cs="Times New Roman"/>
          <w:sz w:val="20"/>
          <w:szCs w:val="20"/>
        </w:rPr>
        <w:t xml:space="preserve"> </w:t>
      </w:r>
      <w:r w:rsidRPr="004D3CB3">
        <w:rPr>
          <w:rFonts w:ascii="Times New Roman" w:hAnsi="Times New Roman" w:cs="Times New Roman"/>
          <w:sz w:val="20"/>
          <w:szCs w:val="20"/>
        </w:rPr>
        <w:t>(</w:t>
      </w:r>
      <w:r w:rsidR="00B6272B" w:rsidRPr="004D3CB3">
        <w:rPr>
          <w:rFonts w:ascii="Times New Roman" w:hAnsi="Times New Roman" w:cs="Times New Roman"/>
          <w:sz w:val="20"/>
          <w:szCs w:val="20"/>
        </w:rPr>
        <w:t>2006</w:t>
      </w:r>
      <w:r w:rsidRPr="004D3CB3">
        <w:rPr>
          <w:rFonts w:ascii="Times New Roman" w:hAnsi="Times New Roman" w:cs="Times New Roman"/>
          <w:sz w:val="20"/>
          <w:szCs w:val="20"/>
        </w:rPr>
        <w:t>). Behavioural economics comes of age: a review essay on advances in behavioural e</w:t>
      </w:r>
      <w:r w:rsidR="00B6272B" w:rsidRPr="004D3CB3">
        <w:rPr>
          <w:rFonts w:ascii="Times New Roman" w:hAnsi="Times New Roman" w:cs="Times New Roman"/>
          <w:sz w:val="20"/>
          <w:szCs w:val="20"/>
        </w:rPr>
        <w:t xml:space="preserve">conomics. </w:t>
      </w:r>
      <w:r w:rsidR="00B6272B" w:rsidRPr="004D3CB3">
        <w:rPr>
          <w:rFonts w:ascii="Times New Roman" w:hAnsi="Times New Roman" w:cs="Times New Roman"/>
          <w:i/>
          <w:sz w:val="20"/>
          <w:szCs w:val="20"/>
        </w:rPr>
        <w:t>Jo</w:t>
      </w:r>
      <w:r w:rsidRPr="004D3CB3">
        <w:rPr>
          <w:rFonts w:ascii="Times New Roman" w:hAnsi="Times New Roman" w:cs="Times New Roman"/>
          <w:i/>
          <w:sz w:val="20"/>
          <w:szCs w:val="20"/>
        </w:rPr>
        <w:t>urnal of Economic Literature</w:t>
      </w:r>
      <w:r w:rsidRPr="004D3CB3">
        <w:rPr>
          <w:rFonts w:ascii="Times New Roman" w:hAnsi="Times New Roman" w:cs="Times New Roman"/>
          <w:sz w:val="20"/>
          <w:szCs w:val="20"/>
        </w:rPr>
        <w:t xml:space="preserve"> 44:</w:t>
      </w:r>
      <w:r w:rsidR="00B6272B" w:rsidRPr="004D3CB3">
        <w:rPr>
          <w:rFonts w:ascii="Times New Roman" w:hAnsi="Times New Roman" w:cs="Times New Roman"/>
          <w:sz w:val="20"/>
          <w:szCs w:val="20"/>
        </w:rPr>
        <w:t xml:space="preserve"> 712-721. </w:t>
      </w:r>
    </w:p>
    <w:p w:rsidR="00B6272B" w:rsidRPr="004D3CB3" w:rsidRDefault="00950D8E" w:rsidP="0040227B">
      <w:pPr>
        <w:spacing w:after="0" w:line="240" w:lineRule="auto"/>
        <w:ind w:left="720" w:hanging="720"/>
        <w:jc w:val="both"/>
        <w:rPr>
          <w:rFonts w:ascii="Times New Roman" w:hAnsi="Times New Roman" w:cs="Times New Roman"/>
          <w:sz w:val="20"/>
          <w:szCs w:val="20"/>
          <w:lang w:val="de-DE"/>
        </w:rPr>
      </w:pPr>
      <w:r w:rsidRPr="004D3CB3">
        <w:rPr>
          <w:rFonts w:ascii="Times New Roman" w:hAnsi="Times New Roman" w:cs="Times New Roman"/>
          <w:sz w:val="20"/>
          <w:szCs w:val="20"/>
          <w:lang w:val="de-DE"/>
        </w:rPr>
        <w:t>Peters, Butz</w:t>
      </w:r>
      <w:r w:rsidR="00B6272B" w:rsidRPr="004D3CB3">
        <w:rPr>
          <w:rFonts w:ascii="Times New Roman" w:hAnsi="Times New Roman" w:cs="Times New Roman"/>
          <w:sz w:val="20"/>
          <w:szCs w:val="20"/>
          <w:lang w:val="de-DE"/>
        </w:rPr>
        <w:t xml:space="preserve"> </w:t>
      </w:r>
      <w:r w:rsidRPr="004D3CB3">
        <w:rPr>
          <w:rFonts w:ascii="Times New Roman" w:hAnsi="Times New Roman" w:cs="Times New Roman"/>
          <w:sz w:val="20"/>
          <w:szCs w:val="20"/>
          <w:lang w:val="de-DE"/>
        </w:rPr>
        <w:t>(</w:t>
      </w:r>
      <w:r w:rsidR="00B6272B" w:rsidRPr="004D3CB3">
        <w:rPr>
          <w:rFonts w:ascii="Times New Roman" w:hAnsi="Times New Roman" w:cs="Times New Roman"/>
          <w:sz w:val="20"/>
          <w:szCs w:val="20"/>
          <w:lang w:val="de-DE"/>
        </w:rPr>
        <w:t>2004</w:t>
      </w:r>
      <w:r w:rsidRPr="004D3CB3">
        <w:rPr>
          <w:rFonts w:ascii="Times New Roman" w:hAnsi="Times New Roman" w:cs="Times New Roman"/>
          <w:sz w:val="20"/>
          <w:szCs w:val="20"/>
          <w:lang w:val="de-DE"/>
        </w:rPr>
        <w:t xml:space="preserve">). </w:t>
      </w:r>
      <w:r w:rsidRPr="004D3CB3">
        <w:rPr>
          <w:rFonts w:ascii="Times New Roman" w:hAnsi="Times New Roman" w:cs="Times New Roman"/>
          <w:i/>
          <w:sz w:val="20"/>
          <w:szCs w:val="20"/>
          <w:lang w:val="de-DE"/>
        </w:rPr>
        <w:t>Tödlicher irrtum – die g</w:t>
      </w:r>
      <w:r w:rsidR="00B6272B" w:rsidRPr="004D3CB3">
        <w:rPr>
          <w:rFonts w:ascii="Times New Roman" w:hAnsi="Times New Roman" w:cs="Times New Roman"/>
          <w:i/>
          <w:sz w:val="20"/>
          <w:szCs w:val="20"/>
          <w:lang w:val="de-DE"/>
        </w:rPr>
        <w:t>eschichte der RAF</w:t>
      </w:r>
      <w:r w:rsidR="00B6272B" w:rsidRPr="004D3CB3">
        <w:rPr>
          <w:rFonts w:ascii="Times New Roman" w:hAnsi="Times New Roman" w:cs="Times New Roman"/>
          <w:sz w:val="20"/>
          <w:szCs w:val="20"/>
          <w:lang w:val="de-DE"/>
        </w:rPr>
        <w:t xml:space="preserve">. </w:t>
      </w:r>
      <w:r w:rsidRPr="004D3CB3">
        <w:rPr>
          <w:rFonts w:ascii="Times New Roman" w:hAnsi="Times New Roman" w:cs="Times New Roman"/>
          <w:sz w:val="20"/>
          <w:szCs w:val="20"/>
          <w:lang w:val="de-DE"/>
        </w:rPr>
        <w:t>Frankfurt am Main, S. Fischer Verlag GmbH</w:t>
      </w:r>
      <w:r w:rsidR="00B6272B" w:rsidRPr="004D3CB3">
        <w:rPr>
          <w:rFonts w:ascii="Times New Roman" w:hAnsi="Times New Roman" w:cs="Times New Roman"/>
          <w:sz w:val="20"/>
          <w:szCs w:val="20"/>
          <w:lang w:val="de-DE"/>
        </w:rPr>
        <w:t>.</w:t>
      </w:r>
    </w:p>
    <w:p w:rsidR="0042390E" w:rsidRPr="004D3CB3" w:rsidRDefault="00875F15" w:rsidP="0040227B">
      <w:pPr>
        <w:spacing w:after="0" w:line="240" w:lineRule="auto"/>
        <w:ind w:left="720" w:hanging="720"/>
        <w:jc w:val="both"/>
        <w:rPr>
          <w:rFonts w:ascii="Times New Roman" w:hAnsi="Times New Roman" w:cs="Times New Roman"/>
          <w:sz w:val="20"/>
          <w:szCs w:val="20"/>
        </w:rPr>
      </w:pPr>
      <w:r w:rsidRPr="004D3CB3">
        <w:rPr>
          <w:rFonts w:ascii="Times New Roman" w:hAnsi="Times New Roman" w:cs="Times New Roman"/>
          <w:sz w:val="20"/>
          <w:szCs w:val="20"/>
        </w:rPr>
        <w:t>Phillips, P</w:t>
      </w:r>
      <w:r w:rsidR="00950D8E" w:rsidRPr="004D3CB3">
        <w:rPr>
          <w:rFonts w:ascii="Times New Roman" w:hAnsi="Times New Roman" w:cs="Times New Roman"/>
          <w:sz w:val="20"/>
          <w:szCs w:val="20"/>
        </w:rPr>
        <w:t xml:space="preserve">eter </w:t>
      </w:r>
      <w:r w:rsidRPr="004D3CB3">
        <w:rPr>
          <w:rFonts w:ascii="Times New Roman" w:hAnsi="Times New Roman" w:cs="Times New Roman"/>
          <w:sz w:val="20"/>
          <w:szCs w:val="20"/>
        </w:rPr>
        <w:t>J.</w:t>
      </w:r>
      <w:r w:rsidR="0042390E" w:rsidRPr="004D3CB3">
        <w:rPr>
          <w:rFonts w:ascii="Times New Roman" w:hAnsi="Times New Roman" w:cs="Times New Roman"/>
          <w:sz w:val="20"/>
          <w:szCs w:val="20"/>
        </w:rPr>
        <w:t xml:space="preserve"> </w:t>
      </w:r>
      <w:r w:rsidR="00950D8E" w:rsidRPr="004D3CB3">
        <w:rPr>
          <w:rFonts w:ascii="Times New Roman" w:hAnsi="Times New Roman" w:cs="Times New Roman"/>
          <w:sz w:val="20"/>
          <w:szCs w:val="20"/>
        </w:rPr>
        <w:t>(</w:t>
      </w:r>
      <w:r w:rsidR="0042390E" w:rsidRPr="004D3CB3">
        <w:rPr>
          <w:rFonts w:ascii="Times New Roman" w:hAnsi="Times New Roman" w:cs="Times New Roman"/>
          <w:sz w:val="20"/>
          <w:szCs w:val="20"/>
        </w:rPr>
        <w:t>2009</w:t>
      </w:r>
      <w:r w:rsidR="00950D8E" w:rsidRPr="004D3CB3">
        <w:rPr>
          <w:rFonts w:ascii="Times New Roman" w:hAnsi="Times New Roman" w:cs="Times New Roman"/>
          <w:sz w:val="20"/>
          <w:szCs w:val="20"/>
        </w:rPr>
        <w:t>). Applying portfolio theory to the analysis of terrorism: computing the set of attack method combinations from which the rational terrorist group will choose in order to m</w:t>
      </w:r>
      <w:r w:rsidR="0042390E" w:rsidRPr="004D3CB3">
        <w:rPr>
          <w:rFonts w:ascii="Times New Roman" w:hAnsi="Times New Roman" w:cs="Times New Roman"/>
          <w:sz w:val="20"/>
          <w:szCs w:val="20"/>
        </w:rPr>
        <w:t>ax</w:t>
      </w:r>
      <w:r w:rsidR="00950D8E" w:rsidRPr="004D3CB3">
        <w:rPr>
          <w:rFonts w:ascii="Times New Roman" w:hAnsi="Times New Roman" w:cs="Times New Roman"/>
          <w:sz w:val="20"/>
          <w:szCs w:val="20"/>
        </w:rPr>
        <w:t>imise injuries and f</w:t>
      </w:r>
      <w:r w:rsidRPr="004D3CB3">
        <w:rPr>
          <w:rFonts w:ascii="Times New Roman" w:hAnsi="Times New Roman" w:cs="Times New Roman"/>
          <w:sz w:val="20"/>
          <w:szCs w:val="20"/>
        </w:rPr>
        <w:t>atalities.</w:t>
      </w:r>
      <w:r w:rsidR="00950D8E" w:rsidRPr="004D3CB3">
        <w:rPr>
          <w:rFonts w:ascii="Times New Roman" w:hAnsi="Times New Roman" w:cs="Times New Roman"/>
          <w:sz w:val="20"/>
          <w:szCs w:val="20"/>
        </w:rPr>
        <w:t xml:space="preserve"> </w:t>
      </w:r>
      <w:r w:rsidR="00950D8E" w:rsidRPr="004D3CB3">
        <w:rPr>
          <w:rFonts w:ascii="Times New Roman" w:hAnsi="Times New Roman" w:cs="Times New Roman"/>
          <w:i/>
          <w:sz w:val="20"/>
          <w:szCs w:val="20"/>
        </w:rPr>
        <w:t>Defence and Peace Economics</w:t>
      </w:r>
      <w:r w:rsidR="00950D8E" w:rsidRPr="004D3CB3">
        <w:rPr>
          <w:rFonts w:ascii="Times New Roman" w:hAnsi="Times New Roman" w:cs="Times New Roman"/>
          <w:sz w:val="20"/>
          <w:szCs w:val="20"/>
        </w:rPr>
        <w:t xml:space="preserve"> 20:</w:t>
      </w:r>
      <w:r w:rsidR="0042390E" w:rsidRPr="004D3CB3">
        <w:rPr>
          <w:rFonts w:ascii="Times New Roman" w:hAnsi="Times New Roman" w:cs="Times New Roman"/>
          <w:sz w:val="20"/>
          <w:szCs w:val="20"/>
        </w:rPr>
        <w:t xml:space="preserve"> 193-213.</w:t>
      </w:r>
    </w:p>
    <w:p w:rsidR="0042390E" w:rsidRPr="004D3CB3" w:rsidRDefault="00950D8E" w:rsidP="0040227B">
      <w:pPr>
        <w:spacing w:after="0" w:line="240" w:lineRule="auto"/>
        <w:ind w:left="720" w:hanging="720"/>
        <w:jc w:val="both"/>
        <w:rPr>
          <w:rFonts w:ascii="Times New Roman" w:hAnsi="Times New Roman" w:cs="Times New Roman"/>
          <w:sz w:val="20"/>
          <w:szCs w:val="20"/>
        </w:rPr>
      </w:pPr>
      <w:r w:rsidRPr="004D3CB3">
        <w:rPr>
          <w:rFonts w:ascii="Times New Roman" w:hAnsi="Times New Roman" w:cs="Times New Roman"/>
          <w:sz w:val="20"/>
          <w:szCs w:val="20"/>
        </w:rPr>
        <w:t xml:space="preserve">Phillips, Peter </w:t>
      </w:r>
      <w:r w:rsidR="00875F15" w:rsidRPr="004D3CB3">
        <w:rPr>
          <w:rFonts w:ascii="Times New Roman" w:hAnsi="Times New Roman" w:cs="Times New Roman"/>
          <w:sz w:val="20"/>
          <w:szCs w:val="20"/>
        </w:rPr>
        <w:t xml:space="preserve">J. </w:t>
      </w:r>
      <w:r w:rsidRPr="004D3CB3">
        <w:rPr>
          <w:rFonts w:ascii="Times New Roman" w:hAnsi="Times New Roman" w:cs="Times New Roman"/>
          <w:sz w:val="20"/>
          <w:szCs w:val="20"/>
        </w:rPr>
        <w:t>(</w:t>
      </w:r>
      <w:r w:rsidR="00875F15" w:rsidRPr="004D3CB3">
        <w:rPr>
          <w:rFonts w:ascii="Times New Roman" w:hAnsi="Times New Roman" w:cs="Times New Roman"/>
          <w:sz w:val="20"/>
          <w:szCs w:val="20"/>
        </w:rPr>
        <w:t>2011</w:t>
      </w:r>
      <w:r w:rsidRPr="004D3CB3">
        <w:rPr>
          <w:rFonts w:ascii="Times New Roman" w:hAnsi="Times New Roman" w:cs="Times New Roman"/>
          <w:sz w:val="20"/>
          <w:szCs w:val="20"/>
        </w:rPr>
        <w:t xml:space="preserve">). </w:t>
      </w:r>
      <w:proofErr w:type="gramStart"/>
      <w:r w:rsidRPr="004D3CB3">
        <w:rPr>
          <w:rFonts w:ascii="Times New Roman" w:hAnsi="Times New Roman" w:cs="Times New Roman"/>
          <w:sz w:val="20"/>
          <w:szCs w:val="20"/>
        </w:rPr>
        <w:t>Lone wolf t</w:t>
      </w:r>
      <w:r w:rsidR="00875F15" w:rsidRPr="004D3CB3">
        <w:rPr>
          <w:rFonts w:ascii="Times New Roman" w:hAnsi="Times New Roman" w:cs="Times New Roman"/>
          <w:sz w:val="20"/>
          <w:szCs w:val="20"/>
        </w:rPr>
        <w:t>errorism.</w:t>
      </w:r>
      <w:proofErr w:type="gramEnd"/>
      <w:r w:rsidR="0042390E" w:rsidRPr="004D3CB3">
        <w:rPr>
          <w:rFonts w:ascii="Times New Roman" w:hAnsi="Times New Roman" w:cs="Times New Roman"/>
          <w:sz w:val="20"/>
          <w:szCs w:val="20"/>
        </w:rPr>
        <w:t xml:space="preserve"> </w:t>
      </w:r>
      <w:r w:rsidR="0042390E" w:rsidRPr="004D3CB3">
        <w:rPr>
          <w:rFonts w:ascii="Times New Roman" w:hAnsi="Times New Roman" w:cs="Times New Roman"/>
          <w:i/>
          <w:sz w:val="20"/>
          <w:szCs w:val="20"/>
        </w:rPr>
        <w:t xml:space="preserve">Peace Economics, </w:t>
      </w:r>
      <w:r w:rsidRPr="004D3CB3">
        <w:rPr>
          <w:rFonts w:ascii="Times New Roman" w:hAnsi="Times New Roman" w:cs="Times New Roman"/>
          <w:i/>
          <w:sz w:val="20"/>
          <w:szCs w:val="20"/>
        </w:rPr>
        <w:t>Peace Science and Public Policy</w:t>
      </w:r>
      <w:r w:rsidR="0042390E" w:rsidRPr="004D3CB3">
        <w:rPr>
          <w:rFonts w:ascii="Times New Roman" w:hAnsi="Times New Roman" w:cs="Times New Roman"/>
          <w:sz w:val="20"/>
          <w:szCs w:val="20"/>
        </w:rPr>
        <w:t xml:space="preserve"> 17, Issue 1, Article 1.  </w:t>
      </w:r>
    </w:p>
    <w:p w:rsidR="004D2010" w:rsidRDefault="004D2010" w:rsidP="0040227B">
      <w:pPr>
        <w:spacing w:after="0" w:line="240" w:lineRule="auto"/>
        <w:ind w:left="720" w:hanging="720"/>
        <w:jc w:val="both"/>
        <w:rPr>
          <w:rFonts w:ascii="Times New Roman" w:hAnsi="Times New Roman" w:cs="Times New Roman"/>
          <w:sz w:val="20"/>
          <w:szCs w:val="20"/>
        </w:rPr>
      </w:pPr>
      <w:r w:rsidRPr="004D3CB3">
        <w:rPr>
          <w:rFonts w:ascii="Times New Roman" w:hAnsi="Times New Roman" w:cs="Times New Roman"/>
          <w:sz w:val="20"/>
          <w:szCs w:val="20"/>
        </w:rPr>
        <w:t>Phillips, P</w:t>
      </w:r>
      <w:r w:rsidR="00950D8E" w:rsidRPr="004D3CB3">
        <w:rPr>
          <w:rFonts w:ascii="Times New Roman" w:hAnsi="Times New Roman" w:cs="Times New Roman"/>
          <w:sz w:val="20"/>
          <w:szCs w:val="20"/>
        </w:rPr>
        <w:t xml:space="preserve">eter </w:t>
      </w:r>
      <w:r w:rsidRPr="004D3CB3">
        <w:rPr>
          <w:rFonts w:ascii="Times New Roman" w:hAnsi="Times New Roman" w:cs="Times New Roman"/>
          <w:sz w:val="20"/>
          <w:szCs w:val="20"/>
        </w:rPr>
        <w:t xml:space="preserve">J. </w:t>
      </w:r>
      <w:r w:rsidR="00950D8E" w:rsidRPr="004D3CB3">
        <w:rPr>
          <w:rFonts w:ascii="Times New Roman" w:hAnsi="Times New Roman" w:cs="Times New Roman"/>
          <w:sz w:val="20"/>
          <w:szCs w:val="20"/>
        </w:rPr>
        <w:t>(</w:t>
      </w:r>
      <w:r w:rsidRPr="004D3CB3">
        <w:rPr>
          <w:rFonts w:ascii="Times New Roman" w:hAnsi="Times New Roman" w:cs="Times New Roman"/>
          <w:sz w:val="20"/>
          <w:szCs w:val="20"/>
        </w:rPr>
        <w:t>2013</w:t>
      </w:r>
      <w:r w:rsidR="00950D8E" w:rsidRPr="004D3CB3">
        <w:rPr>
          <w:rFonts w:ascii="Times New Roman" w:hAnsi="Times New Roman" w:cs="Times New Roman"/>
          <w:sz w:val="20"/>
          <w:szCs w:val="20"/>
        </w:rPr>
        <w:t xml:space="preserve">). </w:t>
      </w:r>
      <w:r w:rsidR="00950D8E" w:rsidRPr="004D3CB3">
        <w:rPr>
          <w:rFonts w:ascii="Times New Roman" w:hAnsi="Times New Roman" w:cs="Times New Roman"/>
          <w:i/>
          <w:sz w:val="20"/>
          <w:szCs w:val="20"/>
        </w:rPr>
        <w:t>In pursuit of the lone wolf terrorist: i</w:t>
      </w:r>
      <w:r w:rsidRPr="004D3CB3">
        <w:rPr>
          <w:rFonts w:ascii="Times New Roman" w:hAnsi="Times New Roman" w:cs="Times New Roman"/>
          <w:i/>
          <w:sz w:val="20"/>
          <w:szCs w:val="20"/>
        </w:rPr>
        <w:t>nvestigativ</w:t>
      </w:r>
      <w:r w:rsidR="00950D8E" w:rsidRPr="004D3CB3">
        <w:rPr>
          <w:rFonts w:ascii="Times New Roman" w:hAnsi="Times New Roman" w:cs="Times New Roman"/>
          <w:i/>
          <w:sz w:val="20"/>
          <w:szCs w:val="20"/>
        </w:rPr>
        <w:t>e economics and new horizons for the economic analysis of t</w:t>
      </w:r>
      <w:r w:rsidRPr="004D3CB3">
        <w:rPr>
          <w:rFonts w:ascii="Times New Roman" w:hAnsi="Times New Roman" w:cs="Times New Roman"/>
          <w:i/>
          <w:sz w:val="20"/>
          <w:szCs w:val="20"/>
        </w:rPr>
        <w:t>errorism</w:t>
      </w:r>
      <w:r w:rsidR="00950D8E" w:rsidRPr="004D3CB3">
        <w:rPr>
          <w:rFonts w:ascii="Times New Roman" w:hAnsi="Times New Roman" w:cs="Times New Roman"/>
          <w:sz w:val="20"/>
          <w:szCs w:val="20"/>
        </w:rPr>
        <w:t xml:space="preserve">. </w:t>
      </w:r>
      <w:proofErr w:type="gramStart"/>
      <w:r w:rsidR="00950D8E" w:rsidRPr="004D3CB3">
        <w:rPr>
          <w:rFonts w:ascii="Times New Roman" w:hAnsi="Times New Roman" w:cs="Times New Roman"/>
          <w:sz w:val="20"/>
          <w:szCs w:val="20"/>
        </w:rPr>
        <w:t>New York, NY, Nova Science Publishers</w:t>
      </w:r>
      <w:r w:rsidRPr="004D3CB3">
        <w:rPr>
          <w:rFonts w:ascii="Times New Roman" w:hAnsi="Times New Roman" w:cs="Times New Roman"/>
          <w:sz w:val="20"/>
          <w:szCs w:val="20"/>
        </w:rPr>
        <w:t>.</w:t>
      </w:r>
      <w:proofErr w:type="gramEnd"/>
      <w:r w:rsidRPr="004D3CB3">
        <w:rPr>
          <w:rFonts w:ascii="Times New Roman" w:hAnsi="Times New Roman" w:cs="Times New Roman"/>
          <w:sz w:val="20"/>
          <w:szCs w:val="20"/>
        </w:rPr>
        <w:t xml:space="preserve"> </w:t>
      </w:r>
    </w:p>
    <w:p w:rsidR="00C0421E" w:rsidRPr="004D3CB3" w:rsidRDefault="00C0421E" w:rsidP="0040227B">
      <w:pPr>
        <w:spacing w:after="0" w:line="240" w:lineRule="auto"/>
        <w:ind w:left="720" w:hanging="720"/>
        <w:jc w:val="both"/>
        <w:rPr>
          <w:rFonts w:ascii="Times New Roman" w:hAnsi="Times New Roman" w:cs="Times New Roman"/>
          <w:sz w:val="20"/>
          <w:szCs w:val="20"/>
        </w:rPr>
      </w:pPr>
      <w:proofErr w:type="gramStart"/>
      <w:r>
        <w:rPr>
          <w:rFonts w:ascii="Times New Roman" w:hAnsi="Times New Roman" w:cs="Times New Roman"/>
          <w:sz w:val="20"/>
          <w:szCs w:val="20"/>
        </w:rPr>
        <w:t>Phillips, Peter J. and Gabriela Pohl (2012).</w:t>
      </w:r>
      <w:proofErr w:type="gramEnd"/>
      <w:r>
        <w:rPr>
          <w:rFonts w:ascii="Times New Roman" w:hAnsi="Times New Roman" w:cs="Times New Roman"/>
          <w:sz w:val="20"/>
          <w:szCs w:val="20"/>
        </w:rPr>
        <w:t xml:space="preserve"> Economic profiling of the lone wolf terrorist: can economics provide behavioural investigative advice? </w:t>
      </w:r>
      <w:r w:rsidRPr="00C0421E">
        <w:rPr>
          <w:rFonts w:ascii="Times New Roman" w:hAnsi="Times New Roman" w:cs="Times New Roman"/>
          <w:i/>
          <w:sz w:val="20"/>
          <w:szCs w:val="20"/>
        </w:rPr>
        <w:t>Journal of Applied Security Research</w:t>
      </w:r>
      <w:r>
        <w:rPr>
          <w:rFonts w:ascii="Times New Roman" w:hAnsi="Times New Roman" w:cs="Times New Roman"/>
          <w:sz w:val="20"/>
          <w:szCs w:val="20"/>
        </w:rPr>
        <w:t xml:space="preserve"> 7: 151-177.</w:t>
      </w:r>
    </w:p>
    <w:p w:rsidR="0042390E" w:rsidRPr="004D3CB3" w:rsidRDefault="0042390E" w:rsidP="0040227B">
      <w:pPr>
        <w:spacing w:after="0" w:line="240" w:lineRule="auto"/>
        <w:ind w:left="720" w:hanging="720"/>
        <w:jc w:val="both"/>
        <w:rPr>
          <w:rFonts w:ascii="Times New Roman" w:hAnsi="Times New Roman" w:cs="Times New Roman"/>
          <w:sz w:val="20"/>
          <w:szCs w:val="20"/>
        </w:rPr>
      </w:pPr>
      <w:proofErr w:type="spellStart"/>
      <w:r w:rsidRPr="004D3CB3">
        <w:rPr>
          <w:rFonts w:ascii="Times New Roman" w:hAnsi="Times New Roman" w:cs="Times New Roman"/>
          <w:sz w:val="20"/>
          <w:szCs w:val="20"/>
        </w:rPr>
        <w:t>Robertz</w:t>
      </w:r>
      <w:proofErr w:type="spellEnd"/>
      <w:r w:rsidR="00950D8E" w:rsidRPr="004D3CB3">
        <w:rPr>
          <w:rFonts w:ascii="Times New Roman" w:hAnsi="Times New Roman" w:cs="Times New Roman"/>
          <w:sz w:val="20"/>
          <w:szCs w:val="20"/>
        </w:rPr>
        <w:t>, Frank J. (</w:t>
      </w:r>
      <w:r w:rsidR="00875F15" w:rsidRPr="004D3CB3">
        <w:rPr>
          <w:rFonts w:ascii="Times New Roman" w:hAnsi="Times New Roman" w:cs="Times New Roman"/>
          <w:sz w:val="20"/>
          <w:szCs w:val="20"/>
        </w:rPr>
        <w:t>2007</w:t>
      </w:r>
      <w:r w:rsidR="00950D8E" w:rsidRPr="004D3CB3">
        <w:rPr>
          <w:rFonts w:ascii="Times New Roman" w:hAnsi="Times New Roman" w:cs="Times New Roman"/>
          <w:sz w:val="20"/>
          <w:szCs w:val="20"/>
        </w:rPr>
        <w:t xml:space="preserve">). </w:t>
      </w:r>
      <w:proofErr w:type="gramStart"/>
      <w:r w:rsidR="00950D8E" w:rsidRPr="004D3CB3">
        <w:rPr>
          <w:rFonts w:ascii="Times New Roman" w:hAnsi="Times New Roman" w:cs="Times New Roman"/>
          <w:sz w:val="20"/>
          <w:szCs w:val="20"/>
        </w:rPr>
        <w:t>Deadly d</w:t>
      </w:r>
      <w:r w:rsidR="00875F15" w:rsidRPr="004D3CB3">
        <w:rPr>
          <w:rFonts w:ascii="Times New Roman" w:hAnsi="Times New Roman" w:cs="Times New Roman"/>
          <w:sz w:val="20"/>
          <w:szCs w:val="20"/>
        </w:rPr>
        <w:t>reams.</w:t>
      </w:r>
      <w:proofErr w:type="gramEnd"/>
      <w:r w:rsidR="00950D8E" w:rsidRPr="004D3CB3">
        <w:rPr>
          <w:rFonts w:ascii="Times New Roman" w:hAnsi="Times New Roman" w:cs="Times New Roman"/>
          <w:sz w:val="20"/>
          <w:szCs w:val="20"/>
        </w:rPr>
        <w:t xml:space="preserve"> </w:t>
      </w:r>
      <w:r w:rsidR="00950D8E" w:rsidRPr="004D3CB3">
        <w:rPr>
          <w:rFonts w:ascii="Times New Roman" w:hAnsi="Times New Roman" w:cs="Times New Roman"/>
          <w:i/>
          <w:sz w:val="20"/>
          <w:szCs w:val="20"/>
        </w:rPr>
        <w:t>Scientific American Mind</w:t>
      </w:r>
      <w:r w:rsidR="00950D8E" w:rsidRPr="004D3CB3">
        <w:rPr>
          <w:rFonts w:ascii="Times New Roman" w:hAnsi="Times New Roman" w:cs="Times New Roman"/>
          <w:sz w:val="20"/>
          <w:szCs w:val="20"/>
        </w:rPr>
        <w:t xml:space="preserve"> 18:</w:t>
      </w:r>
      <w:r w:rsidRPr="004D3CB3">
        <w:rPr>
          <w:rFonts w:ascii="Times New Roman" w:hAnsi="Times New Roman" w:cs="Times New Roman"/>
          <w:sz w:val="20"/>
          <w:szCs w:val="20"/>
        </w:rPr>
        <w:t xml:space="preserve"> 52-59. </w:t>
      </w:r>
    </w:p>
    <w:p w:rsidR="0042390E" w:rsidRPr="004D3CB3" w:rsidRDefault="00950D8E" w:rsidP="0040227B">
      <w:pPr>
        <w:spacing w:after="0" w:line="240" w:lineRule="auto"/>
        <w:ind w:left="720" w:hanging="720"/>
        <w:jc w:val="both"/>
        <w:rPr>
          <w:rFonts w:ascii="Times New Roman" w:hAnsi="Times New Roman" w:cs="Times New Roman"/>
          <w:sz w:val="20"/>
          <w:szCs w:val="20"/>
        </w:rPr>
      </w:pPr>
      <w:r w:rsidRPr="004D3CB3">
        <w:rPr>
          <w:rFonts w:ascii="Times New Roman" w:hAnsi="Times New Roman" w:cs="Times New Roman"/>
          <w:sz w:val="20"/>
          <w:szCs w:val="20"/>
        </w:rPr>
        <w:t>Sandler, Todd</w:t>
      </w:r>
      <w:r w:rsidR="00875F15" w:rsidRPr="004D3CB3">
        <w:rPr>
          <w:rFonts w:ascii="Times New Roman" w:hAnsi="Times New Roman" w:cs="Times New Roman"/>
          <w:sz w:val="20"/>
          <w:szCs w:val="20"/>
        </w:rPr>
        <w:t xml:space="preserve"> </w:t>
      </w:r>
      <w:r w:rsidRPr="004D3CB3">
        <w:rPr>
          <w:rFonts w:ascii="Times New Roman" w:hAnsi="Times New Roman" w:cs="Times New Roman"/>
          <w:sz w:val="20"/>
          <w:szCs w:val="20"/>
        </w:rPr>
        <w:t>(</w:t>
      </w:r>
      <w:r w:rsidR="00875F15" w:rsidRPr="004D3CB3">
        <w:rPr>
          <w:rFonts w:ascii="Times New Roman" w:hAnsi="Times New Roman" w:cs="Times New Roman"/>
          <w:sz w:val="20"/>
          <w:szCs w:val="20"/>
        </w:rPr>
        <w:t>2011</w:t>
      </w:r>
      <w:r w:rsidRPr="004D3CB3">
        <w:rPr>
          <w:rFonts w:ascii="Times New Roman" w:hAnsi="Times New Roman" w:cs="Times New Roman"/>
          <w:sz w:val="20"/>
          <w:szCs w:val="20"/>
        </w:rPr>
        <w:t>)</w:t>
      </w:r>
      <w:r w:rsidR="00875F15" w:rsidRPr="004D3CB3">
        <w:rPr>
          <w:rFonts w:ascii="Times New Roman" w:hAnsi="Times New Roman" w:cs="Times New Roman"/>
          <w:sz w:val="20"/>
          <w:szCs w:val="20"/>
        </w:rPr>
        <w:t>.</w:t>
      </w:r>
      <w:r w:rsidRPr="004D3CB3">
        <w:rPr>
          <w:rFonts w:ascii="Times New Roman" w:hAnsi="Times New Roman" w:cs="Times New Roman"/>
          <w:sz w:val="20"/>
          <w:szCs w:val="20"/>
        </w:rPr>
        <w:t xml:space="preserve"> New frontiers of t</w:t>
      </w:r>
      <w:r w:rsidR="0042390E" w:rsidRPr="004D3CB3">
        <w:rPr>
          <w:rFonts w:ascii="Times New Roman" w:hAnsi="Times New Roman" w:cs="Times New Roman"/>
          <w:sz w:val="20"/>
          <w:szCs w:val="20"/>
        </w:rPr>
        <w:t>err</w:t>
      </w:r>
      <w:r w:rsidRPr="004D3CB3">
        <w:rPr>
          <w:rFonts w:ascii="Times New Roman" w:hAnsi="Times New Roman" w:cs="Times New Roman"/>
          <w:sz w:val="20"/>
          <w:szCs w:val="20"/>
        </w:rPr>
        <w:t>orism research: an i</w:t>
      </w:r>
      <w:r w:rsidR="00875F15" w:rsidRPr="004D3CB3">
        <w:rPr>
          <w:rFonts w:ascii="Times New Roman" w:hAnsi="Times New Roman" w:cs="Times New Roman"/>
          <w:sz w:val="20"/>
          <w:szCs w:val="20"/>
        </w:rPr>
        <w:t>ntroduction.</w:t>
      </w:r>
      <w:r w:rsidRPr="004D3CB3">
        <w:rPr>
          <w:rFonts w:ascii="Times New Roman" w:hAnsi="Times New Roman" w:cs="Times New Roman"/>
          <w:sz w:val="20"/>
          <w:szCs w:val="20"/>
        </w:rPr>
        <w:t xml:space="preserve"> </w:t>
      </w:r>
      <w:r w:rsidRPr="004D3CB3">
        <w:rPr>
          <w:rFonts w:ascii="Times New Roman" w:hAnsi="Times New Roman" w:cs="Times New Roman"/>
          <w:i/>
          <w:sz w:val="20"/>
          <w:szCs w:val="20"/>
        </w:rPr>
        <w:t>Journal of Peace Research</w:t>
      </w:r>
      <w:r w:rsidRPr="004D3CB3">
        <w:rPr>
          <w:rFonts w:ascii="Times New Roman" w:hAnsi="Times New Roman" w:cs="Times New Roman"/>
          <w:sz w:val="20"/>
          <w:szCs w:val="20"/>
        </w:rPr>
        <w:t xml:space="preserve"> 48:</w:t>
      </w:r>
      <w:r w:rsidR="0042390E" w:rsidRPr="004D3CB3">
        <w:rPr>
          <w:rFonts w:ascii="Times New Roman" w:hAnsi="Times New Roman" w:cs="Times New Roman"/>
          <w:sz w:val="20"/>
          <w:szCs w:val="20"/>
        </w:rPr>
        <w:t xml:space="preserve"> 279-286.</w:t>
      </w:r>
    </w:p>
    <w:p w:rsidR="0042390E" w:rsidRPr="004D3CB3" w:rsidRDefault="0042390E" w:rsidP="0040227B">
      <w:pPr>
        <w:spacing w:after="0" w:line="240" w:lineRule="auto"/>
        <w:ind w:left="720" w:hanging="720"/>
        <w:jc w:val="both"/>
        <w:rPr>
          <w:rFonts w:ascii="Times New Roman" w:hAnsi="Times New Roman" w:cs="Times New Roman"/>
          <w:sz w:val="20"/>
          <w:szCs w:val="20"/>
        </w:rPr>
      </w:pPr>
      <w:proofErr w:type="gramStart"/>
      <w:r w:rsidRPr="004D3CB3">
        <w:rPr>
          <w:rFonts w:ascii="Times New Roman" w:hAnsi="Times New Roman" w:cs="Times New Roman"/>
          <w:sz w:val="20"/>
          <w:szCs w:val="20"/>
        </w:rPr>
        <w:t>San</w:t>
      </w:r>
      <w:r w:rsidR="00950D8E" w:rsidRPr="004D3CB3">
        <w:rPr>
          <w:rFonts w:ascii="Times New Roman" w:hAnsi="Times New Roman" w:cs="Times New Roman"/>
          <w:sz w:val="20"/>
          <w:szCs w:val="20"/>
        </w:rPr>
        <w:t>dler, Todd</w:t>
      </w:r>
      <w:r w:rsidR="00875F15" w:rsidRPr="004D3CB3">
        <w:rPr>
          <w:rFonts w:ascii="Times New Roman" w:hAnsi="Times New Roman" w:cs="Times New Roman"/>
          <w:sz w:val="20"/>
          <w:szCs w:val="20"/>
        </w:rPr>
        <w:t xml:space="preserve"> and </w:t>
      </w:r>
      <w:r w:rsidR="00950D8E" w:rsidRPr="004D3CB3">
        <w:rPr>
          <w:rFonts w:ascii="Times New Roman" w:hAnsi="Times New Roman" w:cs="Times New Roman"/>
          <w:sz w:val="20"/>
          <w:szCs w:val="20"/>
        </w:rPr>
        <w:t>John L. Scott (</w:t>
      </w:r>
      <w:r w:rsidR="00875F15" w:rsidRPr="004D3CB3">
        <w:rPr>
          <w:rFonts w:ascii="Times New Roman" w:hAnsi="Times New Roman" w:cs="Times New Roman"/>
          <w:sz w:val="20"/>
          <w:szCs w:val="20"/>
        </w:rPr>
        <w:t>1987</w:t>
      </w:r>
      <w:r w:rsidR="00950D8E" w:rsidRPr="004D3CB3">
        <w:rPr>
          <w:rFonts w:ascii="Times New Roman" w:hAnsi="Times New Roman" w:cs="Times New Roman"/>
          <w:sz w:val="20"/>
          <w:szCs w:val="20"/>
        </w:rPr>
        <w:t>)</w:t>
      </w:r>
      <w:r w:rsidR="00875F15" w:rsidRPr="004D3CB3">
        <w:rPr>
          <w:rFonts w:ascii="Times New Roman" w:hAnsi="Times New Roman" w:cs="Times New Roman"/>
          <w:sz w:val="20"/>
          <w:szCs w:val="20"/>
        </w:rPr>
        <w:t>.</w:t>
      </w:r>
      <w:proofErr w:type="gramEnd"/>
      <w:r w:rsidR="00950D8E" w:rsidRPr="004D3CB3">
        <w:rPr>
          <w:rFonts w:ascii="Times New Roman" w:hAnsi="Times New Roman" w:cs="Times New Roman"/>
          <w:sz w:val="20"/>
          <w:szCs w:val="20"/>
        </w:rPr>
        <w:t xml:space="preserve"> Terrorist success in hostage-taking i</w:t>
      </w:r>
      <w:r w:rsidRPr="004D3CB3">
        <w:rPr>
          <w:rFonts w:ascii="Times New Roman" w:hAnsi="Times New Roman" w:cs="Times New Roman"/>
          <w:sz w:val="20"/>
          <w:szCs w:val="20"/>
        </w:rPr>
        <w:t>n</w:t>
      </w:r>
      <w:r w:rsidR="00950D8E" w:rsidRPr="004D3CB3">
        <w:rPr>
          <w:rFonts w:ascii="Times New Roman" w:hAnsi="Times New Roman" w:cs="Times New Roman"/>
          <w:sz w:val="20"/>
          <w:szCs w:val="20"/>
        </w:rPr>
        <w:t>cidents: an empirical s</w:t>
      </w:r>
      <w:r w:rsidR="00875F15" w:rsidRPr="004D3CB3">
        <w:rPr>
          <w:rFonts w:ascii="Times New Roman" w:hAnsi="Times New Roman" w:cs="Times New Roman"/>
          <w:sz w:val="20"/>
          <w:szCs w:val="20"/>
        </w:rPr>
        <w:t>tudy.</w:t>
      </w:r>
      <w:r w:rsidR="00950D8E" w:rsidRPr="004D3CB3">
        <w:rPr>
          <w:rFonts w:ascii="Times New Roman" w:hAnsi="Times New Roman" w:cs="Times New Roman"/>
          <w:sz w:val="20"/>
          <w:szCs w:val="20"/>
        </w:rPr>
        <w:t xml:space="preserve"> </w:t>
      </w:r>
      <w:r w:rsidR="00950D8E" w:rsidRPr="004D3CB3">
        <w:rPr>
          <w:rFonts w:ascii="Times New Roman" w:hAnsi="Times New Roman" w:cs="Times New Roman"/>
          <w:i/>
          <w:sz w:val="20"/>
          <w:szCs w:val="20"/>
        </w:rPr>
        <w:t>Journal of Conflict Resolution</w:t>
      </w:r>
      <w:r w:rsidR="00950D8E" w:rsidRPr="004D3CB3">
        <w:rPr>
          <w:rFonts w:ascii="Times New Roman" w:hAnsi="Times New Roman" w:cs="Times New Roman"/>
          <w:sz w:val="20"/>
          <w:szCs w:val="20"/>
        </w:rPr>
        <w:t xml:space="preserve"> 31:</w:t>
      </w:r>
      <w:r w:rsidRPr="004D3CB3">
        <w:rPr>
          <w:rFonts w:ascii="Times New Roman" w:hAnsi="Times New Roman" w:cs="Times New Roman"/>
          <w:sz w:val="20"/>
          <w:szCs w:val="20"/>
        </w:rPr>
        <w:t xml:space="preserve"> 35-53. </w:t>
      </w:r>
    </w:p>
    <w:p w:rsidR="00CB7007" w:rsidRPr="004D3CB3" w:rsidRDefault="00875F15" w:rsidP="0040227B">
      <w:pPr>
        <w:spacing w:after="0" w:line="240" w:lineRule="auto"/>
        <w:ind w:left="720" w:hanging="720"/>
        <w:jc w:val="both"/>
        <w:rPr>
          <w:rFonts w:ascii="Times New Roman" w:hAnsi="Times New Roman" w:cs="Times New Roman"/>
          <w:sz w:val="20"/>
          <w:szCs w:val="20"/>
        </w:rPr>
      </w:pPr>
      <w:proofErr w:type="gramStart"/>
      <w:r w:rsidRPr="004D3CB3">
        <w:rPr>
          <w:rFonts w:ascii="Times New Roman" w:hAnsi="Times New Roman" w:cs="Times New Roman"/>
          <w:sz w:val="20"/>
          <w:szCs w:val="20"/>
        </w:rPr>
        <w:t>Sandler, T</w:t>
      </w:r>
      <w:r w:rsidR="00E07DEE" w:rsidRPr="004D3CB3">
        <w:rPr>
          <w:rFonts w:ascii="Times New Roman" w:hAnsi="Times New Roman" w:cs="Times New Roman"/>
          <w:sz w:val="20"/>
          <w:szCs w:val="20"/>
        </w:rPr>
        <w:t>odd and Daniel Arce (</w:t>
      </w:r>
      <w:r w:rsidR="00CB7007" w:rsidRPr="004D3CB3">
        <w:rPr>
          <w:rFonts w:ascii="Times New Roman" w:hAnsi="Times New Roman" w:cs="Times New Roman"/>
          <w:sz w:val="20"/>
          <w:szCs w:val="20"/>
        </w:rPr>
        <w:t>2003</w:t>
      </w:r>
      <w:r w:rsidR="00E07DEE" w:rsidRPr="004D3CB3">
        <w:rPr>
          <w:rFonts w:ascii="Times New Roman" w:hAnsi="Times New Roman" w:cs="Times New Roman"/>
          <w:sz w:val="20"/>
          <w:szCs w:val="20"/>
        </w:rPr>
        <w:t>)</w:t>
      </w:r>
      <w:r w:rsidR="00CB7007" w:rsidRPr="004D3CB3">
        <w:rPr>
          <w:rFonts w:ascii="Times New Roman" w:hAnsi="Times New Roman" w:cs="Times New Roman"/>
          <w:sz w:val="20"/>
          <w:szCs w:val="20"/>
        </w:rPr>
        <w:t>.</w:t>
      </w:r>
      <w:proofErr w:type="gramEnd"/>
      <w:r w:rsidR="00CB7007" w:rsidRPr="004D3CB3">
        <w:rPr>
          <w:rFonts w:ascii="Times New Roman" w:hAnsi="Times New Roman" w:cs="Times New Roman"/>
          <w:sz w:val="20"/>
          <w:szCs w:val="20"/>
        </w:rPr>
        <w:t xml:space="preserve"> </w:t>
      </w:r>
      <w:proofErr w:type="gramStart"/>
      <w:r w:rsidR="00CB7007" w:rsidRPr="004D3CB3">
        <w:rPr>
          <w:rFonts w:ascii="Times New Roman" w:hAnsi="Times New Roman" w:cs="Times New Roman"/>
          <w:i/>
          <w:sz w:val="20"/>
          <w:szCs w:val="20"/>
        </w:rPr>
        <w:t>Terrorism an</w:t>
      </w:r>
      <w:r w:rsidR="00E07DEE" w:rsidRPr="004D3CB3">
        <w:rPr>
          <w:rFonts w:ascii="Times New Roman" w:hAnsi="Times New Roman" w:cs="Times New Roman"/>
          <w:i/>
          <w:sz w:val="20"/>
          <w:szCs w:val="20"/>
        </w:rPr>
        <w:t>d game theory</w:t>
      </w:r>
      <w:r w:rsidR="00E07DEE" w:rsidRPr="004D3CB3">
        <w:rPr>
          <w:rFonts w:ascii="Times New Roman" w:hAnsi="Times New Roman" w:cs="Times New Roman"/>
          <w:sz w:val="20"/>
          <w:szCs w:val="20"/>
        </w:rPr>
        <w:t>.</w:t>
      </w:r>
      <w:proofErr w:type="gramEnd"/>
      <w:r w:rsidR="00E07DEE" w:rsidRPr="004D3CB3">
        <w:rPr>
          <w:rFonts w:ascii="Times New Roman" w:hAnsi="Times New Roman" w:cs="Times New Roman"/>
          <w:sz w:val="20"/>
          <w:szCs w:val="20"/>
        </w:rPr>
        <w:t xml:space="preserve"> Simulation and Gaming 34:</w:t>
      </w:r>
      <w:r w:rsidR="00CB7007" w:rsidRPr="004D3CB3">
        <w:rPr>
          <w:rFonts w:ascii="Times New Roman" w:hAnsi="Times New Roman" w:cs="Times New Roman"/>
          <w:sz w:val="20"/>
          <w:szCs w:val="20"/>
        </w:rPr>
        <w:t xml:space="preserve"> 319-337.</w:t>
      </w:r>
    </w:p>
    <w:p w:rsidR="0042390E" w:rsidRPr="004D3CB3" w:rsidRDefault="0042390E" w:rsidP="0040227B">
      <w:pPr>
        <w:spacing w:after="0" w:line="240" w:lineRule="auto"/>
        <w:ind w:left="720" w:hanging="720"/>
        <w:jc w:val="both"/>
        <w:rPr>
          <w:rFonts w:ascii="Times New Roman" w:hAnsi="Times New Roman" w:cs="Times New Roman"/>
          <w:sz w:val="20"/>
          <w:szCs w:val="20"/>
        </w:rPr>
      </w:pPr>
      <w:proofErr w:type="gramStart"/>
      <w:r w:rsidRPr="004D3CB3">
        <w:rPr>
          <w:rFonts w:ascii="Times New Roman" w:hAnsi="Times New Roman" w:cs="Times New Roman"/>
          <w:sz w:val="20"/>
          <w:szCs w:val="20"/>
        </w:rPr>
        <w:t xml:space="preserve">Sandler, </w:t>
      </w:r>
      <w:r w:rsidR="00E07DEE" w:rsidRPr="004D3CB3">
        <w:rPr>
          <w:rFonts w:ascii="Times New Roman" w:hAnsi="Times New Roman" w:cs="Times New Roman"/>
          <w:sz w:val="20"/>
          <w:szCs w:val="20"/>
        </w:rPr>
        <w:t>Todd and Walter Enders</w:t>
      </w:r>
      <w:r w:rsidR="00875F15" w:rsidRPr="004D3CB3">
        <w:rPr>
          <w:rFonts w:ascii="Times New Roman" w:hAnsi="Times New Roman" w:cs="Times New Roman"/>
          <w:sz w:val="20"/>
          <w:szCs w:val="20"/>
        </w:rPr>
        <w:t xml:space="preserve"> </w:t>
      </w:r>
      <w:r w:rsidR="00E07DEE" w:rsidRPr="004D3CB3">
        <w:rPr>
          <w:rFonts w:ascii="Times New Roman" w:hAnsi="Times New Roman" w:cs="Times New Roman"/>
          <w:sz w:val="20"/>
          <w:szCs w:val="20"/>
        </w:rPr>
        <w:t>(</w:t>
      </w:r>
      <w:r w:rsidR="00875F15" w:rsidRPr="004D3CB3">
        <w:rPr>
          <w:rFonts w:ascii="Times New Roman" w:hAnsi="Times New Roman" w:cs="Times New Roman"/>
          <w:sz w:val="20"/>
          <w:szCs w:val="20"/>
        </w:rPr>
        <w:t>2004</w:t>
      </w:r>
      <w:r w:rsidR="00E07DEE" w:rsidRPr="004D3CB3">
        <w:rPr>
          <w:rFonts w:ascii="Times New Roman" w:hAnsi="Times New Roman" w:cs="Times New Roman"/>
          <w:sz w:val="20"/>
          <w:szCs w:val="20"/>
        </w:rPr>
        <w:t>)</w:t>
      </w:r>
      <w:r w:rsidR="00875F15" w:rsidRPr="004D3CB3">
        <w:rPr>
          <w:rFonts w:ascii="Times New Roman" w:hAnsi="Times New Roman" w:cs="Times New Roman"/>
          <w:sz w:val="20"/>
          <w:szCs w:val="20"/>
        </w:rPr>
        <w:t>.</w:t>
      </w:r>
      <w:proofErr w:type="gramEnd"/>
      <w:r w:rsidR="00E07DEE" w:rsidRPr="004D3CB3">
        <w:rPr>
          <w:rFonts w:ascii="Times New Roman" w:hAnsi="Times New Roman" w:cs="Times New Roman"/>
          <w:sz w:val="20"/>
          <w:szCs w:val="20"/>
        </w:rPr>
        <w:t xml:space="preserve"> </w:t>
      </w:r>
      <w:proofErr w:type="gramStart"/>
      <w:r w:rsidR="00E07DEE" w:rsidRPr="004D3CB3">
        <w:rPr>
          <w:rFonts w:ascii="Times New Roman" w:hAnsi="Times New Roman" w:cs="Times New Roman"/>
          <w:sz w:val="20"/>
          <w:szCs w:val="20"/>
        </w:rPr>
        <w:t>An economic p</w:t>
      </w:r>
      <w:r w:rsidRPr="004D3CB3">
        <w:rPr>
          <w:rFonts w:ascii="Times New Roman" w:hAnsi="Times New Roman" w:cs="Times New Roman"/>
          <w:sz w:val="20"/>
          <w:szCs w:val="20"/>
        </w:rPr>
        <w:t>erspec</w:t>
      </w:r>
      <w:r w:rsidR="00E07DEE" w:rsidRPr="004D3CB3">
        <w:rPr>
          <w:rFonts w:ascii="Times New Roman" w:hAnsi="Times New Roman" w:cs="Times New Roman"/>
          <w:sz w:val="20"/>
          <w:szCs w:val="20"/>
        </w:rPr>
        <w:t>tive on transnational t</w:t>
      </w:r>
      <w:r w:rsidR="00875F15" w:rsidRPr="004D3CB3">
        <w:rPr>
          <w:rFonts w:ascii="Times New Roman" w:hAnsi="Times New Roman" w:cs="Times New Roman"/>
          <w:sz w:val="20"/>
          <w:szCs w:val="20"/>
        </w:rPr>
        <w:t>errorism.</w:t>
      </w:r>
      <w:proofErr w:type="gramEnd"/>
      <w:r w:rsidRPr="004D3CB3">
        <w:rPr>
          <w:rFonts w:ascii="Times New Roman" w:hAnsi="Times New Roman" w:cs="Times New Roman"/>
          <w:sz w:val="20"/>
          <w:szCs w:val="20"/>
        </w:rPr>
        <w:t xml:space="preserve"> </w:t>
      </w:r>
      <w:r w:rsidRPr="004D3CB3">
        <w:rPr>
          <w:rFonts w:ascii="Times New Roman" w:hAnsi="Times New Roman" w:cs="Times New Roman"/>
          <w:i/>
          <w:sz w:val="20"/>
          <w:szCs w:val="20"/>
        </w:rPr>
        <w:t>Europe</w:t>
      </w:r>
      <w:r w:rsidR="00E07DEE" w:rsidRPr="004D3CB3">
        <w:rPr>
          <w:rFonts w:ascii="Times New Roman" w:hAnsi="Times New Roman" w:cs="Times New Roman"/>
          <w:i/>
          <w:sz w:val="20"/>
          <w:szCs w:val="20"/>
        </w:rPr>
        <w:t>an Journal of Political Economy</w:t>
      </w:r>
      <w:r w:rsidR="00E07DEE" w:rsidRPr="004D3CB3">
        <w:rPr>
          <w:rFonts w:ascii="Times New Roman" w:hAnsi="Times New Roman" w:cs="Times New Roman"/>
          <w:sz w:val="20"/>
          <w:szCs w:val="20"/>
        </w:rPr>
        <w:t xml:space="preserve"> 20:</w:t>
      </w:r>
      <w:r w:rsidRPr="004D3CB3">
        <w:rPr>
          <w:rFonts w:ascii="Times New Roman" w:hAnsi="Times New Roman" w:cs="Times New Roman"/>
          <w:sz w:val="20"/>
          <w:szCs w:val="20"/>
        </w:rPr>
        <w:t xml:space="preserve"> 301-316.</w:t>
      </w:r>
    </w:p>
    <w:p w:rsidR="0042390E" w:rsidRPr="004D3CB3" w:rsidRDefault="00E07DEE" w:rsidP="0040227B">
      <w:pPr>
        <w:spacing w:after="0" w:line="240" w:lineRule="auto"/>
        <w:ind w:left="720" w:hanging="720"/>
        <w:jc w:val="both"/>
        <w:rPr>
          <w:rFonts w:ascii="Times New Roman" w:hAnsi="Times New Roman" w:cs="Times New Roman"/>
          <w:sz w:val="20"/>
          <w:szCs w:val="20"/>
        </w:rPr>
      </w:pPr>
      <w:proofErr w:type="gramStart"/>
      <w:r w:rsidRPr="004D3CB3">
        <w:rPr>
          <w:rFonts w:ascii="Times New Roman" w:hAnsi="Times New Roman" w:cs="Times New Roman"/>
          <w:sz w:val="20"/>
          <w:szCs w:val="20"/>
        </w:rPr>
        <w:t>Sandler, Todd,</w:t>
      </w:r>
      <w:r w:rsidR="0042390E" w:rsidRPr="004D3CB3">
        <w:rPr>
          <w:rFonts w:ascii="Times New Roman" w:hAnsi="Times New Roman" w:cs="Times New Roman"/>
          <w:sz w:val="20"/>
          <w:szCs w:val="20"/>
        </w:rPr>
        <w:t xml:space="preserve"> </w:t>
      </w:r>
      <w:r w:rsidRPr="004D3CB3">
        <w:rPr>
          <w:rFonts w:ascii="Times New Roman" w:hAnsi="Times New Roman" w:cs="Times New Roman"/>
          <w:sz w:val="20"/>
          <w:szCs w:val="20"/>
        </w:rPr>
        <w:t xml:space="preserve">John T. </w:t>
      </w:r>
      <w:proofErr w:type="spellStart"/>
      <w:r w:rsidRPr="004D3CB3">
        <w:rPr>
          <w:rFonts w:ascii="Times New Roman" w:hAnsi="Times New Roman" w:cs="Times New Roman"/>
          <w:sz w:val="20"/>
          <w:szCs w:val="20"/>
        </w:rPr>
        <w:t>Tschirhart</w:t>
      </w:r>
      <w:proofErr w:type="spellEnd"/>
      <w:r w:rsidRPr="004D3CB3">
        <w:rPr>
          <w:rFonts w:ascii="Times New Roman" w:hAnsi="Times New Roman" w:cs="Times New Roman"/>
          <w:sz w:val="20"/>
          <w:szCs w:val="20"/>
        </w:rPr>
        <w:t xml:space="preserve"> </w:t>
      </w:r>
      <w:r w:rsidR="0042390E" w:rsidRPr="004D3CB3">
        <w:rPr>
          <w:rFonts w:ascii="Times New Roman" w:hAnsi="Times New Roman" w:cs="Times New Roman"/>
          <w:sz w:val="20"/>
          <w:szCs w:val="20"/>
        </w:rPr>
        <w:t xml:space="preserve">and </w:t>
      </w:r>
      <w:r w:rsidRPr="004D3CB3">
        <w:rPr>
          <w:rFonts w:ascii="Times New Roman" w:hAnsi="Times New Roman" w:cs="Times New Roman"/>
          <w:sz w:val="20"/>
          <w:szCs w:val="20"/>
        </w:rPr>
        <w:t xml:space="preserve">Jon </w:t>
      </w:r>
      <w:proofErr w:type="spellStart"/>
      <w:r w:rsidR="0042390E" w:rsidRPr="004D3CB3">
        <w:rPr>
          <w:rFonts w:ascii="Times New Roman" w:hAnsi="Times New Roman" w:cs="Times New Roman"/>
          <w:sz w:val="20"/>
          <w:szCs w:val="20"/>
        </w:rPr>
        <w:t>Cauley</w:t>
      </w:r>
      <w:proofErr w:type="spellEnd"/>
      <w:r w:rsidRPr="004D3CB3">
        <w:rPr>
          <w:rFonts w:ascii="Times New Roman" w:hAnsi="Times New Roman" w:cs="Times New Roman"/>
          <w:sz w:val="20"/>
          <w:szCs w:val="20"/>
        </w:rPr>
        <w:t xml:space="preserve"> (</w:t>
      </w:r>
      <w:r w:rsidR="00875F15" w:rsidRPr="004D3CB3">
        <w:rPr>
          <w:rFonts w:ascii="Times New Roman" w:hAnsi="Times New Roman" w:cs="Times New Roman"/>
          <w:sz w:val="20"/>
          <w:szCs w:val="20"/>
        </w:rPr>
        <w:t>1983</w:t>
      </w:r>
      <w:r w:rsidRPr="004D3CB3">
        <w:rPr>
          <w:rFonts w:ascii="Times New Roman" w:hAnsi="Times New Roman" w:cs="Times New Roman"/>
          <w:sz w:val="20"/>
          <w:szCs w:val="20"/>
        </w:rPr>
        <w:t>)</w:t>
      </w:r>
      <w:r w:rsidR="00875F15" w:rsidRPr="004D3CB3">
        <w:rPr>
          <w:rFonts w:ascii="Times New Roman" w:hAnsi="Times New Roman" w:cs="Times New Roman"/>
          <w:sz w:val="20"/>
          <w:szCs w:val="20"/>
        </w:rPr>
        <w:t>.</w:t>
      </w:r>
      <w:proofErr w:type="gramEnd"/>
      <w:r w:rsidRPr="004D3CB3">
        <w:rPr>
          <w:rFonts w:ascii="Times New Roman" w:hAnsi="Times New Roman" w:cs="Times New Roman"/>
          <w:sz w:val="20"/>
          <w:szCs w:val="20"/>
        </w:rPr>
        <w:t xml:space="preserve"> </w:t>
      </w:r>
      <w:proofErr w:type="gramStart"/>
      <w:r w:rsidRPr="004D3CB3">
        <w:rPr>
          <w:rFonts w:ascii="Times New Roman" w:hAnsi="Times New Roman" w:cs="Times New Roman"/>
          <w:sz w:val="20"/>
          <w:szCs w:val="20"/>
        </w:rPr>
        <w:t>A theoretical a</w:t>
      </w:r>
      <w:r w:rsidR="0042390E" w:rsidRPr="004D3CB3">
        <w:rPr>
          <w:rFonts w:ascii="Times New Roman" w:hAnsi="Times New Roman" w:cs="Times New Roman"/>
          <w:sz w:val="20"/>
          <w:szCs w:val="20"/>
        </w:rPr>
        <w:t>nal</w:t>
      </w:r>
      <w:r w:rsidRPr="004D3CB3">
        <w:rPr>
          <w:rFonts w:ascii="Times New Roman" w:hAnsi="Times New Roman" w:cs="Times New Roman"/>
          <w:sz w:val="20"/>
          <w:szCs w:val="20"/>
        </w:rPr>
        <w:t>ysis of t</w:t>
      </w:r>
      <w:r w:rsidR="0042390E" w:rsidRPr="004D3CB3">
        <w:rPr>
          <w:rFonts w:ascii="Times New Roman" w:hAnsi="Times New Roman" w:cs="Times New Roman"/>
          <w:sz w:val="20"/>
          <w:szCs w:val="20"/>
        </w:rPr>
        <w:t>ra</w:t>
      </w:r>
      <w:r w:rsidRPr="004D3CB3">
        <w:rPr>
          <w:rFonts w:ascii="Times New Roman" w:hAnsi="Times New Roman" w:cs="Times New Roman"/>
          <w:sz w:val="20"/>
          <w:szCs w:val="20"/>
        </w:rPr>
        <w:t>nsnational t</w:t>
      </w:r>
      <w:r w:rsidR="00875F15" w:rsidRPr="004D3CB3">
        <w:rPr>
          <w:rFonts w:ascii="Times New Roman" w:hAnsi="Times New Roman" w:cs="Times New Roman"/>
          <w:sz w:val="20"/>
          <w:szCs w:val="20"/>
        </w:rPr>
        <w:t>errorism.</w:t>
      </w:r>
      <w:proofErr w:type="gramEnd"/>
      <w:r w:rsidR="0042390E" w:rsidRPr="004D3CB3">
        <w:rPr>
          <w:rFonts w:ascii="Times New Roman" w:hAnsi="Times New Roman" w:cs="Times New Roman"/>
          <w:sz w:val="20"/>
          <w:szCs w:val="20"/>
        </w:rPr>
        <w:t xml:space="preserve"> </w:t>
      </w:r>
      <w:r w:rsidR="0042390E" w:rsidRPr="004D3CB3">
        <w:rPr>
          <w:rFonts w:ascii="Times New Roman" w:hAnsi="Times New Roman" w:cs="Times New Roman"/>
          <w:i/>
          <w:sz w:val="20"/>
          <w:szCs w:val="20"/>
        </w:rPr>
        <w:t>Am</w:t>
      </w:r>
      <w:r w:rsidRPr="004D3CB3">
        <w:rPr>
          <w:rFonts w:ascii="Times New Roman" w:hAnsi="Times New Roman" w:cs="Times New Roman"/>
          <w:i/>
          <w:sz w:val="20"/>
          <w:szCs w:val="20"/>
        </w:rPr>
        <w:t xml:space="preserve">erican Political Science Review </w:t>
      </w:r>
      <w:r w:rsidRPr="004D3CB3">
        <w:rPr>
          <w:rFonts w:ascii="Times New Roman" w:hAnsi="Times New Roman" w:cs="Times New Roman"/>
          <w:sz w:val="20"/>
          <w:szCs w:val="20"/>
        </w:rPr>
        <w:t>77:</w:t>
      </w:r>
      <w:r w:rsidR="0042390E" w:rsidRPr="004D3CB3">
        <w:rPr>
          <w:rFonts w:ascii="Times New Roman" w:hAnsi="Times New Roman" w:cs="Times New Roman"/>
          <w:sz w:val="20"/>
          <w:szCs w:val="20"/>
        </w:rPr>
        <w:t xml:space="preserve"> 36-54.</w:t>
      </w:r>
    </w:p>
    <w:p w:rsidR="0042390E" w:rsidRPr="004D3CB3" w:rsidRDefault="00E07DEE" w:rsidP="0040227B">
      <w:pPr>
        <w:spacing w:after="0" w:line="240" w:lineRule="auto"/>
        <w:ind w:left="720" w:hanging="720"/>
        <w:jc w:val="both"/>
        <w:rPr>
          <w:rFonts w:ascii="Times New Roman" w:hAnsi="Times New Roman" w:cs="Times New Roman"/>
          <w:sz w:val="20"/>
          <w:szCs w:val="20"/>
        </w:rPr>
      </w:pPr>
      <w:proofErr w:type="spellStart"/>
      <w:proofErr w:type="gramStart"/>
      <w:r w:rsidRPr="004D3CB3">
        <w:rPr>
          <w:rFonts w:ascii="Times New Roman" w:hAnsi="Times New Roman" w:cs="Times New Roman"/>
          <w:sz w:val="20"/>
          <w:szCs w:val="20"/>
        </w:rPr>
        <w:t>Santifort</w:t>
      </w:r>
      <w:proofErr w:type="spellEnd"/>
      <w:r w:rsidRPr="004D3CB3">
        <w:rPr>
          <w:rFonts w:ascii="Times New Roman" w:hAnsi="Times New Roman" w:cs="Times New Roman"/>
          <w:sz w:val="20"/>
          <w:szCs w:val="20"/>
        </w:rPr>
        <w:t xml:space="preserve">, </w:t>
      </w:r>
      <w:proofErr w:type="spellStart"/>
      <w:r w:rsidRPr="004D3CB3">
        <w:rPr>
          <w:rFonts w:ascii="Times New Roman" w:hAnsi="Times New Roman" w:cs="Times New Roman"/>
          <w:sz w:val="20"/>
          <w:szCs w:val="20"/>
        </w:rPr>
        <w:t>Charlinda</w:t>
      </w:r>
      <w:proofErr w:type="spellEnd"/>
      <w:r w:rsidRPr="004D3CB3">
        <w:rPr>
          <w:rFonts w:ascii="Times New Roman" w:hAnsi="Times New Roman" w:cs="Times New Roman"/>
          <w:sz w:val="20"/>
          <w:szCs w:val="20"/>
        </w:rPr>
        <w:t>, Todd</w:t>
      </w:r>
      <w:r w:rsidR="0042390E" w:rsidRPr="004D3CB3">
        <w:rPr>
          <w:rFonts w:ascii="Times New Roman" w:hAnsi="Times New Roman" w:cs="Times New Roman"/>
          <w:sz w:val="20"/>
          <w:szCs w:val="20"/>
        </w:rPr>
        <w:t xml:space="preserve"> Sa</w:t>
      </w:r>
      <w:r w:rsidRPr="004D3CB3">
        <w:rPr>
          <w:rFonts w:ascii="Times New Roman" w:hAnsi="Times New Roman" w:cs="Times New Roman"/>
          <w:sz w:val="20"/>
          <w:szCs w:val="20"/>
        </w:rPr>
        <w:t>ndler</w:t>
      </w:r>
      <w:r w:rsidR="00875F15" w:rsidRPr="004D3CB3">
        <w:rPr>
          <w:rFonts w:ascii="Times New Roman" w:hAnsi="Times New Roman" w:cs="Times New Roman"/>
          <w:sz w:val="20"/>
          <w:szCs w:val="20"/>
        </w:rPr>
        <w:t xml:space="preserve"> and </w:t>
      </w:r>
      <w:r w:rsidRPr="004D3CB3">
        <w:rPr>
          <w:rFonts w:ascii="Times New Roman" w:hAnsi="Times New Roman" w:cs="Times New Roman"/>
          <w:sz w:val="20"/>
          <w:szCs w:val="20"/>
        </w:rPr>
        <w:t>Patrick T. Brandt (</w:t>
      </w:r>
      <w:r w:rsidR="00875F15" w:rsidRPr="004D3CB3">
        <w:rPr>
          <w:rFonts w:ascii="Times New Roman" w:hAnsi="Times New Roman" w:cs="Times New Roman"/>
          <w:sz w:val="20"/>
          <w:szCs w:val="20"/>
        </w:rPr>
        <w:t>2013</w:t>
      </w:r>
      <w:r w:rsidRPr="004D3CB3">
        <w:rPr>
          <w:rFonts w:ascii="Times New Roman" w:hAnsi="Times New Roman" w:cs="Times New Roman"/>
          <w:sz w:val="20"/>
          <w:szCs w:val="20"/>
        </w:rPr>
        <w:t>)</w:t>
      </w:r>
      <w:r w:rsidR="00875F15" w:rsidRPr="004D3CB3">
        <w:rPr>
          <w:rFonts w:ascii="Times New Roman" w:hAnsi="Times New Roman" w:cs="Times New Roman"/>
          <w:sz w:val="20"/>
          <w:szCs w:val="20"/>
        </w:rPr>
        <w:t>.</w:t>
      </w:r>
      <w:proofErr w:type="gramEnd"/>
      <w:r w:rsidRPr="004D3CB3">
        <w:rPr>
          <w:rFonts w:ascii="Times New Roman" w:hAnsi="Times New Roman" w:cs="Times New Roman"/>
          <w:sz w:val="20"/>
          <w:szCs w:val="20"/>
        </w:rPr>
        <w:t xml:space="preserve"> Terrorist attack and target d</w:t>
      </w:r>
      <w:r w:rsidR="0042390E" w:rsidRPr="004D3CB3">
        <w:rPr>
          <w:rFonts w:ascii="Times New Roman" w:hAnsi="Times New Roman" w:cs="Times New Roman"/>
          <w:sz w:val="20"/>
          <w:szCs w:val="20"/>
        </w:rPr>
        <w:t>iversity:</w:t>
      </w:r>
      <w:r w:rsidRPr="004D3CB3">
        <w:rPr>
          <w:rFonts w:ascii="Times New Roman" w:hAnsi="Times New Roman" w:cs="Times New Roman"/>
          <w:sz w:val="20"/>
          <w:szCs w:val="20"/>
        </w:rPr>
        <w:t xml:space="preserve"> </w:t>
      </w:r>
      <w:proofErr w:type="spellStart"/>
      <w:r w:rsidRPr="004D3CB3">
        <w:rPr>
          <w:rFonts w:ascii="Times New Roman" w:hAnsi="Times New Roman" w:cs="Times New Roman"/>
          <w:sz w:val="20"/>
          <w:szCs w:val="20"/>
        </w:rPr>
        <w:t>changepoints</w:t>
      </w:r>
      <w:proofErr w:type="spellEnd"/>
      <w:r w:rsidRPr="004D3CB3">
        <w:rPr>
          <w:rFonts w:ascii="Times New Roman" w:hAnsi="Times New Roman" w:cs="Times New Roman"/>
          <w:sz w:val="20"/>
          <w:szCs w:val="20"/>
        </w:rPr>
        <w:t xml:space="preserve"> and their d</w:t>
      </w:r>
      <w:r w:rsidR="00875F15" w:rsidRPr="004D3CB3">
        <w:rPr>
          <w:rFonts w:ascii="Times New Roman" w:hAnsi="Times New Roman" w:cs="Times New Roman"/>
          <w:sz w:val="20"/>
          <w:szCs w:val="20"/>
        </w:rPr>
        <w:t>rivers.</w:t>
      </w:r>
      <w:r w:rsidRPr="004D3CB3">
        <w:rPr>
          <w:rFonts w:ascii="Times New Roman" w:hAnsi="Times New Roman" w:cs="Times New Roman"/>
          <w:sz w:val="20"/>
          <w:szCs w:val="20"/>
        </w:rPr>
        <w:t xml:space="preserve"> </w:t>
      </w:r>
      <w:r w:rsidRPr="004D3CB3">
        <w:rPr>
          <w:rFonts w:ascii="Times New Roman" w:hAnsi="Times New Roman" w:cs="Times New Roman"/>
          <w:i/>
          <w:sz w:val="20"/>
          <w:szCs w:val="20"/>
        </w:rPr>
        <w:t xml:space="preserve">Journal of Peace Research </w:t>
      </w:r>
      <w:r w:rsidRPr="004D3CB3">
        <w:rPr>
          <w:rFonts w:ascii="Times New Roman" w:hAnsi="Times New Roman" w:cs="Times New Roman"/>
          <w:sz w:val="20"/>
          <w:szCs w:val="20"/>
        </w:rPr>
        <w:t>50:</w:t>
      </w:r>
      <w:r w:rsidR="0042390E" w:rsidRPr="004D3CB3">
        <w:rPr>
          <w:rFonts w:ascii="Times New Roman" w:hAnsi="Times New Roman" w:cs="Times New Roman"/>
          <w:sz w:val="20"/>
          <w:szCs w:val="20"/>
        </w:rPr>
        <w:t xml:space="preserve"> 75-90.</w:t>
      </w:r>
    </w:p>
    <w:p w:rsidR="00CB7007" w:rsidRPr="004D3CB3" w:rsidRDefault="00CB7007" w:rsidP="0040227B">
      <w:pPr>
        <w:spacing w:after="0" w:line="240" w:lineRule="auto"/>
        <w:ind w:left="720" w:hanging="720"/>
        <w:jc w:val="both"/>
        <w:rPr>
          <w:rFonts w:ascii="Times New Roman" w:hAnsi="Times New Roman" w:cs="Times New Roman"/>
          <w:sz w:val="20"/>
          <w:szCs w:val="20"/>
        </w:rPr>
      </w:pPr>
      <w:proofErr w:type="gramStart"/>
      <w:r w:rsidRPr="004D3CB3">
        <w:rPr>
          <w:rFonts w:ascii="Times New Roman" w:hAnsi="Times New Roman" w:cs="Times New Roman"/>
          <w:sz w:val="20"/>
          <w:szCs w:val="20"/>
        </w:rPr>
        <w:t>Schneider</w:t>
      </w:r>
      <w:r w:rsidR="00E07DEE" w:rsidRPr="004D3CB3">
        <w:rPr>
          <w:rFonts w:ascii="Times New Roman" w:hAnsi="Times New Roman" w:cs="Times New Roman"/>
          <w:sz w:val="20"/>
          <w:szCs w:val="20"/>
        </w:rPr>
        <w:t xml:space="preserve">, Friedrich, </w:t>
      </w:r>
      <w:proofErr w:type="spellStart"/>
      <w:r w:rsidR="00E07DEE" w:rsidRPr="004D3CB3">
        <w:rPr>
          <w:rFonts w:ascii="Times New Roman" w:hAnsi="Times New Roman" w:cs="Times New Roman"/>
          <w:sz w:val="20"/>
          <w:szCs w:val="20"/>
        </w:rPr>
        <w:t>Tilman</w:t>
      </w:r>
      <w:proofErr w:type="spellEnd"/>
      <w:r w:rsidR="00E07DEE" w:rsidRPr="004D3CB3">
        <w:rPr>
          <w:rFonts w:ascii="Times New Roman" w:hAnsi="Times New Roman" w:cs="Times New Roman"/>
          <w:sz w:val="20"/>
          <w:szCs w:val="20"/>
        </w:rPr>
        <w:t xml:space="preserve"> </w:t>
      </w:r>
      <w:proofErr w:type="spellStart"/>
      <w:r w:rsidR="00875F15" w:rsidRPr="004D3CB3">
        <w:rPr>
          <w:rFonts w:ascii="Times New Roman" w:hAnsi="Times New Roman" w:cs="Times New Roman"/>
          <w:sz w:val="20"/>
          <w:szCs w:val="20"/>
        </w:rPr>
        <w:t>Brü</w:t>
      </w:r>
      <w:r w:rsidR="00E07DEE" w:rsidRPr="004D3CB3">
        <w:rPr>
          <w:rFonts w:ascii="Times New Roman" w:hAnsi="Times New Roman" w:cs="Times New Roman"/>
          <w:sz w:val="20"/>
          <w:szCs w:val="20"/>
        </w:rPr>
        <w:t>ck</w:t>
      </w:r>
      <w:proofErr w:type="spellEnd"/>
      <w:r w:rsidR="00E07DEE" w:rsidRPr="004D3CB3">
        <w:rPr>
          <w:rFonts w:ascii="Times New Roman" w:hAnsi="Times New Roman" w:cs="Times New Roman"/>
          <w:sz w:val="20"/>
          <w:szCs w:val="20"/>
        </w:rPr>
        <w:t xml:space="preserve"> and Daniel </w:t>
      </w:r>
      <w:proofErr w:type="spellStart"/>
      <w:r w:rsidR="00E07DEE" w:rsidRPr="004D3CB3">
        <w:rPr>
          <w:rFonts w:ascii="Times New Roman" w:hAnsi="Times New Roman" w:cs="Times New Roman"/>
          <w:sz w:val="20"/>
          <w:szCs w:val="20"/>
        </w:rPr>
        <w:t>Meierrieks</w:t>
      </w:r>
      <w:proofErr w:type="spellEnd"/>
      <w:r w:rsidR="00E07DEE" w:rsidRPr="004D3CB3">
        <w:rPr>
          <w:rFonts w:ascii="Times New Roman" w:hAnsi="Times New Roman" w:cs="Times New Roman"/>
          <w:sz w:val="20"/>
          <w:szCs w:val="20"/>
        </w:rPr>
        <w:t xml:space="preserve"> (</w:t>
      </w:r>
      <w:r w:rsidRPr="004D3CB3">
        <w:rPr>
          <w:rFonts w:ascii="Times New Roman" w:hAnsi="Times New Roman" w:cs="Times New Roman"/>
          <w:sz w:val="20"/>
          <w:szCs w:val="20"/>
        </w:rPr>
        <w:t>2010</w:t>
      </w:r>
      <w:r w:rsidR="00E07DEE" w:rsidRPr="004D3CB3">
        <w:rPr>
          <w:rFonts w:ascii="Times New Roman" w:hAnsi="Times New Roman" w:cs="Times New Roman"/>
          <w:sz w:val="20"/>
          <w:szCs w:val="20"/>
        </w:rPr>
        <w:t>).</w:t>
      </w:r>
      <w:proofErr w:type="gramEnd"/>
      <w:r w:rsidR="00E07DEE" w:rsidRPr="004D3CB3">
        <w:rPr>
          <w:rFonts w:ascii="Times New Roman" w:hAnsi="Times New Roman" w:cs="Times New Roman"/>
          <w:sz w:val="20"/>
          <w:szCs w:val="20"/>
        </w:rPr>
        <w:t xml:space="preserve"> The economics of terrorism and counter-terrorism: a s</w:t>
      </w:r>
      <w:r w:rsidRPr="004D3CB3">
        <w:rPr>
          <w:rFonts w:ascii="Times New Roman" w:hAnsi="Times New Roman" w:cs="Times New Roman"/>
          <w:sz w:val="20"/>
          <w:szCs w:val="20"/>
        </w:rPr>
        <w:t xml:space="preserve">urvey. Discussion Paper No. 1049–1050. </w:t>
      </w:r>
      <w:proofErr w:type="gramStart"/>
      <w:r w:rsidRPr="004D3CB3">
        <w:rPr>
          <w:rFonts w:ascii="Times New Roman" w:hAnsi="Times New Roman" w:cs="Times New Roman"/>
          <w:sz w:val="20"/>
          <w:szCs w:val="20"/>
        </w:rPr>
        <w:t>DIW Berlin.</w:t>
      </w:r>
      <w:proofErr w:type="gramEnd"/>
    </w:p>
    <w:p w:rsidR="0042390E" w:rsidRPr="004D3CB3" w:rsidRDefault="00E07DEE" w:rsidP="0040227B">
      <w:pPr>
        <w:spacing w:after="0" w:line="240" w:lineRule="auto"/>
        <w:ind w:left="720" w:hanging="720"/>
        <w:jc w:val="both"/>
        <w:rPr>
          <w:rFonts w:ascii="Times New Roman" w:hAnsi="Times New Roman" w:cs="Times New Roman"/>
          <w:sz w:val="20"/>
          <w:szCs w:val="20"/>
        </w:rPr>
      </w:pPr>
      <w:proofErr w:type="spellStart"/>
      <w:proofErr w:type="gramStart"/>
      <w:r w:rsidRPr="004D3CB3">
        <w:rPr>
          <w:rFonts w:ascii="Times New Roman" w:hAnsi="Times New Roman" w:cs="Times New Roman"/>
          <w:sz w:val="20"/>
          <w:szCs w:val="20"/>
        </w:rPr>
        <w:t>Siqueira</w:t>
      </w:r>
      <w:proofErr w:type="spellEnd"/>
      <w:r w:rsidRPr="004D3CB3">
        <w:rPr>
          <w:rFonts w:ascii="Times New Roman" w:hAnsi="Times New Roman" w:cs="Times New Roman"/>
          <w:sz w:val="20"/>
          <w:szCs w:val="20"/>
        </w:rPr>
        <w:t>, Kevin and Todd Sandler</w:t>
      </w:r>
      <w:r w:rsidR="0042390E" w:rsidRPr="004D3CB3">
        <w:rPr>
          <w:rFonts w:ascii="Times New Roman" w:hAnsi="Times New Roman" w:cs="Times New Roman"/>
          <w:sz w:val="20"/>
          <w:szCs w:val="20"/>
        </w:rPr>
        <w:t xml:space="preserve"> </w:t>
      </w:r>
      <w:r w:rsidRPr="004D3CB3">
        <w:rPr>
          <w:rFonts w:ascii="Times New Roman" w:hAnsi="Times New Roman" w:cs="Times New Roman"/>
          <w:sz w:val="20"/>
          <w:szCs w:val="20"/>
        </w:rPr>
        <w:t>(</w:t>
      </w:r>
      <w:r w:rsidR="0042390E" w:rsidRPr="004D3CB3">
        <w:rPr>
          <w:rFonts w:ascii="Times New Roman" w:hAnsi="Times New Roman" w:cs="Times New Roman"/>
          <w:sz w:val="20"/>
          <w:szCs w:val="20"/>
        </w:rPr>
        <w:t>2006</w:t>
      </w:r>
      <w:r w:rsidRPr="004D3CB3">
        <w:rPr>
          <w:rFonts w:ascii="Times New Roman" w:hAnsi="Times New Roman" w:cs="Times New Roman"/>
          <w:sz w:val="20"/>
          <w:szCs w:val="20"/>
        </w:rPr>
        <w:t>).</w:t>
      </w:r>
      <w:proofErr w:type="gramEnd"/>
      <w:r w:rsidRPr="004D3CB3">
        <w:rPr>
          <w:rFonts w:ascii="Times New Roman" w:hAnsi="Times New Roman" w:cs="Times New Roman"/>
          <w:sz w:val="20"/>
          <w:szCs w:val="20"/>
        </w:rPr>
        <w:t xml:space="preserve"> Terrorists versus the government: strategic interaction, support, s</w:t>
      </w:r>
      <w:r w:rsidR="0042390E" w:rsidRPr="004D3CB3">
        <w:rPr>
          <w:rFonts w:ascii="Times New Roman" w:hAnsi="Times New Roman" w:cs="Times New Roman"/>
          <w:sz w:val="20"/>
          <w:szCs w:val="20"/>
        </w:rPr>
        <w:t xml:space="preserve">ponsorship. </w:t>
      </w:r>
      <w:r w:rsidR="0042390E" w:rsidRPr="004D3CB3">
        <w:rPr>
          <w:rFonts w:ascii="Times New Roman" w:hAnsi="Times New Roman" w:cs="Times New Roman"/>
          <w:i/>
          <w:sz w:val="20"/>
          <w:szCs w:val="20"/>
        </w:rPr>
        <w:t>Journal of Conflict Resolution</w:t>
      </w:r>
      <w:r w:rsidR="0042390E" w:rsidRPr="004D3CB3">
        <w:rPr>
          <w:rFonts w:ascii="Times New Roman" w:hAnsi="Times New Roman" w:cs="Times New Roman"/>
          <w:sz w:val="20"/>
          <w:szCs w:val="20"/>
        </w:rPr>
        <w:t xml:space="preserve"> 50: 878-898.</w:t>
      </w:r>
    </w:p>
    <w:p w:rsidR="0042390E" w:rsidRPr="004D3CB3" w:rsidRDefault="00E07DEE" w:rsidP="0040227B">
      <w:pPr>
        <w:spacing w:after="0" w:line="240" w:lineRule="auto"/>
        <w:ind w:left="720" w:hanging="720"/>
        <w:jc w:val="both"/>
        <w:rPr>
          <w:rFonts w:ascii="Times New Roman" w:hAnsi="Times New Roman" w:cs="Times New Roman"/>
          <w:sz w:val="20"/>
          <w:szCs w:val="20"/>
        </w:rPr>
      </w:pPr>
      <w:proofErr w:type="spellStart"/>
      <w:r w:rsidRPr="004D3CB3">
        <w:rPr>
          <w:rFonts w:ascii="Times New Roman" w:hAnsi="Times New Roman" w:cs="Times New Roman"/>
          <w:sz w:val="20"/>
          <w:szCs w:val="20"/>
        </w:rPr>
        <w:t>Skaperdas</w:t>
      </w:r>
      <w:proofErr w:type="spellEnd"/>
      <w:r w:rsidRPr="004D3CB3">
        <w:rPr>
          <w:rFonts w:ascii="Times New Roman" w:hAnsi="Times New Roman" w:cs="Times New Roman"/>
          <w:sz w:val="20"/>
          <w:szCs w:val="20"/>
        </w:rPr>
        <w:t xml:space="preserve">, </w:t>
      </w:r>
      <w:proofErr w:type="spellStart"/>
      <w:r w:rsidRPr="004D3CB3">
        <w:rPr>
          <w:rFonts w:ascii="Times New Roman" w:hAnsi="Times New Roman" w:cs="Times New Roman"/>
          <w:sz w:val="20"/>
          <w:szCs w:val="20"/>
        </w:rPr>
        <w:t>Stergios</w:t>
      </w:r>
      <w:proofErr w:type="spellEnd"/>
      <w:r w:rsidR="00875F15" w:rsidRPr="004D3CB3">
        <w:rPr>
          <w:rFonts w:ascii="Times New Roman" w:hAnsi="Times New Roman" w:cs="Times New Roman"/>
          <w:sz w:val="20"/>
          <w:szCs w:val="20"/>
        </w:rPr>
        <w:t xml:space="preserve"> </w:t>
      </w:r>
      <w:r w:rsidRPr="004D3CB3">
        <w:rPr>
          <w:rFonts w:ascii="Times New Roman" w:hAnsi="Times New Roman" w:cs="Times New Roman"/>
          <w:sz w:val="20"/>
          <w:szCs w:val="20"/>
        </w:rPr>
        <w:t>(</w:t>
      </w:r>
      <w:r w:rsidR="00875F15" w:rsidRPr="004D3CB3">
        <w:rPr>
          <w:rFonts w:ascii="Times New Roman" w:hAnsi="Times New Roman" w:cs="Times New Roman"/>
          <w:sz w:val="20"/>
          <w:szCs w:val="20"/>
        </w:rPr>
        <w:t>2006</w:t>
      </w:r>
      <w:r w:rsidRPr="004D3CB3">
        <w:rPr>
          <w:rFonts w:ascii="Times New Roman" w:hAnsi="Times New Roman" w:cs="Times New Roman"/>
          <w:sz w:val="20"/>
          <w:szCs w:val="20"/>
        </w:rPr>
        <w:t xml:space="preserve">). </w:t>
      </w:r>
      <w:proofErr w:type="gramStart"/>
      <w:r w:rsidRPr="004D3CB3">
        <w:rPr>
          <w:rFonts w:ascii="Times New Roman" w:hAnsi="Times New Roman" w:cs="Times New Roman"/>
          <w:sz w:val="20"/>
          <w:szCs w:val="20"/>
        </w:rPr>
        <w:t>Bargaining versus f</w:t>
      </w:r>
      <w:r w:rsidR="00875F15" w:rsidRPr="004D3CB3">
        <w:rPr>
          <w:rFonts w:ascii="Times New Roman" w:hAnsi="Times New Roman" w:cs="Times New Roman"/>
          <w:sz w:val="20"/>
          <w:szCs w:val="20"/>
        </w:rPr>
        <w:t>ighting.</w:t>
      </w:r>
      <w:proofErr w:type="gramEnd"/>
      <w:r w:rsidRPr="004D3CB3">
        <w:rPr>
          <w:rFonts w:ascii="Times New Roman" w:hAnsi="Times New Roman" w:cs="Times New Roman"/>
          <w:sz w:val="20"/>
          <w:szCs w:val="20"/>
        </w:rPr>
        <w:t xml:space="preserve"> </w:t>
      </w:r>
      <w:r w:rsidRPr="004D3CB3">
        <w:rPr>
          <w:rFonts w:ascii="Times New Roman" w:hAnsi="Times New Roman" w:cs="Times New Roman"/>
          <w:i/>
          <w:sz w:val="20"/>
          <w:szCs w:val="20"/>
        </w:rPr>
        <w:t>Defence and Peace Economics</w:t>
      </w:r>
      <w:r w:rsidRPr="004D3CB3">
        <w:rPr>
          <w:rFonts w:ascii="Times New Roman" w:hAnsi="Times New Roman" w:cs="Times New Roman"/>
          <w:sz w:val="20"/>
          <w:szCs w:val="20"/>
        </w:rPr>
        <w:t xml:space="preserve"> 17:</w:t>
      </w:r>
      <w:r w:rsidR="0042390E" w:rsidRPr="004D3CB3">
        <w:rPr>
          <w:rFonts w:ascii="Times New Roman" w:hAnsi="Times New Roman" w:cs="Times New Roman"/>
          <w:sz w:val="20"/>
          <w:szCs w:val="20"/>
        </w:rPr>
        <w:t xml:space="preserve"> 657-676.</w:t>
      </w:r>
    </w:p>
    <w:p w:rsidR="004801A2" w:rsidRPr="004D3CB3" w:rsidRDefault="00E07DEE" w:rsidP="0040227B">
      <w:pPr>
        <w:spacing w:after="0" w:line="240" w:lineRule="auto"/>
        <w:ind w:left="720" w:hanging="720"/>
        <w:jc w:val="both"/>
        <w:rPr>
          <w:rFonts w:ascii="Times New Roman" w:hAnsi="Times New Roman" w:cs="Times New Roman"/>
          <w:sz w:val="20"/>
          <w:szCs w:val="20"/>
        </w:rPr>
      </w:pPr>
      <w:proofErr w:type="spellStart"/>
      <w:r w:rsidRPr="004D3CB3">
        <w:rPr>
          <w:rFonts w:ascii="Times New Roman" w:hAnsi="Times New Roman" w:cs="Times New Roman"/>
          <w:sz w:val="20"/>
          <w:szCs w:val="20"/>
        </w:rPr>
        <w:t>Spaaij</w:t>
      </w:r>
      <w:proofErr w:type="spellEnd"/>
      <w:r w:rsidRPr="004D3CB3">
        <w:rPr>
          <w:rFonts w:ascii="Times New Roman" w:hAnsi="Times New Roman" w:cs="Times New Roman"/>
          <w:sz w:val="20"/>
          <w:szCs w:val="20"/>
        </w:rPr>
        <w:t>, Ramón</w:t>
      </w:r>
      <w:r w:rsidR="004801A2" w:rsidRPr="004D3CB3">
        <w:rPr>
          <w:rFonts w:ascii="Times New Roman" w:hAnsi="Times New Roman" w:cs="Times New Roman"/>
          <w:sz w:val="20"/>
          <w:szCs w:val="20"/>
        </w:rPr>
        <w:t xml:space="preserve"> </w:t>
      </w:r>
      <w:r w:rsidRPr="004D3CB3">
        <w:rPr>
          <w:rFonts w:ascii="Times New Roman" w:hAnsi="Times New Roman" w:cs="Times New Roman"/>
          <w:sz w:val="20"/>
          <w:szCs w:val="20"/>
        </w:rPr>
        <w:t>(</w:t>
      </w:r>
      <w:r w:rsidR="004801A2" w:rsidRPr="004D3CB3">
        <w:rPr>
          <w:rFonts w:ascii="Times New Roman" w:hAnsi="Times New Roman" w:cs="Times New Roman"/>
          <w:sz w:val="20"/>
          <w:szCs w:val="20"/>
        </w:rPr>
        <w:t>2010</w:t>
      </w:r>
      <w:r w:rsidRPr="004D3CB3">
        <w:rPr>
          <w:rFonts w:ascii="Times New Roman" w:hAnsi="Times New Roman" w:cs="Times New Roman"/>
          <w:sz w:val="20"/>
          <w:szCs w:val="20"/>
        </w:rPr>
        <w:t>). The enigma of lone wolf terrorism: an a</w:t>
      </w:r>
      <w:r w:rsidR="004801A2" w:rsidRPr="004D3CB3">
        <w:rPr>
          <w:rFonts w:ascii="Times New Roman" w:hAnsi="Times New Roman" w:cs="Times New Roman"/>
          <w:sz w:val="20"/>
          <w:szCs w:val="20"/>
        </w:rPr>
        <w:t xml:space="preserve">ssessment. </w:t>
      </w:r>
      <w:r w:rsidR="004801A2" w:rsidRPr="004D3CB3">
        <w:rPr>
          <w:rFonts w:ascii="Times New Roman" w:hAnsi="Times New Roman" w:cs="Times New Roman"/>
          <w:i/>
          <w:sz w:val="20"/>
          <w:szCs w:val="20"/>
        </w:rPr>
        <w:t>Studi</w:t>
      </w:r>
      <w:r w:rsidRPr="004D3CB3">
        <w:rPr>
          <w:rFonts w:ascii="Times New Roman" w:hAnsi="Times New Roman" w:cs="Times New Roman"/>
          <w:i/>
          <w:sz w:val="20"/>
          <w:szCs w:val="20"/>
        </w:rPr>
        <w:t>es in Conflict and Terrorism</w:t>
      </w:r>
      <w:r w:rsidRPr="004D3CB3">
        <w:rPr>
          <w:rFonts w:ascii="Times New Roman" w:hAnsi="Times New Roman" w:cs="Times New Roman"/>
          <w:sz w:val="20"/>
          <w:szCs w:val="20"/>
        </w:rPr>
        <w:t xml:space="preserve"> 33:</w:t>
      </w:r>
      <w:r w:rsidR="004801A2" w:rsidRPr="004D3CB3">
        <w:rPr>
          <w:rFonts w:ascii="Times New Roman" w:hAnsi="Times New Roman" w:cs="Times New Roman"/>
          <w:sz w:val="20"/>
          <w:szCs w:val="20"/>
        </w:rPr>
        <w:t xml:space="preserve"> 854-870. </w:t>
      </w:r>
    </w:p>
    <w:p w:rsidR="004801A2" w:rsidRPr="004D3CB3" w:rsidRDefault="00E07DEE" w:rsidP="0040227B">
      <w:pPr>
        <w:spacing w:after="0" w:line="240" w:lineRule="auto"/>
        <w:ind w:left="720" w:hanging="720"/>
        <w:jc w:val="both"/>
        <w:rPr>
          <w:rFonts w:ascii="Times New Roman" w:hAnsi="Times New Roman" w:cs="Times New Roman"/>
          <w:sz w:val="20"/>
          <w:szCs w:val="20"/>
        </w:rPr>
      </w:pPr>
      <w:r w:rsidRPr="004D3CB3">
        <w:rPr>
          <w:rFonts w:ascii="Times New Roman" w:hAnsi="Times New Roman" w:cs="Times New Roman"/>
          <w:sz w:val="20"/>
          <w:szCs w:val="20"/>
        </w:rPr>
        <w:t xml:space="preserve">Turk, Austin </w:t>
      </w:r>
      <w:r w:rsidR="00875F15" w:rsidRPr="004D3CB3">
        <w:rPr>
          <w:rFonts w:ascii="Times New Roman" w:hAnsi="Times New Roman" w:cs="Times New Roman"/>
          <w:sz w:val="20"/>
          <w:szCs w:val="20"/>
        </w:rPr>
        <w:t>T.</w:t>
      </w:r>
      <w:r w:rsidR="004801A2" w:rsidRPr="004D3CB3">
        <w:rPr>
          <w:rFonts w:ascii="Times New Roman" w:hAnsi="Times New Roman" w:cs="Times New Roman"/>
          <w:sz w:val="20"/>
          <w:szCs w:val="20"/>
        </w:rPr>
        <w:t xml:space="preserve"> </w:t>
      </w:r>
      <w:r w:rsidRPr="004D3CB3">
        <w:rPr>
          <w:rFonts w:ascii="Times New Roman" w:hAnsi="Times New Roman" w:cs="Times New Roman"/>
          <w:sz w:val="20"/>
          <w:szCs w:val="20"/>
        </w:rPr>
        <w:t>(</w:t>
      </w:r>
      <w:r w:rsidR="004801A2" w:rsidRPr="004D3CB3">
        <w:rPr>
          <w:rFonts w:ascii="Times New Roman" w:hAnsi="Times New Roman" w:cs="Times New Roman"/>
          <w:sz w:val="20"/>
          <w:szCs w:val="20"/>
        </w:rPr>
        <w:t>2004</w:t>
      </w:r>
      <w:r w:rsidRPr="004D3CB3">
        <w:rPr>
          <w:rFonts w:ascii="Times New Roman" w:hAnsi="Times New Roman" w:cs="Times New Roman"/>
          <w:sz w:val="20"/>
          <w:szCs w:val="20"/>
        </w:rPr>
        <w:t>)</w:t>
      </w:r>
      <w:r w:rsidR="004801A2" w:rsidRPr="004D3CB3">
        <w:rPr>
          <w:rFonts w:ascii="Times New Roman" w:hAnsi="Times New Roman" w:cs="Times New Roman"/>
          <w:sz w:val="20"/>
          <w:szCs w:val="20"/>
        </w:rPr>
        <w:t>.</w:t>
      </w:r>
      <w:r w:rsidRPr="004D3CB3">
        <w:rPr>
          <w:rFonts w:ascii="Times New Roman" w:hAnsi="Times New Roman" w:cs="Times New Roman"/>
          <w:sz w:val="20"/>
          <w:szCs w:val="20"/>
        </w:rPr>
        <w:t xml:space="preserve"> </w:t>
      </w:r>
      <w:proofErr w:type="gramStart"/>
      <w:r w:rsidRPr="004D3CB3">
        <w:rPr>
          <w:rFonts w:ascii="Times New Roman" w:hAnsi="Times New Roman" w:cs="Times New Roman"/>
          <w:sz w:val="20"/>
          <w:szCs w:val="20"/>
        </w:rPr>
        <w:t>Sociology of t</w:t>
      </w:r>
      <w:r w:rsidR="004801A2" w:rsidRPr="004D3CB3">
        <w:rPr>
          <w:rFonts w:ascii="Times New Roman" w:hAnsi="Times New Roman" w:cs="Times New Roman"/>
          <w:sz w:val="20"/>
          <w:szCs w:val="20"/>
        </w:rPr>
        <w:t>error</w:t>
      </w:r>
      <w:r w:rsidRPr="004D3CB3">
        <w:rPr>
          <w:rFonts w:ascii="Times New Roman" w:hAnsi="Times New Roman" w:cs="Times New Roman"/>
          <w:sz w:val="20"/>
          <w:szCs w:val="20"/>
        </w:rPr>
        <w:t>ism.</w:t>
      </w:r>
      <w:proofErr w:type="gramEnd"/>
      <w:r w:rsidRPr="004D3CB3">
        <w:rPr>
          <w:rFonts w:ascii="Times New Roman" w:hAnsi="Times New Roman" w:cs="Times New Roman"/>
          <w:sz w:val="20"/>
          <w:szCs w:val="20"/>
        </w:rPr>
        <w:t xml:space="preserve"> </w:t>
      </w:r>
      <w:r w:rsidRPr="004D3CB3">
        <w:rPr>
          <w:rFonts w:ascii="Times New Roman" w:hAnsi="Times New Roman" w:cs="Times New Roman"/>
          <w:i/>
          <w:sz w:val="20"/>
          <w:szCs w:val="20"/>
        </w:rPr>
        <w:t>Annual Review of Sociology</w:t>
      </w:r>
      <w:r w:rsidRPr="004D3CB3">
        <w:rPr>
          <w:rFonts w:ascii="Times New Roman" w:hAnsi="Times New Roman" w:cs="Times New Roman"/>
          <w:sz w:val="20"/>
          <w:szCs w:val="20"/>
        </w:rPr>
        <w:t xml:space="preserve"> 30:</w:t>
      </w:r>
      <w:r w:rsidR="004801A2" w:rsidRPr="004D3CB3">
        <w:rPr>
          <w:rFonts w:ascii="Times New Roman" w:hAnsi="Times New Roman" w:cs="Times New Roman"/>
          <w:sz w:val="20"/>
          <w:szCs w:val="20"/>
        </w:rPr>
        <w:t xml:space="preserve"> 271-286.</w:t>
      </w:r>
    </w:p>
    <w:p w:rsidR="0042390E" w:rsidRPr="004D3CB3" w:rsidRDefault="0042390E" w:rsidP="0040227B">
      <w:pPr>
        <w:spacing w:after="0" w:line="240" w:lineRule="auto"/>
        <w:ind w:left="720" w:hanging="720"/>
        <w:jc w:val="both"/>
        <w:rPr>
          <w:rFonts w:ascii="Times New Roman" w:hAnsi="Times New Roman" w:cs="Times New Roman"/>
          <w:sz w:val="20"/>
          <w:szCs w:val="20"/>
        </w:rPr>
      </w:pPr>
      <w:proofErr w:type="gramStart"/>
      <w:r w:rsidRPr="004D3CB3">
        <w:rPr>
          <w:rFonts w:ascii="Times New Roman" w:hAnsi="Times New Roman" w:cs="Times New Roman"/>
          <w:sz w:val="20"/>
          <w:szCs w:val="20"/>
        </w:rPr>
        <w:t>Tversky</w:t>
      </w:r>
      <w:r w:rsidR="00E07DEE" w:rsidRPr="004D3CB3">
        <w:rPr>
          <w:rFonts w:ascii="Times New Roman" w:hAnsi="Times New Roman" w:cs="Times New Roman"/>
          <w:sz w:val="20"/>
          <w:szCs w:val="20"/>
        </w:rPr>
        <w:t>, Amos and Daniel Kahneman (</w:t>
      </w:r>
      <w:r w:rsidR="00875F15" w:rsidRPr="004D3CB3">
        <w:rPr>
          <w:rFonts w:ascii="Times New Roman" w:hAnsi="Times New Roman" w:cs="Times New Roman"/>
          <w:sz w:val="20"/>
          <w:szCs w:val="20"/>
        </w:rPr>
        <w:t>1992</w:t>
      </w:r>
      <w:r w:rsidR="00E07DEE" w:rsidRPr="004D3CB3">
        <w:rPr>
          <w:rFonts w:ascii="Times New Roman" w:hAnsi="Times New Roman" w:cs="Times New Roman"/>
          <w:sz w:val="20"/>
          <w:szCs w:val="20"/>
        </w:rPr>
        <w:t>)</w:t>
      </w:r>
      <w:r w:rsidR="00875F15" w:rsidRPr="004D3CB3">
        <w:rPr>
          <w:rFonts w:ascii="Times New Roman" w:hAnsi="Times New Roman" w:cs="Times New Roman"/>
          <w:sz w:val="20"/>
          <w:szCs w:val="20"/>
        </w:rPr>
        <w:t>.</w:t>
      </w:r>
      <w:proofErr w:type="gramEnd"/>
      <w:r w:rsidR="00E07DEE" w:rsidRPr="004D3CB3">
        <w:rPr>
          <w:rFonts w:ascii="Times New Roman" w:hAnsi="Times New Roman" w:cs="Times New Roman"/>
          <w:sz w:val="20"/>
          <w:szCs w:val="20"/>
        </w:rPr>
        <w:t xml:space="preserve"> Advances in prospect theory: cumulative representation of u</w:t>
      </w:r>
      <w:r w:rsidRPr="004D3CB3">
        <w:rPr>
          <w:rFonts w:ascii="Times New Roman" w:hAnsi="Times New Roman" w:cs="Times New Roman"/>
          <w:sz w:val="20"/>
          <w:szCs w:val="20"/>
        </w:rPr>
        <w:t>ncertainty</w:t>
      </w:r>
      <w:r w:rsidR="00875F15" w:rsidRPr="004D3CB3">
        <w:rPr>
          <w:rFonts w:ascii="Times New Roman" w:hAnsi="Times New Roman" w:cs="Times New Roman"/>
          <w:sz w:val="20"/>
          <w:szCs w:val="20"/>
        </w:rPr>
        <w:t>.</w:t>
      </w:r>
      <w:r w:rsidRPr="004D3CB3">
        <w:rPr>
          <w:rFonts w:ascii="Times New Roman" w:hAnsi="Times New Roman" w:cs="Times New Roman"/>
          <w:sz w:val="20"/>
          <w:szCs w:val="20"/>
        </w:rPr>
        <w:t xml:space="preserve"> </w:t>
      </w:r>
      <w:r w:rsidRPr="004D3CB3">
        <w:rPr>
          <w:rFonts w:ascii="Times New Roman" w:hAnsi="Times New Roman" w:cs="Times New Roman"/>
          <w:i/>
          <w:sz w:val="20"/>
          <w:szCs w:val="20"/>
        </w:rPr>
        <w:t>Journal of Risk and Uncertainty</w:t>
      </w:r>
      <w:r w:rsidR="00E07DEE" w:rsidRPr="004D3CB3">
        <w:rPr>
          <w:rFonts w:ascii="Times New Roman" w:hAnsi="Times New Roman" w:cs="Times New Roman"/>
          <w:i/>
          <w:sz w:val="20"/>
          <w:szCs w:val="20"/>
        </w:rPr>
        <w:t xml:space="preserve"> </w:t>
      </w:r>
      <w:r w:rsidR="00E07DEE" w:rsidRPr="004D3CB3">
        <w:rPr>
          <w:rFonts w:ascii="Times New Roman" w:hAnsi="Times New Roman" w:cs="Times New Roman"/>
          <w:sz w:val="20"/>
          <w:szCs w:val="20"/>
        </w:rPr>
        <w:t>5:</w:t>
      </w:r>
      <w:r w:rsidR="004801A2" w:rsidRPr="004D3CB3">
        <w:rPr>
          <w:rFonts w:ascii="Times New Roman" w:hAnsi="Times New Roman" w:cs="Times New Roman"/>
          <w:sz w:val="20"/>
          <w:szCs w:val="20"/>
        </w:rPr>
        <w:t xml:space="preserve"> </w:t>
      </w:r>
      <w:r w:rsidRPr="004D3CB3">
        <w:rPr>
          <w:rFonts w:ascii="Times New Roman" w:hAnsi="Times New Roman" w:cs="Times New Roman"/>
          <w:sz w:val="20"/>
          <w:szCs w:val="20"/>
        </w:rPr>
        <w:t xml:space="preserve">297-323. </w:t>
      </w:r>
    </w:p>
    <w:p w:rsidR="004801A2" w:rsidRPr="004D3CB3" w:rsidRDefault="00E07DEE" w:rsidP="0040227B">
      <w:pPr>
        <w:spacing w:after="0" w:line="240" w:lineRule="auto"/>
        <w:ind w:left="720" w:hanging="720"/>
        <w:jc w:val="both"/>
        <w:rPr>
          <w:rFonts w:ascii="Times New Roman" w:hAnsi="Times New Roman" w:cs="Times New Roman"/>
          <w:sz w:val="20"/>
          <w:szCs w:val="20"/>
          <w:lang w:val="de-DE"/>
        </w:rPr>
      </w:pPr>
      <w:r w:rsidRPr="004D3CB3">
        <w:rPr>
          <w:rFonts w:ascii="Times New Roman" w:hAnsi="Times New Roman" w:cs="Times New Roman"/>
          <w:sz w:val="20"/>
          <w:szCs w:val="20"/>
          <w:lang w:val="de-DE"/>
        </w:rPr>
        <w:t>Victoroff, Jeff</w:t>
      </w:r>
      <w:r w:rsidR="004801A2" w:rsidRPr="004D3CB3">
        <w:rPr>
          <w:rFonts w:ascii="Times New Roman" w:hAnsi="Times New Roman" w:cs="Times New Roman"/>
          <w:sz w:val="20"/>
          <w:szCs w:val="20"/>
          <w:lang w:val="de-DE"/>
        </w:rPr>
        <w:t xml:space="preserve"> </w:t>
      </w:r>
      <w:r w:rsidRPr="004D3CB3">
        <w:rPr>
          <w:rFonts w:ascii="Times New Roman" w:hAnsi="Times New Roman" w:cs="Times New Roman"/>
          <w:sz w:val="20"/>
          <w:szCs w:val="20"/>
          <w:lang w:val="de-DE"/>
        </w:rPr>
        <w:t>(</w:t>
      </w:r>
      <w:r w:rsidR="004801A2" w:rsidRPr="004D3CB3">
        <w:rPr>
          <w:rFonts w:ascii="Times New Roman" w:hAnsi="Times New Roman" w:cs="Times New Roman"/>
          <w:sz w:val="20"/>
          <w:szCs w:val="20"/>
          <w:lang w:val="de-DE"/>
        </w:rPr>
        <w:t>2005</w:t>
      </w:r>
      <w:r w:rsidRPr="004D3CB3">
        <w:rPr>
          <w:rFonts w:ascii="Times New Roman" w:hAnsi="Times New Roman" w:cs="Times New Roman"/>
          <w:sz w:val="20"/>
          <w:szCs w:val="20"/>
          <w:lang w:val="de-DE"/>
        </w:rPr>
        <w:t>). The m</w:t>
      </w:r>
      <w:r w:rsidR="004801A2" w:rsidRPr="004D3CB3">
        <w:rPr>
          <w:rFonts w:ascii="Times New Roman" w:hAnsi="Times New Roman" w:cs="Times New Roman"/>
          <w:sz w:val="20"/>
          <w:szCs w:val="20"/>
          <w:lang w:val="de-DE"/>
        </w:rPr>
        <w:t xml:space="preserve">ind of the </w:t>
      </w:r>
      <w:r w:rsidRPr="004D3CB3">
        <w:rPr>
          <w:rFonts w:ascii="Times New Roman" w:hAnsi="Times New Roman" w:cs="Times New Roman"/>
          <w:sz w:val="20"/>
          <w:szCs w:val="20"/>
          <w:lang w:val="de-DE"/>
        </w:rPr>
        <w:t>terrorist: a review and critique of the psychological a</w:t>
      </w:r>
      <w:r w:rsidR="004801A2" w:rsidRPr="004D3CB3">
        <w:rPr>
          <w:rFonts w:ascii="Times New Roman" w:hAnsi="Times New Roman" w:cs="Times New Roman"/>
          <w:sz w:val="20"/>
          <w:szCs w:val="20"/>
          <w:lang w:val="de-DE"/>
        </w:rPr>
        <w:t xml:space="preserve">pproaches. </w:t>
      </w:r>
      <w:r w:rsidR="004801A2" w:rsidRPr="004D3CB3">
        <w:rPr>
          <w:rFonts w:ascii="Times New Roman" w:hAnsi="Times New Roman" w:cs="Times New Roman"/>
          <w:i/>
          <w:sz w:val="20"/>
          <w:szCs w:val="20"/>
          <w:lang w:val="de-DE"/>
        </w:rPr>
        <w:t>Jo</w:t>
      </w:r>
      <w:r w:rsidRPr="004D3CB3">
        <w:rPr>
          <w:rFonts w:ascii="Times New Roman" w:hAnsi="Times New Roman" w:cs="Times New Roman"/>
          <w:i/>
          <w:sz w:val="20"/>
          <w:szCs w:val="20"/>
          <w:lang w:val="de-DE"/>
        </w:rPr>
        <w:t>urnal of Conflict Resolution</w:t>
      </w:r>
      <w:r w:rsidRPr="004D3CB3">
        <w:rPr>
          <w:rFonts w:ascii="Times New Roman" w:hAnsi="Times New Roman" w:cs="Times New Roman"/>
          <w:sz w:val="20"/>
          <w:szCs w:val="20"/>
          <w:lang w:val="de-DE"/>
        </w:rPr>
        <w:t xml:space="preserve"> 49:</w:t>
      </w:r>
      <w:r w:rsidR="004801A2" w:rsidRPr="004D3CB3">
        <w:rPr>
          <w:rFonts w:ascii="Times New Roman" w:hAnsi="Times New Roman" w:cs="Times New Roman"/>
          <w:sz w:val="20"/>
          <w:szCs w:val="20"/>
          <w:lang w:val="de-DE"/>
        </w:rPr>
        <w:t xml:space="preserve"> 3-42.</w:t>
      </w:r>
    </w:p>
    <w:p w:rsidR="00F31973" w:rsidRPr="004D3CB3" w:rsidRDefault="00E07DEE" w:rsidP="0040227B">
      <w:pPr>
        <w:spacing w:after="0" w:line="240" w:lineRule="auto"/>
        <w:ind w:left="720" w:hanging="720"/>
        <w:jc w:val="both"/>
        <w:rPr>
          <w:rFonts w:ascii="Times New Roman" w:hAnsi="Times New Roman" w:cs="Times New Roman"/>
          <w:sz w:val="20"/>
          <w:szCs w:val="20"/>
          <w:lang w:val="de-DE"/>
        </w:rPr>
      </w:pPr>
      <w:r w:rsidRPr="004D3CB3">
        <w:rPr>
          <w:rFonts w:ascii="Times New Roman" w:hAnsi="Times New Roman" w:cs="Times New Roman"/>
          <w:sz w:val="20"/>
          <w:szCs w:val="20"/>
          <w:lang w:val="de-DE"/>
        </w:rPr>
        <w:t>Winkler, Will</w:t>
      </w:r>
      <w:r w:rsidR="00875F15" w:rsidRPr="004D3CB3">
        <w:rPr>
          <w:rFonts w:ascii="Times New Roman" w:hAnsi="Times New Roman" w:cs="Times New Roman"/>
          <w:sz w:val="20"/>
          <w:szCs w:val="20"/>
          <w:lang w:val="de-DE"/>
        </w:rPr>
        <w:t xml:space="preserve"> </w:t>
      </w:r>
      <w:r w:rsidRPr="004D3CB3">
        <w:rPr>
          <w:rFonts w:ascii="Times New Roman" w:hAnsi="Times New Roman" w:cs="Times New Roman"/>
          <w:sz w:val="20"/>
          <w:szCs w:val="20"/>
          <w:lang w:val="de-DE"/>
        </w:rPr>
        <w:t>(</w:t>
      </w:r>
      <w:r w:rsidR="00875F15" w:rsidRPr="004D3CB3">
        <w:rPr>
          <w:rFonts w:ascii="Times New Roman" w:hAnsi="Times New Roman" w:cs="Times New Roman"/>
          <w:sz w:val="20"/>
          <w:szCs w:val="20"/>
          <w:lang w:val="de-DE"/>
        </w:rPr>
        <w:t>2007</w:t>
      </w:r>
      <w:r w:rsidRPr="004D3CB3">
        <w:rPr>
          <w:rFonts w:ascii="Times New Roman" w:hAnsi="Times New Roman" w:cs="Times New Roman"/>
          <w:sz w:val="20"/>
          <w:szCs w:val="20"/>
          <w:lang w:val="de-DE"/>
        </w:rPr>
        <w:t xml:space="preserve">). </w:t>
      </w:r>
      <w:r w:rsidRPr="004D3CB3">
        <w:rPr>
          <w:rFonts w:ascii="Times New Roman" w:hAnsi="Times New Roman" w:cs="Times New Roman"/>
          <w:i/>
          <w:sz w:val="20"/>
          <w:szCs w:val="20"/>
          <w:lang w:val="de-DE"/>
        </w:rPr>
        <w:t>Die g</w:t>
      </w:r>
      <w:r w:rsidR="00875F15" w:rsidRPr="004D3CB3">
        <w:rPr>
          <w:rFonts w:ascii="Times New Roman" w:hAnsi="Times New Roman" w:cs="Times New Roman"/>
          <w:i/>
          <w:sz w:val="20"/>
          <w:szCs w:val="20"/>
          <w:lang w:val="de-DE"/>
        </w:rPr>
        <w:t>eschichte der RAF</w:t>
      </w:r>
      <w:r w:rsidR="00875F15" w:rsidRPr="004D3CB3">
        <w:rPr>
          <w:rFonts w:ascii="Times New Roman" w:hAnsi="Times New Roman" w:cs="Times New Roman"/>
          <w:sz w:val="20"/>
          <w:szCs w:val="20"/>
          <w:lang w:val="de-DE"/>
        </w:rPr>
        <w:t>.</w:t>
      </w:r>
      <w:r w:rsidR="00F31973" w:rsidRPr="004D3CB3">
        <w:rPr>
          <w:rFonts w:ascii="Times New Roman" w:hAnsi="Times New Roman" w:cs="Times New Roman"/>
          <w:sz w:val="20"/>
          <w:szCs w:val="20"/>
          <w:lang w:val="de-DE"/>
        </w:rPr>
        <w:t xml:space="preserve"> </w:t>
      </w:r>
      <w:r w:rsidR="008A0E0C" w:rsidRPr="004D3CB3">
        <w:rPr>
          <w:rFonts w:ascii="Times New Roman" w:hAnsi="Times New Roman" w:cs="Times New Roman"/>
          <w:sz w:val="20"/>
          <w:szCs w:val="20"/>
          <w:lang w:val="de-DE"/>
        </w:rPr>
        <w:t xml:space="preserve">Reinbek bei Hamburg, </w:t>
      </w:r>
      <w:r w:rsidR="00F31973" w:rsidRPr="004D3CB3">
        <w:rPr>
          <w:rFonts w:ascii="Times New Roman" w:hAnsi="Times New Roman" w:cs="Times New Roman"/>
          <w:sz w:val="20"/>
          <w:szCs w:val="20"/>
          <w:lang w:val="de-DE"/>
        </w:rPr>
        <w:t>R</w:t>
      </w:r>
      <w:r w:rsidR="008A0E0C" w:rsidRPr="004D3CB3">
        <w:rPr>
          <w:rFonts w:ascii="Times New Roman" w:hAnsi="Times New Roman" w:cs="Times New Roman"/>
          <w:sz w:val="20"/>
          <w:szCs w:val="20"/>
          <w:lang w:val="de-DE"/>
        </w:rPr>
        <w:t>owohlt Taschenbuch Verlag.</w:t>
      </w:r>
    </w:p>
    <w:p w:rsidR="00F31973" w:rsidRPr="004D3CB3" w:rsidRDefault="008A0E0C" w:rsidP="008A0E0C">
      <w:pPr>
        <w:tabs>
          <w:tab w:val="left" w:pos="6810"/>
        </w:tabs>
        <w:spacing w:after="0" w:line="240" w:lineRule="auto"/>
        <w:ind w:left="720" w:hanging="720"/>
        <w:jc w:val="both"/>
        <w:rPr>
          <w:rFonts w:ascii="Times New Roman" w:hAnsi="Times New Roman" w:cs="Times New Roman"/>
          <w:sz w:val="20"/>
          <w:szCs w:val="20"/>
          <w:lang w:val="de-DE"/>
        </w:rPr>
      </w:pPr>
      <w:r w:rsidRPr="004D3CB3">
        <w:rPr>
          <w:rFonts w:ascii="Times New Roman" w:hAnsi="Times New Roman" w:cs="Times New Roman"/>
          <w:sz w:val="20"/>
          <w:szCs w:val="20"/>
          <w:lang w:val="de-DE"/>
        </w:rPr>
        <w:t>Wisniewski, Stefan</w:t>
      </w:r>
      <w:r w:rsidR="00F31973" w:rsidRPr="004D3CB3">
        <w:rPr>
          <w:rFonts w:ascii="Times New Roman" w:hAnsi="Times New Roman" w:cs="Times New Roman"/>
          <w:sz w:val="20"/>
          <w:szCs w:val="20"/>
          <w:lang w:val="de-DE"/>
        </w:rPr>
        <w:t xml:space="preserve"> </w:t>
      </w:r>
      <w:r w:rsidRPr="004D3CB3">
        <w:rPr>
          <w:rFonts w:ascii="Times New Roman" w:hAnsi="Times New Roman" w:cs="Times New Roman"/>
          <w:sz w:val="20"/>
          <w:szCs w:val="20"/>
          <w:lang w:val="de-DE"/>
        </w:rPr>
        <w:t>(</w:t>
      </w:r>
      <w:r w:rsidR="00F31973" w:rsidRPr="004D3CB3">
        <w:rPr>
          <w:rFonts w:ascii="Times New Roman" w:hAnsi="Times New Roman" w:cs="Times New Roman"/>
          <w:sz w:val="20"/>
          <w:szCs w:val="20"/>
          <w:lang w:val="de-DE"/>
        </w:rPr>
        <w:t>1997</w:t>
      </w:r>
      <w:r w:rsidRPr="004D3CB3">
        <w:rPr>
          <w:rFonts w:ascii="Times New Roman" w:hAnsi="Times New Roman" w:cs="Times New Roman"/>
          <w:sz w:val="20"/>
          <w:szCs w:val="20"/>
          <w:lang w:val="de-DE"/>
        </w:rPr>
        <w:t>)</w:t>
      </w:r>
      <w:r w:rsidR="00F31973" w:rsidRPr="004D3CB3">
        <w:rPr>
          <w:rFonts w:ascii="Times New Roman" w:hAnsi="Times New Roman" w:cs="Times New Roman"/>
          <w:sz w:val="20"/>
          <w:szCs w:val="20"/>
          <w:lang w:val="de-DE"/>
        </w:rPr>
        <w:t xml:space="preserve">. </w:t>
      </w:r>
      <w:r w:rsidR="00F31973" w:rsidRPr="004D3CB3">
        <w:rPr>
          <w:rFonts w:ascii="Times New Roman" w:hAnsi="Times New Roman" w:cs="Times New Roman"/>
          <w:i/>
          <w:sz w:val="20"/>
          <w:szCs w:val="20"/>
          <w:lang w:val="de-DE"/>
        </w:rPr>
        <w:t>Wir w</w:t>
      </w:r>
      <w:r w:rsidR="00875F15" w:rsidRPr="004D3CB3">
        <w:rPr>
          <w:rFonts w:ascii="Times New Roman" w:hAnsi="Times New Roman" w:cs="Times New Roman"/>
          <w:i/>
          <w:sz w:val="20"/>
          <w:szCs w:val="20"/>
          <w:lang w:val="de-DE"/>
        </w:rPr>
        <w:t>aren to unheimlich konsequent</w:t>
      </w:r>
      <w:r w:rsidR="00875F15" w:rsidRPr="004D3CB3">
        <w:rPr>
          <w:rFonts w:ascii="Times New Roman" w:hAnsi="Times New Roman" w:cs="Times New Roman"/>
          <w:sz w:val="20"/>
          <w:szCs w:val="20"/>
          <w:lang w:val="de-DE"/>
        </w:rPr>
        <w:t xml:space="preserve"> ….</w:t>
      </w:r>
      <w:r w:rsidRPr="004D3CB3">
        <w:rPr>
          <w:rFonts w:ascii="Times New Roman" w:hAnsi="Times New Roman" w:cs="Times New Roman"/>
          <w:sz w:val="20"/>
          <w:szCs w:val="20"/>
          <w:lang w:val="de-DE"/>
        </w:rPr>
        <w:t xml:space="preserve"> Berlin, ID-Verlag.</w:t>
      </w:r>
      <w:r w:rsidRPr="004D3CB3">
        <w:rPr>
          <w:rFonts w:ascii="Times New Roman" w:hAnsi="Times New Roman" w:cs="Times New Roman"/>
          <w:sz w:val="20"/>
          <w:szCs w:val="20"/>
          <w:lang w:val="de-DE"/>
        </w:rPr>
        <w:tab/>
      </w:r>
    </w:p>
    <w:p w:rsidR="00F31973" w:rsidRPr="004D3CB3" w:rsidRDefault="00F31973" w:rsidP="0040227B">
      <w:pPr>
        <w:spacing w:after="0" w:line="240" w:lineRule="auto"/>
        <w:ind w:left="720" w:hanging="720"/>
        <w:jc w:val="both"/>
        <w:rPr>
          <w:rFonts w:ascii="Times New Roman" w:hAnsi="Times New Roman" w:cs="Times New Roman"/>
          <w:sz w:val="20"/>
          <w:szCs w:val="20"/>
        </w:rPr>
      </w:pPr>
      <w:r w:rsidRPr="004D3CB3">
        <w:rPr>
          <w:rFonts w:ascii="Times New Roman" w:hAnsi="Times New Roman" w:cs="Times New Roman"/>
          <w:sz w:val="20"/>
          <w:szCs w:val="20"/>
          <w:lang w:val="de-DE"/>
        </w:rPr>
        <w:t>Wunschik, T</w:t>
      </w:r>
      <w:r w:rsidR="008A0E0C" w:rsidRPr="004D3CB3">
        <w:rPr>
          <w:rFonts w:ascii="Times New Roman" w:hAnsi="Times New Roman" w:cs="Times New Roman"/>
          <w:sz w:val="20"/>
          <w:szCs w:val="20"/>
          <w:lang w:val="de-DE"/>
        </w:rPr>
        <w:t>obias</w:t>
      </w:r>
      <w:r w:rsidRPr="004D3CB3">
        <w:rPr>
          <w:rFonts w:ascii="Times New Roman" w:hAnsi="Times New Roman" w:cs="Times New Roman"/>
          <w:sz w:val="20"/>
          <w:szCs w:val="20"/>
          <w:lang w:val="de-DE"/>
        </w:rPr>
        <w:t xml:space="preserve"> </w:t>
      </w:r>
      <w:r w:rsidR="008A0E0C" w:rsidRPr="004D3CB3">
        <w:rPr>
          <w:rFonts w:ascii="Times New Roman" w:hAnsi="Times New Roman" w:cs="Times New Roman"/>
          <w:sz w:val="20"/>
          <w:szCs w:val="20"/>
          <w:lang w:val="de-DE"/>
        </w:rPr>
        <w:t>(</w:t>
      </w:r>
      <w:r w:rsidRPr="004D3CB3">
        <w:rPr>
          <w:rFonts w:ascii="Times New Roman" w:hAnsi="Times New Roman" w:cs="Times New Roman"/>
          <w:sz w:val="20"/>
          <w:szCs w:val="20"/>
          <w:lang w:val="de-DE"/>
        </w:rPr>
        <w:t>2006</w:t>
      </w:r>
      <w:r w:rsidR="008A0E0C" w:rsidRPr="004D3CB3">
        <w:rPr>
          <w:rFonts w:ascii="Times New Roman" w:hAnsi="Times New Roman" w:cs="Times New Roman"/>
          <w:sz w:val="20"/>
          <w:szCs w:val="20"/>
          <w:lang w:val="de-DE"/>
        </w:rPr>
        <w:t>)</w:t>
      </w:r>
      <w:r w:rsidRPr="004D3CB3">
        <w:rPr>
          <w:rFonts w:ascii="Times New Roman" w:hAnsi="Times New Roman" w:cs="Times New Roman"/>
          <w:sz w:val="20"/>
          <w:szCs w:val="20"/>
          <w:lang w:val="de-DE"/>
        </w:rPr>
        <w:t>. Die Bew</w:t>
      </w:r>
      <w:r w:rsidR="008A0E0C" w:rsidRPr="004D3CB3">
        <w:rPr>
          <w:rFonts w:ascii="Times New Roman" w:hAnsi="Times New Roman" w:cs="Times New Roman"/>
          <w:sz w:val="20"/>
          <w:szCs w:val="20"/>
          <w:lang w:val="de-DE"/>
        </w:rPr>
        <w:t xml:space="preserve">egung 2. Juni. In Kraushaar, Wolfgang (Ed.), </w:t>
      </w:r>
      <w:r w:rsidR="008A0E0C" w:rsidRPr="004D3CB3">
        <w:rPr>
          <w:rFonts w:ascii="Times New Roman" w:hAnsi="Times New Roman" w:cs="Times New Roman"/>
          <w:i/>
          <w:sz w:val="20"/>
          <w:szCs w:val="20"/>
          <w:lang w:val="de-DE"/>
        </w:rPr>
        <w:t>Die RAF und der linke t</w:t>
      </w:r>
      <w:r w:rsidRPr="004D3CB3">
        <w:rPr>
          <w:rFonts w:ascii="Times New Roman" w:hAnsi="Times New Roman" w:cs="Times New Roman"/>
          <w:i/>
          <w:sz w:val="20"/>
          <w:szCs w:val="20"/>
          <w:lang w:val="de-DE"/>
        </w:rPr>
        <w:t>errorismus</w:t>
      </w:r>
      <w:r w:rsidRPr="004D3CB3">
        <w:rPr>
          <w:rFonts w:ascii="Times New Roman" w:hAnsi="Times New Roman" w:cs="Times New Roman"/>
          <w:sz w:val="20"/>
          <w:szCs w:val="20"/>
          <w:lang w:val="de-DE"/>
        </w:rPr>
        <w:t xml:space="preserve">, </w:t>
      </w:r>
      <w:r w:rsidR="008A0E0C" w:rsidRPr="004D3CB3">
        <w:rPr>
          <w:rFonts w:ascii="Times New Roman" w:hAnsi="Times New Roman" w:cs="Times New Roman"/>
          <w:sz w:val="20"/>
          <w:szCs w:val="20"/>
          <w:lang w:val="de-DE"/>
        </w:rPr>
        <w:t xml:space="preserve">Hamburg, </w:t>
      </w:r>
      <w:r w:rsidRPr="004D3CB3">
        <w:rPr>
          <w:rFonts w:ascii="Times New Roman" w:hAnsi="Times New Roman" w:cs="Times New Roman"/>
          <w:sz w:val="20"/>
          <w:szCs w:val="20"/>
          <w:lang w:val="de-DE"/>
        </w:rPr>
        <w:t>Hamburg</w:t>
      </w:r>
      <w:r w:rsidR="008A0E0C" w:rsidRPr="004D3CB3">
        <w:rPr>
          <w:rFonts w:ascii="Times New Roman" w:hAnsi="Times New Roman" w:cs="Times New Roman"/>
          <w:sz w:val="20"/>
          <w:szCs w:val="20"/>
          <w:lang w:val="de-DE"/>
        </w:rPr>
        <w:t>er Institut für Sozialforschung, Hamburger Edition.</w:t>
      </w:r>
      <w:r w:rsidRPr="004D3CB3">
        <w:rPr>
          <w:rFonts w:ascii="Times New Roman" w:hAnsi="Times New Roman" w:cs="Times New Roman"/>
          <w:sz w:val="20"/>
          <w:szCs w:val="20"/>
        </w:rPr>
        <w:t xml:space="preserve"> </w:t>
      </w:r>
    </w:p>
    <w:p w:rsidR="003207C8" w:rsidRPr="004D3CB3" w:rsidRDefault="003207C8" w:rsidP="0040227B">
      <w:pPr>
        <w:spacing w:after="0" w:line="480" w:lineRule="auto"/>
        <w:ind w:left="720" w:hanging="720"/>
        <w:jc w:val="both"/>
        <w:rPr>
          <w:rFonts w:ascii="Times New Roman" w:hAnsi="Times New Roman" w:cs="Times New Roman"/>
          <w:sz w:val="20"/>
          <w:szCs w:val="20"/>
          <w:lang w:val="de-DE"/>
        </w:rPr>
      </w:pPr>
    </w:p>
    <w:p w:rsidR="004D3CB3" w:rsidRDefault="004D3CB3" w:rsidP="004D3CB3">
      <w:pPr>
        <w:tabs>
          <w:tab w:val="left" w:pos="1550"/>
        </w:tabs>
        <w:spacing w:after="0" w:line="480" w:lineRule="auto"/>
        <w:ind w:left="720" w:hanging="720"/>
        <w:jc w:val="both"/>
        <w:rPr>
          <w:rFonts w:ascii="Times New Roman" w:hAnsi="Times New Roman" w:cs="Times New Roman"/>
          <w:sz w:val="20"/>
          <w:szCs w:val="20"/>
        </w:rPr>
      </w:pPr>
    </w:p>
    <w:p w:rsidR="004D3CB3" w:rsidRDefault="004D3CB3" w:rsidP="004D3CB3">
      <w:pPr>
        <w:tabs>
          <w:tab w:val="left" w:pos="1550"/>
        </w:tabs>
        <w:spacing w:after="0" w:line="480" w:lineRule="auto"/>
        <w:ind w:left="720" w:hanging="720"/>
        <w:jc w:val="both"/>
        <w:rPr>
          <w:rFonts w:ascii="Times New Roman" w:hAnsi="Times New Roman" w:cs="Times New Roman"/>
          <w:sz w:val="20"/>
          <w:szCs w:val="20"/>
        </w:rPr>
      </w:pPr>
    </w:p>
    <w:p w:rsidR="004D3CB3" w:rsidRDefault="004D3CB3" w:rsidP="004D3CB3">
      <w:pPr>
        <w:tabs>
          <w:tab w:val="left" w:pos="1550"/>
        </w:tabs>
        <w:spacing w:after="0" w:line="480" w:lineRule="auto"/>
        <w:ind w:left="720" w:hanging="720"/>
        <w:jc w:val="both"/>
        <w:rPr>
          <w:rFonts w:ascii="Times New Roman" w:hAnsi="Times New Roman" w:cs="Times New Roman"/>
          <w:sz w:val="20"/>
          <w:szCs w:val="20"/>
        </w:rPr>
      </w:pPr>
    </w:p>
    <w:p w:rsidR="004801A2" w:rsidRDefault="004D3CB3" w:rsidP="004D3CB3">
      <w:pPr>
        <w:tabs>
          <w:tab w:val="left" w:pos="1550"/>
        </w:tabs>
        <w:spacing w:after="0" w:line="480" w:lineRule="auto"/>
        <w:ind w:left="720" w:hanging="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2F05D9" w:rsidRPr="002F05D9" w:rsidRDefault="002F05D9" w:rsidP="0040227B">
      <w:pPr>
        <w:spacing w:after="0" w:line="480" w:lineRule="auto"/>
        <w:ind w:left="720" w:hanging="720"/>
        <w:jc w:val="both"/>
        <w:rPr>
          <w:rFonts w:ascii="Arial" w:hAnsi="Arial" w:cs="Arial"/>
          <w:b/>
          <w:sz w:val="20"/>
          <w:szCs w:val="20"/>
        </w:rPr>
      </w:pPr>
      <w:proofErr w:type="gramStart"/>
      <w:r w:rsidRPr="002F05D9">
        <w:rPr>
          <w:rFonts w:ascii="Arial" w:hAnsi="Arial" w:cs="Arial"/>
          <w:b/>
          <w:sz w:val="20"/>
          <w:szCs w:val="20"/>
        </w:rPr>
        <w:t>Table 1.</w:t>
      </w:r>
      <w:proofErr w:type="gramEnd"/>
      <w:r w:rsidRPr="002F05D9">
        <w:rPr>
          <w:rFonts w:ascii="Arial" w:hAnsi="Arial" w:cs="Arial"/>
          <w:b/>
          <w:sz w:val="20"/>
          <w:szCs w:val="20"/>
        </w:rPr>
        <w:t xml:space="preserve"> Prospect Values and Preference Rankings (Normal Distribution)</w:t>
      </w:r>
    </w:p>
    <w:tbl>
      <w:tblPr>
        <w:tblStyle w:val="TableGrid"/>
        <w:tblW w:w="0" w:type="auto"/>
        <w:jc w:val="center"/>
        <w:tblInd w:w="162" w:type="dxa"/>
        <w:tblLook w:val="04A0" w:firstRow="1" w:lastRow="0" w:firstColumn="1" w:lastColumn="0" w:noHBand="0" w:noVBand="1"/>
      </w:tblPr>
      <w:tblGrid>
        <w:gridCol w:w="1458"/>
        <w:gridCol w:w="1524"/>
        <w:gridCol w:w="1524"/>
        <w:gridCol w:w="1524"/>
        <w:gridCol w:w="1525"/>
        <w:gridCol w:w="1525"/>
      </w:tblGrid>
      <w:tr w:rsidR="002F05D9" w:rsidRPr="00280E87" w:rsidTr="002F05D9">
        <w:trPr>
          <w:trHeight w:val="727"/>
          <w:jc w:val="center"/>
        </w:trPr>
        <w:tc>
          <w:tcPr>
            <w:tcW w:w="1403" w:type="dxa"/>
          </w:tcPr>
          <w:p w:rsidR="002F05D9" w:rsidRPr="00280E87" w:rsidRDefault="002F05D9" w:rsidP="0025469E">
            <w:pPr>
              <w:jc w:val="center"/>
              <w:rPr>
                <w:rFonts w:ascii="Arial" w:hAnsi="Arial" w:cs="Arial"/>
                <w:sz w:val="18"/>
                <w:szCs w:val="18"/>
              </w:rPr>
            </w:pPr>
            <w:r w:rsidRPr="00280E87">
              <w:rPr>
                <w:rFonts w:ascii="Arial" w:hAnsi="Arial" w:cs="Arial"/>
                <w:sz w:val="18"/>
                <w:szCs w:val="18"/>
              </w:rPr>
              <w:lastRenderedPageBreak/>
              <w:t>Attack Method Category</w:t>
            </w:r>
          </w:p>
        </w:tc>
        <w:tc>
          <w:tcPr>
            <w:tcW w:w="1535" w:type="dxa"/>
          </w:tcPr>
          <w:p w:rsidR="002F05D9" w:rsidRPr="00280E87" w:rsidRDefault="002F05D9" w:rsidP="0025469E">
            <w:pPr>
              <w:jc w:val="center"/>
              <w:rPr>
                <w:rFonts w:ascii="Arial" w:hAnsi="Arial" w:cs="Arial"/>
                <w:sz w:val="18"/>
                <w:szCs w:val="18"/>
              </w:rPr>
            </w:pPr>
            <w:r w:rsidRPr="00280E87">
              <w:rPr>
                <w:rFonts w:ascii="Arial" w:hAnsi="Arial" w:cs="Arial"/>
                <w:sz w:val="18"/>
                <w:szCs w:val="18"/>
              </w:rPr>
              <w:t>Prospect Value</w:t>
            </w:r>
          </w:p>
          <w:p w:rsidR="002F05D9" w:rsidRPr="00280E87" w:rsidRDefault="002F05D9" w:rsidP="0025469E">
            <w:pPr>
              <w:jc w:val="center"/>
              <w:rPr>
                <w:rFonts w:ascii="Arial" w:hAnsi="Arial" w:cs="Arial"/>
                <w:sz w:val="18"/>
                <w:szCs w:val="18"/>
              </w:rPr>
            </w:pPr>
            <w:r w:rsidRPr="00280E87">
              <w:rPr>
                <w:rFonts w:ascii="Arial" w:hAnsi="Arial" w:cs="Arial"/>
                <w:sz w:val="18"/>
                <w:szCs w:val="18"/>
              </w:rPr>
              <w:t>Reference Point = 1.00</w:t>
            </w:r>
          </w:p>
        </w:tc>
        <w:tc>
          <w:tcPr>
            <w:tcW w:w="1535" w:type="dxa"/>
          </w:tcPr>
          <w:p w:rsidR="002F05D9" w:rsidRPr="00280E87" w:rsidRDefault="002F05D9" w:rsidP="0025469E">
            <w:pPr>
              <w:jc w:val="center"/>
              <w:rPr>
                <w:rFonts w:ascii="Arial" w:hAnsi="Arial" w:cs="Arial"/>
                <w:sz w:val="18"/>
                <w:szCs w:val="18"/>
              </w:rPr>
            </w:pPr>
            <w:r w:rsidRPr="00280E87">
              <w:rPr>
                <w:rFonts w:ascii="Arial" w:hAnsi="Arial" w:cs="Arial"/>
                <w:sz w:val="18"/>
                <w:szCs w:val="18"/>
              </w:rPr>
              <w:t>Prospect Value</w:t>
            </w:r>
          </w:p>
          <w:p w:rsidR="002F05D9" w:rsidRPr="00280E87" w:rsidRDefault="002F05D9" w:rsidP="0025469E">
            <w:pPr>
              <w:jc w:val="center"/>
              <w:rPr>
                <w:rFonts w:ascii="Arial" w:hAnsi="Arial" w:cs="Arial"/>
                <w:sz w:val="18"/>
                <w:szCs w:val="18"/>
              </w:rPr>
            </w:pPr>
            <w:r w:rsidRPr="00280E87">
              <w:rPr>
                <w:rFonts w:ascii="Arial" w:hAnsi="Arial" w:cs="Arial"/>
                <w:sz w:val="18"/>
                <w:szCs w:val="18"/>
              </w:rPr>
              <w:t>Reference Point = 2.00</w:t>
            </w:r>
          </w:p>
        </w:tc>
        <w:tc>
          <w:tcPr>
            <w:tcW w:w="1535" w:type="dxa"/>
          </w:tcPr>
          <w:p w:rsidR="002F05D9" w:rsidRPr="00280E87" w:rsidRDefault="002F05D9" w:rsidP="0025469E">
            <w:pPr>
              <w:jc w:val="center"/>
              <w:rPr>
                <w:rFonts w:ascii="Arial" w:hAnsi="Arial" w:cs="Arial"/>
                <w:sz w:val="18"/>
                <w:szCs w:val="18"/>
              </w:rPr>
            </w:pPr>
            <w:r w:rsidRPr="00280E87">
              <w:rPr>
                <w:rFonts w:ascii="Arial" w:hAnsi="Arial" w:cs="Arial"/>
                <w:sz w:val="18"/>
                <w:szCs w:val="18"/>
              </w:rPr>
              <w:t>Prospect Value</w:t>
            </w:r>
          </w:p>
          <w:p w:rsidR="002F05D9" w:rsidRPr="00280E87" w:rsidRDefault="002F05D9" w:rsidP="0025469E">
            <w:pPr>
              <w:jc w:val="center"/>
              <w:rPr>
                <w:rFonts w:ascii="Arial" w:hAnsi="Arial" w:cs="Arial"/>
                <w:sz w:val="18"/>
                <w:szCs w:val="18"/>
              </w:rPr>
            </w:pPr>
            <w:r w:rsidRPr="00280E87">
              <w:rPr>
                <w:rFonts w:ascii="Arial" w:hAnsi="Arial" w:cs="Arial"/>
                <w:sz w:val="18"/>
                <w:szCs w:val="18"/>
              </w:rPr>
              <w:t>Reference Point = 3.00</w:t>
            </w:r>
          </w:p>
        </w:tc>
        <w:tc>
          <w:tcPr>
            <w:tcW w:w="1536" w:type="dxa"/>
          </w:tcPr>
          <w:p w:rsidR="002F05D9" w:rsidRPr="00280E87" w:rsidRDefault="002F05D9" w:rsidP="0025469E">
            <w:pPr>
              <w:jc w:val="center"/>
              <w:rPr>
                <w:rFonts w:ascii="Arial" w:hAnsi="Arial" w:cs="Arial"/>
                <w:sz w:val="18"/>
                <w:szCs w:val="18"/>
              </w:rPr>
            </w:pPr>
            <w:r w:rsidRPr="00280E87">
              <w:rPr>
                <w:rFonts w:ascii="Arial" w:hAnsi="Arial" w:cs="Arial"/>
                <w:sz w:val="18"/>
                <w:szCs w:val="18"/>
              </w:rPr>
              <w:t>Prospect Value</w:t>
            </w:r>
          </w:p>
          <w:p w:rsidR="002F05D9" w:rsidRPr="00280E87" w:rsidRDefault="002F05D9" w:rsidP="0025469E">
            <w:pPr>
              <w:jc w:val="center"/>
              <w:rPr>
                <w:rFonts w:ascii="Arial" w:hAnsi="Arial" w:cs="Arial"/>
                <w:sz w:val="18"/>
                <w:szCs w:val="18"/>
              </w:rPr>
            </w:pPr>
            <w:r w:rsidRPr="00280E87">
              <w:rPr>
                <w:rFonts w:ascii="Arial" w:hAnsi="Arial" w:cs="Arial"/>
                <w:sz w:val="18"/>
                <w:szCs w:val="18"/>
              </w:rPr>
              <w:t>Reference Point = 4.00</w:t>
            </w:r>
          </w:p>
        </w:tc>
        <w:tc>
          <w:tcPr>
            <w:tcW w:w="1536" w:type="dxa"/>
          </w:tcPr>
          <w:p w:rsidR="002F05D9" w:rsidRPr="00280E87" w:rsidRDefault="002F05D9" w:rsidP="0025469E">
            <w:pPr>
              <w:jc w:val="center"/>
              <w:rPr>
                <w:rFonts w:ascii="Arial" w:hAnsi="Arial" w:cs="Arial"/>
                <w:sz w:val="18"/>
                <w:szCs w:val="18"/>
              </w:rPr>
            </w:pPr>
            <w:r w:rsidRPr="00280E87">
              <w:rPr>
                <w:rFonts w:ascii="Arial" w:hAnsi="Arial" w:cs="Arial"/>
                <w:sz w:val="18"/>
                <w:szCs w:val="18"/>
              </w:rPr>
              <w:t>Prospect Value</w:t>
            </w:r>
          </w:p>
          <w:p w:rsidR="002F05D9" w:rsidRPr="00280E87" w:rsidRDefault="002F05D9" w:rsidP="0025469E">
            <w:pPr>
              <w:jc w:val="center"/>
              <w:rPr>
                <w:rFonts w:ascii="Arial" w:hAnsi="Arial" w:cs="Arial"/>
                <w:sz w:val="18"/>
                <w:szCs w:val="18"/>
              </w:rPr>
            </w:pPr>
            <w:r w:rsidRPr="00280E87">
              <w:rPr>
                <w:rFonts w:ascii="Arial" w:hAnsi="Arial" w:cs="Arial"/>
                <w:sz w:val="18"/>
                <w:szCs w:val="18"/>
              </w:rPr>
              <w:t>Reference Point = 5.00</w:t>
            </w:r>
          </w:p>
        </w:tc>
      </w:tr>
      <w:tr w:rsidR="002F05D9" w:rsidRPr="00280E87" w:rsidTr="002F05D9">
        <w:trPr>
          <w:trHeight w:val="246"/>
          <w:jc w:val="center"/>
        </w:trPr>
        <w:tc>
          <w:tcPr>
            <w:tcW w:w="1403" w:type="dxa"/>
          </w:tcPr>
          <w:p w:rsidR="002F05D9" w:rsidRPr="00280E87" w:rsidRDefault="002F05D9" w:rsidP="0025469E">
            <w:pPr>
              <w:jc w:val="both"/>
              <w:rPr>
                <w:rFonts w:ascii="Arial" w:hAnsi="Arial" w:cs="Arial"/>
                <w:sz w:val="18"/>
                <w:szCs w:val="18"/>
              </w:rPr>
            </w:pPr>
            <w:r w:rsidRPr="00280E87">
              <w:rPr>
                <w:rFonts w:ascii="Arial" w:hAnsi="Arial" w:cs="Arial"/>
                <w:sz w:val="18"/>
                <w:szCs w:val="18"/>
              </w:rPr>
              <w:t>Armed Attacks</w:t>
            </w:r>
          </w:p>
        </w:tc>
        <w:tc>
          <w:tcPr>
            <w:tcW w:w="1535" w:type="dxa"/>
            <w:vAlign w:val="bottom"/>
          </w:tcPr>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 xml:space="preserve">9.65 </w:t>
            </w:r>
          </w:p>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(6)</w:t>
            </w:r>
          </w:p>
        </w:tc>
        <w:tc>
          <w:tcPr>
            <w:tcW w:w="1535" w:type="dxa"/>
            <w:vAlign w:val="bottom"/>
          </w:tcPr>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9.24</w:t>
            </w:r>
          </w:p>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(4)</w:t>
            </w:r>
          </w:p>
        </w:tc>
        <w:tc>
          <w:tcPr>
            <w:tcW w:w="1535"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8.863</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(4)</w:t>
            </w:r>
          </w:p>
        </w:tc>
        <w:tc>
          <w:tcPr>
            <w:tcW w:w="1536"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8.48</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(3)</w:t>
            </w:r>
          </w:p>
        </w:tc>
        <w:tc>
          <w:tcPr>
            <w:tcW w:w="1536"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8.126</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(2)</w:t>
            </w:r>
          </w:p>
        </w:tc>
      </w:tr>
      <w:tr w:rsidR="002F05D9" w:rsidRPr="00280E87" w:rsidTr="002F05D9">
        <w:trPr>
          <w:trHeight w:val="235"/>
          <w:jc w:val="center"/>
        </w:trPr>
        <w:tc>
          <w:tcPr>
            <w:tcW w:w="1403" w:type="dxa"/>
          </w:tcPr>
          <w:p w:rsidR="002F05D9" w:rsidRPr="00280E87" w:rsidRDefault="002F05D9" w:rsidP="0025469E">
            <w:pPr>
              <w:jc w:val="both"/>
              <w:rPr>
                <w:rFonts w:ascii="Arial" w:hAnsi="Arial" w:cs="Arial"/>
                <w:sz w:val="18"/>
                <w:szCs w:val="18"/>
              </w:rPr>
            </w:pPr>
            <w:r w:rsidRPr="00280E87">
              <w:rPr>
                <w:rFonts w:ascii="Arial" w:hAnsi="Arial" w:cs="Arial"/>
                <w:sz w:val="18"/>
                <w:szCs w:val="18"/>
              </w:rPr>
              <w:t>Arson</w:t>
            </w:r>
          </w:p>
        </w:tc>
        <w:tc>
          <w:tcPr>
            <w:tcW w:w="1535" w:type="dxa"/>
            <w:vAlign w:val="bottom"/>
          </w:tcPr>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 xml:space="preserve">9.67 </w:t>
            </w:r>
          </w:p>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(4)</w:t>
            </w:r>
          </w:p>
        </w:tc>
        <w:tc>
          <w:tcPr>
            <w:tcW w:w="1535" w:type="dxa"/>
            <w:vAlign w:val="bottom"/>
          </w:tcPr>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9.12</w:t>
            </w:r>
          </w:p>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(6)</w:t>
            </w:r>
          </w:p>
        </w:tc>
        <w:tc>
          <w:tcPr>
            <w:tcW w:w="1535"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8.55</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(6)</w:t>
            </w:r>
          </w:p>
        </w:tc>
        <w:tc>
          <w:tcPr>
            <w:tcW w:w="1536"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7.98</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(6)</w:t>
            </w:r>
          </w:p>
        </w:tc>
        <w:tc>
          <w:tcPr>
            <w:tcW w:w="1536"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7.429</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(6)</w:t>
            </w:r>
          </w:p>
        </w:tc>
      </w:tr>
      <w:tr w:rsidR="002F05D9" w:rsidRPr="00280E87" w:rsidTr="002F05D9">
        <w:trPr>
          <w:trHeight w:val="246"/>
          <w:jc w:val="center"/>
        </w:trPr>
        <w:tc>
          <w:tcPr>
            <w:tcW w:w="1403" w:type="dxa"/>
          </w:tcPr>
          <w:p w:rsidR="002F05D9" w:rsidRPr="00280E87" w:rsidRDefault="002F05D9" w:rsidP="0025469E">
            <w:pPr>
              <w:jc w:val="both"/>
              <w:rPr>
                <w:rFonts w:ascii="Arial" w:hAnsi="Arial" w:cs="Arial"/>
                <w:sz w:val="18"/>
                <w:szCs w:val="18"/>
              </w:rPr>
            </w:pPr>
            <w:r w:rsidRPr="00280E87">
              <w:rPr>
                <w:rFonts w:ascii="Arial" w:hAnsi="Arial" w:cs="Arial"/>
                <w:sz w:val="18"/>
                <w:szCs w:val="18"/>
              </w:rPr>
              <w:t>Assassination</w:t>
            </w:r>
          </w:p>
        </w:tc>
        <w:tc>
          <w:tcPr>
            <w:tcW w:w="1535" w:type="dxa"/>
            <w:vAlign w:val="bottom"/>
          </w:tcPr>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 xml:space="preserve">10.47 </w:t>
            </w:r>
          </w:p>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(1)</w:t>
            </w:r>
          </w:p>
        </w:tc>
        <w:tc>
          <w:tcPr>
            <w:tcW w:w="1535" w:type="dxa"/>
            <w:vAlign w:val="bottom"/>
          </w:tcPr>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9.93</w:t>
            </w:r>
          </w:p>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(2)</w:t>
            </w:r>
          </w:p>
        </w:tc>
        <w:tc>
          <w:tcPr>
            <w:tcW w:w="1535"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9.05</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(2)</w:t>
            </w:r>
          </w:p>
        </w:tc>
        <w:tc>
          <w:tcPr>
            <w:tcW w:w="1536"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8.17</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(5)</w:t>
            </w:r>
          </w:p>
        </w:tc>
        <w:tc>
          <w:tcPr>
            <w:tcW w:w="1536"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7.372</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(7)</w:t>
            </w:r>
          </w:p>
        </w:tc>
      </w:tr>
      <w:tr w:rsidR="002F05D9" w:rsidRPr="00280E87" w:rsidTr="002F05D9">
        <w:trPr>
          <w:trHeight w:val="246"/>
          <w:jc w:val="center"/>
        </w:trPr>
        <w:tc>
          <w:tcPr>
            <w:tcW w:w="1403" w:type="dxa"/>
          </w:tcPr>
          <w:p w:rsidR="002F05D9" w:rsidRPr="00280E87" w:rsidRDefault="002F05D9" w:rsidP="0025469E">
            <w:pPr>
              <w:jc w:val="both"/>
              <w:rPr>
                <w:rFonts w:ascii="Arial" w:hAnsi="Arial" w:cs="Arial"/>
                <w:sz w:val="18"/>
                <w:szCs w:val="18"/>
              </w:rPr>
            </w:pPr>
            <w:r w:rsidRPr="00280E87">
              <w:rPr>
                <w:rFonts w:ascii="Arial" w:hAnsi="Arial" w:cs="Arial"/>
                <w:sz w:val="18"/>
                <w:szCs w:val="18"/>
              </w:rPr>
              <w:t>Hostage</w:t>
            </w:r>
          </w:p>
        </w:tc>
        <w:tc>
          <w:tcPr>
            <w:tcW w:w="1535" w:type="dxa"/>
            <w:vAlign w:val="bottom"/>
          </w:tcPr>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 xml:space="preserve">9.59 </w:t>
            </w:r>
          </w:p>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(7)</w:t>
            </w:r>
          </w:p>
        </w:tc>
        <w:tc>
          <w:tcPr>
            <w:tcW w:w="1535" w:type="dxa"/>
            <w:vAlign w:val="bottom"/>
          </w:tcPr>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9.15</w:t>
            </w:r>
          </w:p>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(5)</w:t>
            </w:r>
          </w:p>
        </w:tc>
        <w:tc>
          <w:tcPr>
            <w:tcW w:w="1535"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8.74</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(5)</w:t>
            </w:r>
          </w:p>
        </w:tc>
        <w:tc>
          <w:tcPr>
            <w:tcW w:w="1536"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8.34</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(4)</w:t>
            </w:r>
          </w:p>
        </w:tc>
        <w:tc>
          <w:tcPr>
            <w:tcW w:w="1536"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7.955</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(4)</w:t>
            </w:r>
          </w:p>
        </w:tc>
      </w:tr>
      <w:tr w:rsidR="002F05D9" w:rsidRPr="00280E87" w:rsidTr="002F05D9">
        <w:trPr>
          <w:trHeight w:val="246"/>
          <w:jc w:val="center"/>
        </w:trPr>
        <w:tc>
          <w:tcPr>
            <w:tcW w:w="1403" w:type="dxa"/>
          </w:tcPr>
          <w:p w:rsidR="002F05D9" w:rsidRPr="00280E87" w:rsidRDefault="002F05D9" w:rsidP="0025469E">
            <w:pPr>
              <w:jc w:val="both"/>
              <w:rPr>
                <w:rFonts w:ascii="Arial" w:hAnsi="Arial" w:cs="Arial"/>
                <w:sz w:val="18"/>
                <w:szCs w:val="18"/>
              </w:rPr>
            </w:pPr>
            <w:r w:rsidRPr="00280E87">
              <w:rPr>
                <w:rFonts w:ascii="Arial" w:hAnsi="Arial" w:cs="Arial"/>
                <w:sz w:val="18"/>
                <w:szCs w:val="18"/>
              </w:rPr>
              <w:t>Bombing</w:t>
            </w:r>
          </w:p>
        </w:tc>
        <w:tc>
          <w:tcPr>
            <w:tcW w:w="1535" w:type="dxa"/>
            <w:vAlign w:val="bottom"/>
          </w:tcPr>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 xml:space="preserve">10.12 </w:t>
            </w:r>
          </w:p>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(2)</w:t>
            </w:r>
          </w:p>
        </w:tc>
        <w:tc>
          <w:tcPr>
            <w:tcW w:w="1535" w:type="dxa"/>
            <w:vAlign w:val="bottom"/>
          </w:tcPr>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9.97</w:t>
            </w:r>
          </w:p>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(1)</w:t>
            </w:r>
          </w:p>
        </w:tc>
        <w:tc>
          <w:tcPr>
            <w:tcW w:w="1535"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9.82</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(1)</w:t>
            </w:r>
          </w:p>
        </w:tc>
        <w:tc>
          <w:tcPr>
            <w:tcW w:w="1536"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9.67</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(1)</w:t>
            </w:r>
          </w:p>
        </w:tc>
        <w:tc>
          <w:tcPr>
            <w:tcW w:w="1536"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9.518</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(1)</w:t>
            </w:r>
          </w:p>
        </w:tc>
      </w:tr>
      <w:tr w:rsidR="002F05D9" w:rsidRPr="00280E87" w:rsidTr="002F05D9">
        <w:trPr>
          <w:trHeight w:val="235"/>
          <w:jc w:val="center"/>
        </w:trPr>
        <w:tc>
          <w:tcPr>
            <w:tcW w:w="1403" w:type="dxa"/>
          </w:tcPr>
          <w:p w:rsidR="002F05D9" w:rsidRPr="00280E87" w:rsidRDefault="002F05D9" w:rsidP="0025469E">
            <w:pPr>
              <w:jc w:val="both"/>
              <w:rPr>
                <w:rFonts w:ascii="Arial" w:hAnsi="Arial" w:cs="Arial"/>
                <w:sz w:val="18"/>
                <w:szCs w:val="18"/>
              </w:rPr>
            </w:pPr>
            <w:r w:rsidRPr="00280E87">
              <w:rPr>
                <w:rFonts w:ascii="Arial" w:hAnsi="Arial" w:cs="Arial"/>
                <w:sz w:val="18"/>
                <w:szCs w:val="18"/>
              </w:rPr>
              <w:t>Hijacking</w:t>
            </w:r>
          </w:p>
        </w:tc>
        <w:tc>
          <w:tcPr>
            <w:tcW w:w="1535" w:type="dxa"/>
            <w:vAlign w:val="bottom"/>
          </w:tcPr>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 xml:space="preserve">9.66 </w:t>
            </w:r>
          </w:p>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(5)</w:t>
            </w:r>
          </w:p>
        </w:tc>
        <w:tc>
          <w:tcPr>
            <w:tcW w:w="1535" w:type="dxa"/>
            <w:vAlign w:val="bottom"/>
          </w:tcPr>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9.25</w:t>
            </w:r>
          </w:p>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(3)</w:t>
            </w:r>
          </w:p>
        </w:tc>
        <w:tc>
          <w:tcPr>
            <w:tcW w:w="1535"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8.869</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(3)</w:t>
            </w:r>
          </w:p>
        </w:tc>
        <w:tc>
          <w:tcPr>
            <w:tcW w:w="1536"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8.49</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(2)</w:t>
            </w:r>
          </w:p>
        </w:tc>
        <w:tc>
          <w:tcPr>
            <w:tcW w:w="1536"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8.124</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(3)</w:t>
            </w:r>
          </w:p>
        </w:tc>
      </w:tr>
      <w:tr w:rsidR="002F05D9" w:rsidRPr="00280E87" w:rsidTr="002F05D9">
        <w:trPr>
          <w:trHeight w:val="246"/>
          <w:jc w:val="center"/>
        </w:trPr>
        <w:tc>
          <w:tcPr>
            <w:tcW w:w="1403" w:type="dxa"/>
          </w:tcPr>
          <w:p w:rsidR="002F05D9" w:rsidRPr="00280E87" w:rsidRDefault="002F05D9" w:rsidP="0025469E">
            <w:pPr>
              <w:jc w:val="both"/>
              <w:rPr>
                <w:rFonts w:ascii="Arial" w:hAnsi="Arial" w:cs="Arial"/>
                <w:sz w:val="18"/>
                <w:szCs w:val="18"/>
              </w:rPr>
            </w:pPr>
            <w:r w:rsidRPr="00280E87">
              <w:rPr>
                <w:rFonts w:ascii="Arial" w:hAnsi="Arial" w:cs="Arial"/>
                <w:sz w:val="18"/>
                <w:szCs w:val="18"/>
              </w:rPr>
              <w:t>Kidnapping</w:t>
            </w:r>
          </w:p>
        </w:tc>
        <w:tc>
          <w:tcPr>
            <w:tcW w:w="1535" w:type="dxa"/>
            <w:vAlign w:val="bottom"/>
          </w:tcPr>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 xml:space="preserve">9.96 </w:t>
            </w:r>
          </w:p>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(3)</w:t>
            </w:r>
          </w:p>
        </w:tc>
        <w:tc>
          <w:tcPr>
            <w:tcW w:w="1535" w:type="dxa"/>
            <w:vAlign w:val="bottom"/>
          </w:tcPr>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7.97</w:t>
            </w:r>
          </w:p>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(8)</w:t>
            </w:r>
          </w:p>
        </w:tc>
        <w:tc>
          <w:tcPr>
            <w:tcW w:w="1535"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6.29</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(8)</w:t>
            </w:r>
          </w:p>
        </w:tc>
        <w:tc>
          <w:tcPr>
            <w:tcW w:w="1536"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4.72</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(8)</w:t>
            </w:r>
          </w:p>
        </w:tc>
        <w:tc>
          <w:tcPr>
            <w:tcW w:w="1536"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3.192</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(8)</w:t>
            </w:r>
          </w:p>
        </w:tc>
      </w:tr>
      <w:tr w:rsidR="002F05D9" w:rsidRPr="00280E87" w:rsidTr="002F05D9">
        <w:trPr>
          <w:trHeight w:val="246"/>
          <w:jc w:val="center"/>
        </w:trPr>
        <w:tc>
          <w:tcPr>
            <w:tcW w:w="1403" w:type="dxa"/>
          </w:tcPr>
          <w:p w:rsidR="002F05D9" w:rsidRPr="00280E87" w:rsidRDefault="002F05D9" w:rsidP="0025469E">
            <w:pPr>
              <w:jc w:val="both"/>
              <w:rPr>
                <w:rFonts w:ascii="Arial" w:hAnsi="Arial" w:cs="Arial"/>
                <w:sz w:val="18"/>
                <w:szCs w:val="18"/>
              </w:rPr>
            </w:pPr>
            <w:r w:rsidRPr="00280E87">
              <w:rPr>
                <w:rFonts w:ascii="Arial" w:hAnsi="Arial" w:cs="Arial"/>
                <w:sz w:val="18"/>
                <w:szCs w:val="18"/>
              </w:rPr>
              <w:t>Unconventional</w:t>
            </w:r>
          </w:p>
        </w:tc>
        <w:tc>
          <w:tcPr>
            <w:tcW w:w="1535" w:type="dxa"/>
            <w:vAlign w:val="bottom"/>
          </w:tcPr>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 xml:space="preserve">9.46 </w:t>
            </w:r>
          </w:p>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(8)</w:t>
            </w:r>
          </w:p>
        </w:tc>
        <w:tc>
          <w:tcPr>
            <w:tcW w:w="1535" w:type="dxa"/>
            <w:vAlign w:val="bottom"/>
          </w:tcPr>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8.92</w:t>
            </w:r>
          </w:p>
          <w:p w:rsidR="002F05D9" w:rsidRPr="00280E87" w:rsidRDefault="002F05D9" w:rsidP="0025469E">
            <w:pPr>
              <w:jc w:val="center"/>
              <w:rPr>
                <w:rFonts w:ascii="Arial" w:hAnsi="Arial" w:cs="Arial"/>
                <w:color w:val="000000"/>
                <w:sz w:val="18"/>
                <w:szCs w:val="18"/>
              </w:rPr>
            </w:pPr>
            <w:r w:rsidRPr="00280E87">
              <w:rPr>
                <w:rFonts w:ascii="Arial" w:hAnsi="Arial" w:cs="Arial"/>
                <w:color w:val="000000"/>
                <w:sz w:val="18"/>
                <w:szCs w:val="18"/>
              </w:rPr>
              <w:t>(7)</w:t>
            </w:r>
          </w:p>
        </w:tc>
        <w:tc>
          <w:tcPr>
            <w:tcW w:w="1535"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8.42</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(7)</w:t>
            </w:r>
          </w:p>
        </w:tc>
        <w:tc>
          <w:tcPr>
            <w:tcW w:w="1536"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7.94</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(7)</w:t>
            </w:r>
          </w:p>
        </w:tc>
        <w:tc>
          <w:tcPr>
            <w:tcW w:w="1536" w:type="dxa"/>
            <w:vAlign w:val="bottom"/>
          </w:tcPr>
          <w:p w:rsidR="002F05D9" w:rsidRDefault="002F05D9" w:rsidP="0025469E">
            <w:pPr>
              <w:jc w:val="center"/>
              <w:rPr>
                <w:rFonts w:ascii="Arial" w:hAnsi="Arial" w:cs="Arial"/>
                <w:color w:val="000000"/>
                <w:sz w:val="18"/>
                <w:szCs w:val="20"/>
              </w:rPr>
            </w:pPr>
            <w:r w:rsidRPr="00280E87">
              <w:rPr>
                <w:rFonts w:ascii="Arial" w:hAnsi="Arial" w:cs="Arial"/>
                <w:color w:val="000000"/>
                <w:sz w:val="18"/>
                <w:szCs w:val="20"/>
              </w:rPr>
              <w:t>7.469</w:t>
            </w:r>
          </w:p>
          <w:p w:rsidR="002F05D9" w:rsidRPr="00280E87" w:rsidRDefault="002F05D9" w:rsidP="0025469E">
            <w:pPr>
              <w:jc w:val="center"/>
              <w:rPr>
                <w:rFonts w:ascii="Arial" w:hAnsi="Arial" w:cs="Arial"/>
                <w:color w:val="000000"/>
                <w:sz w:val="18"/>
                <w:szCs w:val="20"/>
              </w:rPr>
            </w:pPr>
            <w:r>
              <w:rPr>
                <w:rFonts w:ascii="Arial" w:hAnsi="Arial" w:cs="Arial"/>
                <w:color w:val="000000"/>
                <w:sz w:val="18"/>
                <w:szCs w:val="20"/>
              </w:rPr>
              <w:t>(5)</w:t>
            </w:r>
          </w:p>
        </w:tc>
      </w:tr>
    </w:tbl>
    <w:p w:rsidR="00FD26A4" w:rsidRDefault="00FD26A4" w:rsidP="004D36A4">
      <w:pPr>
        <w:spacing w:after="0" w:line="240" w:lineRule="auto"/>
        <w:ind w:left="720" w:hanging="720"/>
        <w:jc w:val="both"/>
        <w:rPr>
          <w:rFonts w:ascii="Times New Roman" w:hAnsi="Times New Roman" w:cs="Times New Roman"/>
          <w:sz w:val="16"/>
          <w:szCs w:val="20"/>
        </w:rPr>
      </w:pPr>
    </w:p>
    <w:p w:rsidR="004D36A4" w:rsidRDefault="004D36A4" w:rsidP="004D36A4">
      <w:pPr>
        <w:spacing w:after="0" w:line="240" w:lineRule="auto"/>
        <w:ind w:left="720" w:hanging="720"/>
        <w:jc w:val="both"/>
        <w:rPr>
          <w:rFonts w:ascii="Arial" w:hAnsi="Arial" w:cs="Arial"/>
          <w:sz w:val="16"/>
          <w:szCs w:val="20"/>
        </w:rPr>
      </w:pPr>
    </w:p>
    <w:p w:rsidR="004D36A4" w:rsidRDefault="004D36A4" w:rsidP="004D5C2E">
      <w:pPr>
        <w:spacing w:after="0" w:line="240" w:lineRule="auto"/>
        <w:jc w:val="both"/>
        <w:rPr>
          <w:rFonts w:ascii="Arial" w:hAnsi="Arial" w:cs="Arial"/>
          <w:sz w:val="16"/>
          <w:szCs w:val="20"/>
        </w:rPr>
      </w:pPr>
      <w:r>
        <w:rPr>
          <w:rFonts w:ascii="Arial" w:hAnsi="Arial" w:cs="Arial"/>
          <w:sz w:val="16"/>
          <w:szCs w:val="20"/>
        </w:rPr>
        <w:t>Notes: The figures in the table are prospect values for each attack method category at each of five reference points. The figures in parentheses are the ranking</w:t>
      </w:r>
      <w:r w:rsidR="004D5C2E">
        <w:rPr>
          <w:rFonts w:ascii="Arial" w:hAnsi="Arial" w:cs="Arial"/>
          <w:sz w:val="16"/>
          <w:szCs w:val="20"/>
        </w:rPr>
        <w:t>s, which are based on the prospect values,</w:t>
      </w:r>
      <w:r>
        <w:rPr>
          <w:rFonts w:ascii="Arial" w:hAnsi="Arial" w:cs="Arial"/>
          <w:sz w:val="16"/>
          <w:szCs w:val="20"/>
        </w:rPr>
        <w:t xml:space="preserve"> for each attack method category for each reference point.</w:t>
      </w:r>
      <w:r w:rsidR="004D5C2E">
        <w:rPr>
          <w:rFonts w:ascii="Arial" w:hAnsi="Arial" w:cs="Arial"/>
          <w:sz w:val="16"/>
          <w:szCs w:val="20"/>
        </w:rPr>
        <w:t xml:space="preserve"> For example, at a reference point of 2.00, ‘kidnapping’ has a prospect value of 7.97, placing it in 8</w:t>
      </w:r>
      <w:r w:rsidR="004D5C2E" w:rsidRPr="004D5C2E">
        <w:rPr>
          <w:rFonts w:ascii="Arial" w:hAnsi="Arial" w:cs="Arial"/>
          <w:sz w:val="16"/>
          <w:szCs w:val="20"/>
          <w:vertAlign w:val="superscript"/>
        </w:rPr>
        <w:t>th</w:t>
      </w:r>
      <w:r w:rsidR="004D5C2E">
        <w:rPr>
          <w:rFonts w:ascii="Arial" w:hAnsi="Arial" w:cs="Arial"/>
          <w:sz w:val="16"/>
          <w:szCs w:val="20"/>
        </w:rPr>
        <w:t xml:space="preserve"> (last) position in the preference ranking. The prospect values for Table 1 were computed under the assumption that outcomes are normally distributed. </w:t>
      </w:r>
      <w:r w:rsidR="004D5C2E" w:rsidRPr="004D5C2E">
        <w:rPr>
          <w:rFonts w:ascii="Arial" w:hAnsi="Arial" w:cs="Arial"/>
          <w:sz w:val="16"/>
          <w:szCs w:val="20"/>
        </w:rPr>
        <w:t>The prospect values have been scaled by a factor of 10 in order to make the interpretation easier. Like utility values, prospect values are ordinal and the absolute value and sign have no analytical meaning.</w:t>
      </w:r>
    </w:p>
    <w:p w:rsidR="004D36A4" w:rsidRDefault="004D36A4" w:rsidP="004D36A4">
      <w:pPr>
        <w:spacing w:after="0" w:line="240" w:lineRule="auto"/>
        <w:ind w:left="720" w:hanging="720"/>
        <w:jc w:val="both"/>
        <w:rPr>
          <w:rFonts w:ascii="Arial" w:hAnsi="Arial" w:cs="Arial"/>
          <w:sz w:val="16"/>
          <w:szCs w:val="20"/>
        </w:rPr>
      </w:pPr>
    </w:p>
    <w:p w:rsidR="004D5C2E" w:rsidRPr="004D36A4" w:rsidRDefault="004D5C2E" w:rsidP="004D36A4">
      <w:pPr>
        <w:spacing w:after="0" w:line="240" w:lineRule="auto"/>
        <w:ind w:left="720" w:hanging="720"/>
        <w:jc w:val="both"/>
        <w:rPr>
          <w:rFonts w:ascii="Arial" w:hAnsi="Arial" w:cs="Arial"/>
          <w:sz w:val="16"/>
          <w:szCs w:val="20"/>
        </w:rPr>
      </w:pPr>
    </w:p>
    <w:p w:rsidR="004D5C2E" w:rsidRDefault="004D5C2E" w:rsidP="002F05D9">
      <w:pPr>
        <w:spacing w:after="0" w:line="480" w:lineRule="auto"/>
        <w:ind w:left="720" w:hanging="720"/>
        <w:jc w:val="both"/>
        <w:rPr>
          <w:rFonts w:ascii="Arial" w:hAnsi="Arial" w:cs="Arial"/>
          <w:b/>
          <w:sz w:val="20"/>
          <w:szCs w:val="20"/>
        </w:rPr>
      </w:pPr>
    </w:p>
    <w:p w:rsidR="002F05D9" w:rsidRPr="002F05D9" w:rsidRDefault="002F05D9" w:rsidP="002F05D9">
      <w:pPr>
        <w:spacing w:after="0" w:line="480" w:lineRule="auto"/>
        <w:ind w:left="720" w:hanging="720"/>
        <w:jc w:val="both"/>
        <w:rPr>
          <w:rFonts w:ascii="Arial" w:hAnsi="Arial" w:cs="Arial"/>
          <w:b/>
          <w:sz w:val="20"/>
          <w:szCs w:val="20"/>
        </w:rPr>
      </w:pPr>
      <w:proofErr w:type="gramStart"/>
      <w:r>
        <w:rPr>
          <w:rFonts w:ascii="Arial" w:hAnsi="Arial" w:cs="Arial"/>
          <w:b/>
          <w:sz w:val="20"/>
          <w:szCs w:val="20"/>
        </w:rPr>
        <w:t>Table 2</w:t>
      </w:r>
      <w:r w:rsidRPr="002F05D9">
        <w:rPr>
          <w:rFonts w:ascii="Arial" w:hAnsi="Arial" w:cs="Arial"/>
          <w:b/>
          <w:sz w:val="20"/>
          <w:szCs w:val="20"/>
        </w:rPr>
        <w:t>.</w:t>
      </w:r>
      <w:proofErr w:type="gramEnd"/>
      <w:r w:rsidRPr="002F05D9">
        <w:rPr>
          <w:rFonts w:ascii="Arial" w:hAnsi="Arial" w:cs="Arial"/>
          <w:b/>
          <w:sz w:val="20"/>
          <w:szCs w:val="20"/>
        </w:rPr>
        <w:t xml:space="preserve"> Prospect Values and Preference Rankings (</w:t>
      </w:r>
      <w:r>
        <w:rPr>
          <w:rFonts w:ascii="Arial" w:hAnsi="Arial" w:cs="Arial"/>
          <w:b/>
          <w:sz w:val="20"/>
          <w:szCs w:val="20"/>
        </w:rPr>
        <w:t xml:space="preserve">Log </w:t>
      </w:r>
      <w:r w:rsidRPr="002F05D9">
        <w:rPr>
          <w:rFonts w:ascii="Arial" w:hAnsi="Arial" w:cs="Arial"/>
          <w:b/>
          <w:sz w:val="20"/>
          <w:szCs w:val="20"/>
        </w:rPr>
        <w:t>Normal Distribution)</w:t>
      </w:r>
    </w:p>
    <w:tbl>
      <w:tblPr>
        <w:tblStyle w:val="TableGrid"/>
        <w:tblW w:w="0" w:type="auto"/>
        <w:jc w:val="center"/>
        <w:tblInd w:w="162" w:type="dxa"/>
        <w:tblLook w:val="04A0" w:firstRow="1" w:lastRow="0" w:firstColumn="1" w:lastColumn="0" w:noHBand="0" w:noVBand="1"/>
      </w:tblPr>
      <w:tblGrid>
        <w:gridCol w:w="1458"/>
        <w:gridCol w:w="1524"/>
        <w:gridCol w:w="1524"/>
        <w:gridCol w:w="1524"/>
        <w:gridCol w:w="1525"/>
        <w:gridCol w:w="1525"/>
      </w:tblGrid>
      <w:tr w:rsidR="004D36A4" w:rsidRPr="00280E87" w:rsidTr="004D36A4">
        <w:trPr>
          <w:trHeight w:val="727"/>
          <w:jc w:val="center"/>
        </w:trPr>
        <w:tc>
          <w:tcPr>
            <w:tcW w:w="1458" w:type="dxa"/>
          </w:tcPr>
          <w:p w:rsidR="004D36A4" w:rsidRPr="00280E87" w:rsidRDefault="004D36A4" w:rsidP="0025469E">
            <w:pPr>
              <w:jc w:val="center"/>
              <w:rPr>
                <w:rFonts w:ascii="Arial" w:hAnsi="Arial" w:cs="Arial"/>
                <w:sz w:val="18"/>
                <w:szCs w:val="18"/>
              </w:rPr>
            </w:pPr>
            <w:r w:rsidRPr="00280E87">
              <w:rPr>
                <w:rFonts w:ascii="Arial" w:hAnsi="Arial" w:cs="Arial"/>
                <w:sz w:val="18"/>
                <w:szCs w:val="18"/>
              </w:rPr>
              <w:t>Attack Method Category</w:t>
            </w:r>
          </w:p>
        </w:tc>
        <w:tc>
          <w:tcPr>
            <w:tcW w:w="1524" w:type="dxa"/>
          </w:tcPr>
          <w:p w:rsidR="004D36A4" w:rsidRPr="00280E87" w:rsidRDefault="004D36A4" w:rsidP="0025469E">
            <w:pPr>
              <w:jc w:val="center"/>
              <w:rPr>
                <w:rFonts w:ascii="Arial" w:hAnsi="Arial" w:cs="Arial"/>
                <w:sz w:val="18"/>
                <w:szCs w:val="18"/>
              </w:rPr>
            </w:pPr>
            <w:r w:rsidRPr="00280E87">
              <w:rPr>
                <w:rFonts w:ascii="Arial" w:hAnsi="Arial" w:cs="Arial"/>
                <w:sz w:val="18"/>
                <w:szCs w:val="18"/>
              </w:rPr>
              <w:t>Prospect Value</w:t>
            </w:r>
          </w:p>
          <w:p w:rsidR="004D36A4" w:rsidRPr="00280E87" w:rsidRDefault="004D36A4" w:rsidP="0025469E">
            <w:pPr>
              <w:jc w:val="center"/>
              <w:rPr>
                <w:rFonts w:ascii="Arial" w:hAnsi="Arial" w:cs="Arial"/>
                <w:sz w:val="18"/>
                <w:szCs w:val="18"/>
              </w:rPr>
            </w:pPr>
            <w:r w:rsidRPr="00280E87">
              <w:rPr>
                <w:rFonts w:ascii="Arial" w:hAnsi="Arial" w:cs="Arial"/>
                <w:sz w:val="18"/>
                <w:szCs w:val="18"/>
              </w:rPr>
              <w:t>Reference Point = 1.00</w:t>
            </w:r>
          </w:p>
        </w:tc>
        <w:tc>
          <w:tcPr>
            <w:tcW w:w="1524" w:type="dxa"/>
          </w:tcPr>
          <w:p w:rsidR="004D36A4" w:rsidRPr="00280E87" w:rsidRDefault="004D36A4" w:rsidP="0025469E">
            <w:pPr>
              <w:jc w:val="center"/>
              <w:rPr>
                <w:rFonts w:ascii="Arial" w:hAnsi="Arial" w:cs="Arial"/>
                <w:sz w:val="18"/>
                <w:szCs w:val="18"/>
              </w:rPr>
            </w:pPr>
            <w:r w:rsidRPr="00280E87">
              <w:rPr>
                <w:rFonts w:ascii="Arial" w:hAnsi="Arial" w:cs="Arial"/>
                <w:sz w:val="18"/>
                <w:szCs w:val="18"/>
              </w:rPr>
              <w:t>Prospect Value</w:t>
            </w:r>
          </w:p>
          <w:p w:rsidR="004D36A4" w:rsidRPr="00280E87" w:rsidRDefault="004D36A4" w:rsidP="0025469E">
            <w:pPr>
              <w:jc w:val="center"/>
              <w:rPr>
                <w:rFonts w:ascii="Arial" w:hAnsi="Arial" w:cs="Arial"/>
                <w:sz w:val="18"/>
                <w:szCs w:val="18"/>
              </w:rPr>
            </w:pPr>
            <w:r w:rsidRPr="00280E87">
              <w:rPr>
                <w:rFonts w:ascii="Arial" w:hAnsi="Arial" w:cs="Arial"/>
                <w:sz w:val="18"/>
                <w:szCs w:val="18"/>
              </w:rPr>
              <w:t>Reference Point = 2.00</w:t>
            </w:r>
          </w:p>
        </w:tc>
        <w:tc>
          <w:tcPr>
            <w:tcW w:w="1524" w:type="dxa"/>
          </w:tcPr>
          <w:p w:rsidR="004D36A4" w:rsidRPr="00280E87" w:rsidRDefault="004D36A4" w:rsidP="0025469E">
            <w:pPr>
              <w:jc w:val="center"/>
              <w:rPr>
                <w:rFonts w:ascii="Arial" w:hAnsi="Arial" w:cs="Arial"/>
                <w:sz w:val="18"/>
                <w:szCs w:val="18"/>
              </w:rPr>
            </w:pPr>
            <w:r w:rsidRPr="00280E87">
              <w:rPr>
                <w:rFonts w:ascii="Arial" w:hAnsi="Arial" w:cs="Arial"/>
                <w:sz w:val="18"/>
                <w:szCs w:val="18"/>
              </w:rPr>
              <w:t>Prospect Value</w:t>
            </w:r>
          </w:p>
          <w:p w:rsidR="004D36A4" w:rsidRPr="00280E87" w:rsidRDefault="004D36A4" w:rsidP="0025469E">
            <w:pPr>
              <w:jc w:val="center"/>
              <w:rPr>
                <w:rFonts w:ascii="Arial" w:hAnsi="Arial" w:cs="Arial"/>
                <w:sz w:val="18"/>
                <w:szCs w:val="18"/>
              </w:rPr>
            </w:pPr>
            <w:r w:rsidRPr="00280E87">
              <w:rPr>
                <w:rFonts w:ascii="Arial" w:hAnsi="Arial" w:cs="Arial"/>
                <w:sz w:val="18"/>
                <w:szCs w:val="18"/>
              </w:rPr>
              <w:t>Reference Point = 3.00</w:t>
            </w:r>
          </w:p>
        </w:tc>
        <w:tc>
          <w:tcPr>
            <w:tcW w:w="1525" w:type="dxa"/>
          </w:tcPr>
          <w:p w:rsidR="004D36A4" w:rsidRPr="00280E87" w:rsidRDefault="004D36A4" w:rsidP="0025469E">
            <w:pPr>
              <w:jc w:val="center"/>
              <w:rPr>
                <w:rFonts w:ascii="Arial" w:hAnsi="Arial" w:cs="Arial"/>
                <w:sz w:val="18"/>
                <w:szCs w:val="18"/>
              </w:rPr>
            </w:pPr>
            <w:r w:rsidRPr="00280E87">
              <w:rPr>
                <w:rFonts w:ascii="Arial" w:hAnsi="Arial" w:cs="Arial"/>
                <w:sz w:val="18"/>
                <w:szCs w:val="18"/>
              </w:rPr>
              <w:t>Prospect Value</w:t>
            </w:r>
          </w:p>
          <w:p w:rsidR="004D36A4" w:rsidRPr="00280E87" w:rsidRDefault="004D36A4" w:rsidP="0025469E">
            <w:pPr>
              <w:jc w:val="center"/>
              <w:rPr>
                <w:rFonts w:ascii="Arial" w:hAnsi="Arial" w:cs="Arial"/>
                <w:sz w:val="18"/>
                <w:szCs w:val="18"/>
              </w:rPr>
            </w:pPr>
            <w:r w:rsidRPr="00280E87">
              <w:rPr>
                <w:rFonts w:ascii="Arial" w:hAnsi="Arial" w:cs="Arial"/>
                <w:sz w:val="18"/>
                <w:szCs w:val="18"/>
              </w:rPr>
              <w:t>Reference Point = 4.00</w:t>
            </w:r>
          </w:p>
        </w:tc>
        <w:tc>
          <w:tcPr>
            <w:tcW w:w="1525" w:type="dxa"/>
          </w:tcPr>
          <w:p w:rsidR="004D36A4" w:rsidRPr="00280E87" w:rsidRDefault="004D36A4" w:rsidP="0025469E">
            <w:pPr>
              <w:jc w:val="center"/>
              <w:rPr>
                <w:rFonts w:ascii="Arial" w:hAnsi="Arial" w:cs="Arial"/>
                <w:sz w:val="18"/>
                <w:szCs w:val="18"/>
              </w:rPr>
            </w:pPr>
            <w:r w:rsidRPr="00280E87">
              <w:rPr>
                <w:rFonts w:ascii="Arial" w:hAnsi="Arial" w:cs="Arial"/>
                <w:sz w:val="18"/>
                <w:szCs w:val="18"/>
              </w:rPr>
              <w:t>Prospect Value</w:t>
            </w:r>
          </w:p>
          <w:p w:rsidR="004D36A4" w:rsidRPr="00280E87" w:rsidRDefault="004D36A4" w:rsidP="0025469E">
            <w:pPr>
              <w:jc w:val="center"/>
              <w:rPr>
                <w:rFonts w:ascii="Arial" w:hAnsi="Arial" w:cs="Arial"/>
                <w:sz w:val="18"/>
                <w:szCs w:val="18"/>
              </w:rPr>
            </w:pPr>
            <w:r w:rsidRPr="00280E87">
              <w:rPr>
                <w:rFonts w:ascii="Arial" w:hAnsi="Arial" w:cs="Arial"/>
                <w:sz w:val="18"/>
                <w:szCs w:val="18"/>
              </w:rPr>
              <w:t>Reference Point = 5.00</w:t>
            </w:r>
          </w:p>
        </w:tc>
      </w:tr>
      <w:tr w:rsidR="004D36A4" w:rsidRPr="00280E87" w:rsidTr="0025469E">
        <w:trPr>
          <w:trHeight w:val="246"/>
          <w:jc w:val="center"/>
        </w:trPr>
        <w:tc>
          <w:tcPr>
            <w:tcW w:w="1458" w:type="dxa"/>
          </w:tcPr>
          <w:p w:rsidR="004D36A4" w:rsidRPr="00280E87" w:rsidRDefault="004D36A4" w:rsidP="0025469E">
            <w:pPr>
              <w:jc w:val="both"/>
              <w:rPr>
                <w:rFonts w:ascii="Arial" w:hAnsi="Arial" w:cs="Arial"/>
                <w:sz w:val="18"/>
                <w:szCs w:val="18"/>
              </w:rPr>
            </w:pPr>
            <w:r w:rsidRPr="00280E87">
              <w:rPr>
                <w:rFonts w:ascii="Arial" w:hAnsi="Arial" w:cs="Arial"/>
                <w:sz w:val="18"/>
                <w:szCs w:val="18"/>
              </w:rPr>
              <w:t>Armed Attacks</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10.02</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(6)</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10.01</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(5)</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10.01</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(4)</w:t>
            </w:r>
          </w:p>
        </w:tc>
        <w:tc>
          <w:tcPr>
            <w:tcW w:w="1525"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10.006</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(3)</w:t>
            </w:r>
          </w:p>
        </w:tc>
        <w:tc>
          <w:tcPr>
            <w:tcW w:w="1525" w:type="dxa"/>
            <w:vAlign w:val="bottom"/>
          </w:tcPr>
          <w:p w:rsidR="004D36A4" w:rsidRDefault="004D36A4" w:rsidP="0025469E">
            <w:pPr>
              <w:jc w:val="center"/>
              <w:rPr>
                <w:rFonts w:ascii="Arial" w:hAnsi="Arial" w:cs="Arial"/>
                <w:color w:val="000000"/>
                <w:sz w:val="18"/>
                <w:szCs w:val="20"/>
              </w:rPr>
            </w:pPr>
            <w:r w:rsidRPr="004D36A4">
              <w:rPr>
                <w:rFonts w:ascii="Arial" w:hAnsi="Arial" w:cs="Arial"/>
                <w:color w:val="000000"/>
                <w:sz w:val="18"/>
                <w:szCs w:val="20"/>
              </w:rPr>
              <w:t>10.004</w:t>
            </w:r>
          </w:p>
          <w:p w:rsidR="004D36A4" w:rsidRPr="004D36A4" w:rsidRDefault="004D36A4" w:rsidP="0025469E">
            <w:pPr>
              <w:jc w:val="center"/>
              <w:rPr>
                <w:rFonts w:ascii="Arial" w:hAnsi="Arial" w:cs="Arial"/>
                <w:color w:val="000000"/>
                <w:sz w:val="18"/>
                <w:szCs w:val="20"/>
              </w:rPr>
            </w:pPr>
            <w:r>
              <w:rPr>
                <w:rFonts w:ascii="Arial" w:hAnsi="Arial" w:cs="Arial"/>
                <w:color w:val="000000"/>
                <w:sz w:val="18"/>
                <w:szCs w:val="20"/>
              </w:rPr>
              <w:t>(2)</w:t>
            </w:r>
          </w:p>
        </w:tc>
      </w:tr>
      <w:tr w:rsidR="004D36A4" w:rsidRPr="00280E87" w:rsidTr="0025469E">
        <w:trPr>
          <w:trHeight w:val="235"/>
          <w:jc w:val="center"/>
        </w:trPr>
        <w:tc>
          <w:tcPr>
            <w:tcW w:w="1458" w:type="dxa"/>
          </w:tcPr>
          <w:p w:rsidR="004D36A4" w:rsidRPr="00280E87" w:rsidRDefault="004D36A4" w:rsidP="0025469E">
            <w:pPr>
              <w:jc w:val="both"/>
              <w:rPr>
                <w:rFonts w:ascii="Arial" w:hAnsi="Arial" w:cs="Arial"/>
                <w:sz w:val="18"/>
                <w:szCs w:val="18"/>
              </w:rPr>
            </w:pPr>
            <w:r w:rsidRPr="00280E87">
              <w:rPr>
                <w:rFonts w:ascii="Arial" w:hAnsi="Arial" w:cs="Arial"/>
                <w:sz w:val="18"/>
                <w:szCs w:val="18"/>
              </w:rPr>
              <w:t>Arson</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10.20</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(3)</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10.038</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(3)</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9.91</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(7)</w:t>
            </w:r>
          </w:p>
        </w:tc>
        <w:tc>
          <w:tcPr>
            <w:tcW w:w="1525"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9.69</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(6)</w:t>
            </w:r>
          </w:p>
        </w:tc>
        <w:tc>
          <w:tcPr>
            <w:tcW w:w="1525" w:type="dxa"/>
            <w:vAlign w:val="bottom"/>
          </w:tcPr>
          <w:p w:rsidR="004D36A4" w:rsidRDefault="004D36A4" w:rsidP="0025469E">
            <w:pPr>
              <w:jc w:val="center"/>
              <w:rPr>
                <w:rFonts w:ascii="Arial" w:hAnsi="Arial" w:cs="Arial"/>
                <w:color w:val="000000"/>
                <w:sz w:val="18"/>
                <w:szCs w:val="20"/>
              </w:rPr>
            </w:pPr>
            <w:r w:rsidRPr="004D36A4">
              <w:rPr>
                <w:rFonts w:ascii="Arial" w:hAnsi="Arial" w:cs="Arial"/>
                <w:color w:val="000000"/>
                <w:sz w:val="18"/>
                <w:szCs w:val="20"/>
              </w:rPr>
              <w:t>9.52</w:t>
            </w:r>
          </w:p>
          <w:p w:rsidR="004D36A4" w:rsidRPr="004D36A4" w:rsidRDefault="004D36A4" w:rsidP="0025469E">
            <w:pPr>
              <w:jc w:val="center"/>
              <w:rPr>
                <w:rFonts w:ascii="Arial" w:hAnsi="Arial" w:cs="Arial"/>
                <w:color w:val="000000"/>
                <w:sz w:val="18"/>
                <w:szCs w:val="20"/>
              </w:rPr>
            </w:pPr>
            <w:r>
              <w:rPr>
                <w:rFonts w:ascii="Arial" w:hAnsi="Arial" w:cs="Arial"/>
                <w:color w:val="000000"/>
                <w:sz w:val="18"/>
                <w:szCs w:val="20"/>
              </w:rPr>
              <w:t>(7)</w:t>
            </w:r>
          </w:p>
        </w:tc>
      </w:tr>
      <w:tr w:rsidR="004D36A4" w:rsidRPr="00280E87" w:rsidTr="0025469E">
        <w:trPr>
          <w:trHeight w:val="246"/>
          <w:jc w:val="center"/>
        </w:trPr>
        <w:tc>
          <w:tcPr>
            <w:tcW w:w="1458" w:type="dxa"/>
          </w:tcPr>
          <w:p w:rsidR="004D36A4" w:rsidRPr="00280E87" w:rsidRDefault="004D36A4" w:rsidP="0025469E">
            <w:pPr>
              <w:jc w:val="both"/>
              <w:rPr>
                <w:rFonts w:ascii="Arial" w:hAnsi="Arial" w:cs="Arial"/>
                <w:sz w:val="18"/>
                <w:szCs w:val="18"/>
              </w:rPr>
            </w:pPr>
            <w:r w:rsidRPr="00280E87">
              <w:rPr>
                <w:rFonts w:ascii="Arial" w:hAnsi="Arial" w:cs="Arial"/>
                <w:sz w:val="18"/>
                <w:szCs w:val="18"/>
              </w:rPr>
              <w:t>Assassination</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10.52</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(1)</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10.37</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(1)</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10.25</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(1)</w:t>
            </w:r>
          </w:p>
        </w:tc>
        <w:tc>
          <w:tcPr>
            <w:tcW w:w="1525"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9.64</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(7)</w:t>
            </w:r>
          </w:p>
        </w:tc>
        <w:tc>
          <w:tcPr>
            <w:tcW w:w="1525" w:type="dxa"/>
            <w:vAlign w:val="bottom"/>
          </w:tcPr>
          <w:p w:rsidR="004D36A4" w:rsidRDefault="004D36A4" w:rsidP="0025469E">
            <w:pPr>
              <w:jc w:val="center"/>
              <w:rPr>
                <w:rFonts w:ascii="Arial" w:hAnsi="Arial" w:cs="Arial"/>
                <w:color w:val="000000"/>
                <w:sz w:val="18"/>
                <w:szCs w:val="20"/>
              </w:rPr>
            </w:pPr>
            <w:r w:rsidRPr="004D36A4">
              <w:rPr>
                <w:rFonts w:ascii="Arial" w:hAnsi="Arial" w:cs="Arial"/>
                <w:color w:val="000000"/>
                <w:sz w:val="18"/>
                <w:szCs w:val="20"/>
              </w:rPr>
              <w:t>9.71</w:t>
            </w:r>
          </w:p>
          <w:p w:rsidR="004D36A4" w:rsidRPr="004D36A4" w:rsidRDefault="004D36A4" w:rsidP="0025469E">
            <w:pPr>
              <w:jc w:val="center"/>
              <w:rPr>
                <w:rFonts w:ascii="Arial" w:hAnsi="Arial" w:cs="Arial"/>
                <w:color w:val="000000"/>
                <w:sz w:val="18"/>
                <w:szCs w:val="20"/>
              </w:rPr>
            </w:pPr>
            <w:r>
              <w:rPr>
                <w:rFonts w:ascii="Arial" w:hAnsi="Arial" w:cs="Arial"/>
                <w:color w:val="000000"/>
                <w:sz w:val="18"/>
                <w:szCs w:val="20"/>
              </w:rPr>
              <w:t>(6)</w:t>
            </w:r>
          </w:p>
        </w:tc>
      </w:tr>
      <w:tr w:rsidR="004D36A4" w:rsidRPr="00280E87" w:rsidTr="0025469E">
        <w:trPr>
          <w:trHeight w:val="246"/>
          <w:jc w:val="center"/>
        </w:trPr>
        <w:tc>
          <w:tcPr>
            <w:tcW w:w="1458" w:type="dxa"/>
          </w:tcPr>
          <w:p w:rsidR="004D36A4" w:rsidRPr="00280E87" w:rsidRDefault="004D36A4" w:rsidP="0025469E">
            <w:pPr>
              <w:jc w:val="both"/>
              <w:rPr>
                <w:rFonts w:ascii="Arial" w:hAnsi="Arial" w:cs="Arial"/>
                <w:sz w:val="18"/>
                <w:szCs w:val="18"/>
              </w:rPr>
            </w:pPr>
            <w:r w:rsidRPr="00280E87">
              <w:rPr>
                <w:rFonts w:ascii="Arial" w:hAnsi="Arial" w:cs="Arial"/>
                <w:sz w:val="18"/>
                <w:szCs w:val="18"/>
              </w:rPr>
              <w:t>Hostage</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10.005</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(7)</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10.004</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(6)</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10.003</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(5)</w:t>
            </w:r>
          </w:p>
        </w:tc>
        <w:tc>
          <w:tcPr>
            <w:tcW w:w="1525"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10.0014</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(4)</w:t>
            </w:r>
          </w:p>
        </w:tc>
        <w:tc>
          <w:tcPr>
            <w:tcW w:w="1525" w:type="dxa"/>
            <w:vAlign w:val="bottom"/>
          </w:tcPr>
          <w:p w:rsidR="004D36A4" w:rsidRDefault="004D36A4" w:rsidP="0025469E">
            <w:pPr>
              <w:jc w:val="center"/>
              <w:rPr>
                <w:rFonts w:ascii="Arial" w:hAnsi="Arial" w:cs="Arial"/>
                <w:color w:val="000000"/>
                <w:sz w:val="18"/>
                <w:szCs w:val="20"/>
              </w:rPr>
            </w:pPr>
            <w:r w:rsidRPr="004D36A4">
              <w:rPr>
                <w:rFonts w:ascii="Arial" w:hAnsi="Arial" w:cs="Arial"/>
                <w:color w:val="000000"/>
                <w:sz w:val="18"/>
                <w:szCs w:val="20"/>
              </w:rPr>
              <w:t>10.0001</w:t>
            </w:r>
          </w:p>
          <w:p w:rsidR="004D36A4" w:rsidRPr="004D36A4" w:rsidRDefault="004D36A4" w:rsidP="0025469E">
            <w:pPr>
              <w:jc w:val="center"/>
              <w:rPr>
                <w:rFonts w:ascii="Arial" w:hAnsi="Arial" w:cs="Arial"/>
                <w:color w:val="000000"/>
                <w:sz w:val="18"/>
                <w:szCs w:val="20"/>
              </w:rPr>
            </w:pPr>
            <w:r>
              <w:rPr>
                <w:rFonts w:ascii="Arial" w:hAnsi="Arial" w:cs="Arial"/>
                <w:color w:val="000000"/>
                <w:sz w:val="18"/>
                <w:szCs w:val="20"/>
              </w:rPr>
              <w:t>(4)</w:t>
            </w:r>
          </w:p>
        </w:tc>
      </w:tr>
      <w:tr w:rsidR="004D36A4" w:rsidRPr="00280E87" w:rsidTr="0025469E">
        <w:trPr>
          <w:trHeight w:val="246"/>
          <w:jc w:val="center"/>
        </w:trPr>
        <w:tc>
          <w:tcPr>
            <w:tcW w:w="1458" w:type="dxa"/>
          </w:tcPr>
          <w:p w:rsidR="004D36A4" w:rsidRPr="00280E87" w:rsidRDefault="004D36A4" w:rsidP="0025469E">
            <w:pPr>
              <w:jc w:val="both"/>
              <w:rPr>
                <w:rFonts w:ascii="Arial" w:hAnsi="Arial" w:cs="Arial"/>
                <w:sz w:val="18"/>
                <w:szCs w:val="18"/>
              </w:rPr>
            </w:pPr>
            <w:r w:rsidRPr="00280E87">
              <w:rPr>
                <w:rFonts w:ascii="Arial" w:hAnsi="Arial" w:cs="Arial"/>
                <w:sz w:val="18"/>
                <w:szCs w:val="18"/>
              </w:rPr>
              <w:t>Bombing</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10.09</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(4)</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10.07</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(2)</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10.06</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(2)</w:t>
            </w:r>
          </w:p>
        </w:tc>
        <w:tc>
          <w:tcPr>
            <w:tcW w:w="1525"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10.04</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(1)</w:t>
            </w:r>
          </w:p>
        </w:tc>
        <w:tc>
          <w:tcPr>
            <w:tcW w:w="1525" w:type="dxa"/>
            <w:vAlign w:val="bottom"/>
          </w:tcPr>
          <w:p w:rsidR="004D36A4" w:rsidRDefault="004D36A4" w:rsidP="0025469E">
            <w:pPr>
              <w:jc w:val="center"/>
              <w:rPr>
                <w:rFonts w:ascii="Arial" w:hAnsi="Arial" w:cs="Arial"/>
                <w:color w:val="000000"/>
                <w:sz w:val="18"/>
                <w:szCs w:val="20"/>
              </w:rPr>
            </w:pPr>
            <w:r w:rsidRPr="004D36A4">
              <w:rPr>
                <w:rFonts w:ascii="Arial" w:hAnsi="Arial" w:cs="Arial"/>
                <w:color w:val="000000"/>
                <w:sz w:val="18"/>
                <w:szCs w:val="20"/>
              </w:rPr>
              <w:t>10.02</w:t>
            </w:r>
          </w:p>
          <w:p w:rsidR="004D36A4" w:rsidRPr="004D36A4" w:rsidRDefault="004D36A4" w:rsidP="0025469E">
            <w:pPr>
              <w:jc w:val="center"/>
              <w:rPr>
                <w:rFonts w:ascii="Arial" w:hAnsi="Arial" w:cs="Arial"/>
                <w:color w:val="000000"/>
                <w:sz w:val="18"/>
                <w:szCs w:val="20"/>
              </w:rPr>
            </w:pPr>
            <w:r>
              <w:rPr>
                <w:rFonts w:ascii="Arial" w:hAnsi="Arial" w:cs="Arial"/>
                <w:color w:val="000000"/>
                <w:sz w:val="18"/>
                <w:szCs w:val="20"/>
              </w:rPr>
              <w:t>(1)</w:t>
            </w:r>
          </w:p>
        </w:tc>
      </w:tr>
      <w:tr w:rsidR="004D36A4" w:rsidRPr="00280E87" w:rsidTr="0025469E">
        <w:trPr>
          <w:trHeight w:val="235"/>
          <w:jc w:val="center"/>
        </w:trPr>
        <w:tc>
          <w:tcPr>
            <w:tcW w:w="1458" w:type="dxa"/>
          </w:tcPr>
          <w:p w:rsidR="004D36A4" w:rsidRPr="00280E87" w:rsidRDefault="004D36A4" w:rsidP="0025469E">
            <w:pPr>
              <w:jc w:val="both"/>
              <w:rPr>
                <w:rFonts w:ascii="Arial" w:hAnsi="Arial" w:cs="Arial"/>
                <w:sz w:val="18"/>
                <w:szCs w:val="18"/>
              </w:rPr>
            </w:pPr>
            <w:r w:rsidRPr="00280E87">
              <w:rPr>
                <w:rFonts w:ascii="Arial" w:hAnsi="Arial" w:cs="Arial"/>
                <w:sz w:val="18"/>
                <w:szCs w:val="18"/>
              </w:rPr>
              <w:t>Hijacking</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10.04</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(5)</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10.032</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(4)</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10.02</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(3)</w:t>
            </w:r>
          </w:p>
        </w:tc>
        <w:tc>
          <w:tcPr>
            <w:tcW w:w="1525"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10.01</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(2)</w:t>
            </w:r>
          </w:p>
        </w:tc>
        <w:tc>
          <w:tcPr>
            <w:tcW w:w="1525" w:type="dxa"/>
            <w:vAlign w:val="bottom"/>
          </w:tcPr>
          <w:p w:rsidR="004D36A4" w:rsidRDefault="004D36A4" w:rsidP="0025469E">
            <w:pPr>
              <w:jc w:val="center"/>
              <w:rPr>
                <w:rFonts w:ascii="Arial" w:hAnsi="Arial" w:cs="Arial"/>
                <w:color w:val="000000"/>
                <w:sz w:val="18"/>
                <w:szCs w:val="20"/>
              </w:rPr>
            </w:pPr>
            <w:r w:rsidRPr="004D36A4">
              <w:rPr>
                <w:rFonts w:ascii="Arial" w:hAnsi="Arial" w:cs="Arial"/>
                <w:color w:val="000000"/>
                <w:sz w:val="18"/>
                <w:szCs w:val="20"/>
              </w:rPr>
              <w:t>10.0005</w:t>
            </w:r>
          </w:p>
          <w:p w:rsidR="004D36A4" w:rsidRPr="004D36A4" w:rsidRDefault="004D36A4" w:rsidP="0025469E">
            <w:pPr>
              <w:jc w:val="center"/>
              <w:rPr>
                <w:rFonts w:ascii="Arial" w:hAnsi="Arial" w:cs="Arial"/>
                <w:color w:val="000000"/>
                <w:sz w:val="18"/>
                <w:szCs w:val="20"/>
              </w:rPr>
            </w:pPr>
            <w:r>
              <w:rPr>
                <w:rFonts w:ascii="Arial" w:hAnsi="Arial" w:cs="Arial"/>
                <w:color w:val="000000"/>
                <w:sz w:val="18"/>
                <w:szCs w:val="20"/>
              </w:rPr>
              <w:t>(3)</w:t>
            </w:r>
          </w:p>
        </w:tc>
      </w:tr>
      <w:tr w:rsidR="004D36A4" w:rsidRPr="00280E87" w:rsidTr="0025469E">
        <w:trPr>
          <w:trHeight w:val="246"/>
          <w:jc w:val="center"/>
        </w:trPr>
        <w:tc>
          <w:tcPr>
            <w:tcW w:w="1458" w:type="dxa"/>
          </w:tcPr>
          <w:p w:rsidR="004D36A4" w:rsidRPr="00280E87" w:rsidRDefault="004D36A4" w:rsidP="0025469E">
            <w:pPr>
              <w:jc w:val="both"/>
              <w:rPr>
                <w:rFonts w:ascii="Arial" w:hAnsi="Arial" w:cs="Arial"/>
                <w:sz w:val="18"/>
                <w:szCs w:val="18"/>
              </w:rPr>
            </w:pPr>
            <w:r w:rsidRPr="00280E87">
              <w:rPr>
                <w:rFonts w:ascii="Arial" w:hAnsi="Arial" w:cs="Arial"/>
                <w:sz w:val="18"/>
                <w:szCs w:val="18"/>
              </w:rPr>
              <w:t>Kidnapping</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10.20</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(2)</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9.53</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(8)</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9.12</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(8)</w:t>
            </w:r>
          </w:p>
        </w:tc>
        <w:tc>
          <w:tcPr>
            <w:tcW w:w="1525"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7.91</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(8)</w:t>
            </w:r>
          </w:p>
        </w:tc>
        <w:tc>
          <w:tcPr>
            <w:tcW w:w="1525" w:type="dxa"/>
            <w:vAlign w:val="bottom"/>
          </w:tcPr>
          <w:p w:rsidR="004D36A4" w:rsidRDefault="004D36A4" w:rsidP="0025469E">
            <w:pPr>
              <w:jc w:val="center"/>
              <w:rPr>
                <w:rFonts w:ascii="Arial" w:hAnsi="Arial" w:cs="Arial"/>
                <w:color w:val="000000"/>
                <w:sz w:val="18"/>
                <w:szCs w:val="20"/>
              </w:rPr>
            </w:pPr>
            <w:r w:rsidRPr="004D36A4">
              <w:rPr>
                <w:rFonts w:ascii="Arial" w:hAnsi="Arial" w:cs="Arial"/>
                <w:color w:val="000000"/>
                <w:sz w:val="18"/>
                <w:szCs w:val="20"/>
              </w:rPr>
              <w:t>7.19</w:t>
            </w:r>
          </w:p>
          <w:p w:rsidR="004D36A4" w:rsidRPr="004D36A4" w:rsidRDefault="004D36A4" w:rsidP="0025469E">
            <w:pPr>
              <w:jc w:val="center"/>
              <w:rPr>
                <w:rFonts w:ascii="Arial" w:hAnsi="Arial" w:cs="Arial"/>
                <w:color w:val="000000"/>
                <w:sz w:val="18"/>
                <w:szCs w:val="20"/>
              </w:rPr>
            </w:pPr>
            <w:r>
              <w:rPr>
                <w:rFonts w:ascii="Arial" w:hAnsi="Arial" w:cs="Arial"/>
                <w:color w:val="000000"/>
                <w:sz w:val="18"/>
                <w:szCs w:val="20"/>
              </w:rPr>
              <w:t>(8)</w:t>
            </w:r>
          </w:p>
        </w:tc>
      </w:tr>
      <w:tr w:rsidR="004D36A4" w:rsidRPr="00280E87" w:rsidTr="0025469E">
        <w:trPr>
          <w:trHeight w:val="246"/>
          <w:jc w:val="center"/>
        </w:trPr>
        <w:tc>
          <w:tcPr>
            <w:tcW w:w="1458" w:type="dxa"/>
          </w:tcPr>
          <w:p w:rsidR="004D36A4" w:rsidRPr="00280E87" w:rsidRDefault="004D36A4" w:rsidP="0025469E">
            <w:pPr>
              <w:jc w:val="both"/>
              <w:rPr>
                <w:rFonts w:ascii="Arial" w:hAnsi="Arial" w:cs="Arial"/>
                <w:sz w:val="18"/>
                <w:szCs w:val="18"/>
              </w:rPr>
            </w:pPr>
            <w:r w:rsidRPr="00280E87">
              <w:rPr>
                <w:rFonts w:ascii="Arial" w:hAnsi="Arial" w:cs="Arial"/>
                <w:sz w:val="18"/>
                <w:szCs w:val="18"/>
              </w:rPr>
              <w:t>Unconventional</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10.004</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(8)</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10.003</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(7)</w:t>
            </w:r>
          </w:p>
        </w:tc>
        <w:tc>
          <w:tcPr>
            <w:tcW w:w="1524"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10.002</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(6)</w:t>
            </w:r>
          </w:p>
        </w:tc>
        <w:tc>
          <w:tcPr>
            <w:tcW w:w="1525" w:type="dxa"/>
            <w:vAlign w:val="bottom"/>
          </w:tcPr>
          <w:p w:rsidR="004D36A4" w:rsidRDefault="004D36A4" w:rsidP="004D36A4">
            <w:pPr>
              <w:jc w:val="center"/>
              <w:rPr>
                <w:rFonts w:ascii="Arial" w:hAnsi="Arial" w:cs="Arial"/>
                <w:color w:val="000000"/>
                <w:sz w:val="18"/>
                <w:szCs w:val="20"/>
              </w:rPr>
            </w:pPr>
            <w:r w:rsidRPr="004D36A4">
              <w:rPr>
                <w:rFonts w:ascii="Arial" w:hAnsi="Arial" w:cs="Arial"/>
                <w:color w:val="000000"/>
                <w:sz w:val="18"/>
                <w:szCs w:val="20"/>
              </w:rPr>
              <w:t>10.0012</w:t>
            </w:r>
          </w:p>
          <w:p w:rsidR="004D36A4" w:rsidRPr="004D36A4" w:rsidRDefault="004D36A4" w:rsidP="004D36A4">
            <w:pPr>
              <w:jc w:val="center"/>
              <w:rPr>
                <w:rFonts w:ascii="Arial" w:hAnsi="Arial" w:cs="Arial"/>
                <w:color w:val="000000"/>
                <w:sz w:val="18"/>
                <w:szCs w:val="20"/>
              </w:rPr>
            </w:pPr>
            <w:r>
              <w:rPr>
                <w:rFonts w:ascii="Arial" w:hAnsi="Arial" w:cs="Arial"/>
                <w:color w:val="000000"/>
                <w:sz w:val="18"/>
                <w:szCs w:val="20"/>
              </w:rPr>
              <w:t>(5)</w:t>
            </w:r>
          </w:p>
        </w:tc>
        <w:tc>
          <w:tcPr>
            <w:tcW w:w="1525" w:type="dxa"/>
            <w:vAlign w:val="bottom"/>
          </w:tcPr>
          <w:p w:rsidR="004D36A4" w:rsidRDefault="004D36A4" w:rsidP="0025469E">
            <w:pPr>
              <w:jc w:val="center"/>
              <w:rPr>
                <w:rFonts w:ascii="Arial" w:hAnsi="Arial" w:cs="Arial"/>
                <w:color w:val="000000"/>
                <w:sz w:val="18"/>
                <w:szCs w:val="20"/>
              </w:rPr>
            </w:pPr>
            <w:r w:rsidRPr="004D36A4">
              <w:rPr>
                <w:rFonts w:ascii="Arial" w:hAnsi="Arial" w:cs="Arial"/>
                <w:color w:val="000000"/>
                <w:sz w:val="18"/>
                <w:szCs w:val="20"/>
              </w:rPr>
              <w:t>10.00</w:t>
            </w:r>
          </w:p>
          <w:p w:rsidR="004D36A4" w:rsidRPr="004D36A4" w:rsidRDefault="004D36A4" w:rsidP="0025469E">
            <w:pPr>
              <w:jc w:val="center"/>
              <w:rPr>
                <w:rFonts w:ascii="Arial" w:hAnsi="Arial" w:cs="Arial"/>
                <w:color w:val="000000"/>
                <w:sz w:val="18"/>
                <w:szCs w:val="20"/>
              </w:rPr>
            </w:pPr>
            <w:r>
              <w:rPr>
                <w:rFonts w:ascii="Arial" w:hAnsi="Arial" w:cs="Arial"/>
                <w:color w:val="000000"/>
                <w:sz w:val="18"/>
                <w:szCs w:val="20"/>
              </w:rPr>
              <w:t>(5)</w:t>
            </w:r>
          </w:p>
        </w:tc>
      </w:tr>
    </w:tbl>
    <w:p w:rsidR="004D5C2E" w:rsidRDefault="004D5C2E" w:rsidP="004D5C2E">
      <w:pPr>
        <w:spacing w:after="0" w:line="240" w:lineRule="auto"/>
        <w:jc w:val="both"/>
        <w:rPr>
          <w:rFonts w:ascii="Arial" w:hAnsi="Arial" w:cs="Arial"/>
          <w:sz w:val="16"/>
          <w:szCs w:val="20"/>
        </w:rPr>
      </w:pPr>
    </w:p>
    <w:p w:rsidR="004D5C2E" w:rsidRDefault="004D5C2E" w:rsidP="004D5C2E">
      <w:pPr>
        <w:spacing w:after="0" w:line="240" w:lineRule="auto"/>
        <w:jc w:val="both"/>
        <w:rPr>
          <w:rFonts w:ascii="Arial" w:hAnsi="Arial" w:cs="Arial"/>
          <w:sz w:val="16"/>
          <w:szCs w:val="20"/>
        </w:rPr>
      </w:pPr>
    </w:p>
    <w:p w:rsidR="004D5C2E" w:rsidRDefault="004D5C2E" w:rsidP="004D5C2E">
      <w:pPr>
        <w:spacing w:after="0" w:line="240" w:lineRule="auto"/>
        <w:jc w:val="both"/>
        <w:rPr>
          <w:rFonts w:ascii="Arial" w:hAnsi="Arial" w:cs="Arial"/>
          <w:sz w:val="16"/>
          <w:szCs w:val="20"/>
        </w:rPr>
      </w:pPr>
      <w:r>
        <w:rPr>
          <w:rFonts w:ascii="Arial" w:hAnsi="Arial" w:cs="Arial"/>
          <w:sz w:val="16"/>
          <w:szCs w:val="20"/>
        </w:rPr>
        <w:t xml:space="preserve">Notes: The figures in the table are prospect values for each attack method category at each of five reference points. The figures in parentheses are the rankings, which are based on the prospect values, for each attack method category for each reference point. The prospect values for Table 2 were computed under the assumption that outcomes are log normally distributed. </w:t>
      </w:r>
      <w:r w:rsidRPr="004D5C2E">
        <w:rPr>
          <w:rFonts w:ascii="Arial" w:hAnsi="Arial" w:cs="Arial"/>
          <w:sz w:val="16"/>
          <w:szCs w:val="20"/>
        </w:rPr>
        <w:t xml:space="preserve">The prospect values </w:t>
      </w:r>
      <w:r>
        <w:rPr>
          <w:rFonts w:ascii="Arial" w:hAnsi="Arial" w:cs="Arial"/>
          <w:sz w:val="16"/>
          <w:szCs w:val="20"/>
        </w:rPr>
        <w:t xml:space="preserve">in Table 2 </w:t>
      </w:r>
      <w:r w:rsidRPr="004D5C2E">
        <w:rPr>
          <w:rFonts w:ascii="Arial" w:hAnsi="Arial" w:cs="Arial"/>
          <w:sz w:val="16"/>
          <w:szCs w:val="20"/>
        </w:rPr>
        <w:t xml:space="preserve">have </w:t>
      </w:r>
      <w:r>
        <w:rPr>
          <w:rFonts w:ascii="Arial" w:hAnsi="Arial" w:cs="Arial"/>
          <w:sz w:val="16"/>
          <w:szCs w:val="20"/>
        </w:rPr>
        <w:t xml:space="preserve">also </w:t>
      </w:r>
      <w:r w:rsidRPr="004D5C2E">
        <w:rPr>
          <w:rFonts w:ascii="Arial" w:hAnsi="Arial" w:cs="Arial"/>
          <w:sz w:val="16"/>
          <w:szCs w:val="20"/>
        </w:rPr>
        <w:t>been scaled by a factor of 10 in order to make the interpretation easier</w:t>
      </w:r>
    </w:p>
    <w:p w:rsidR="007D6CF6" w:rsidRPr="0040227B" w:rsidRDefault="007D6CF6" w:rsidP="0040227B">
      <w:pPr>
        <w:spacing w:after="0" w:line="480" w:lineRule="auto"/>
        <w:ind w:left="720" w:hanging="720"/>
        <w:jc w:val="both"/>
        <w:rPr>
          <w:rFonts w:ascii="Times New Roman" w:hAnsi="Times New Roman" w:cs="Times New Roman"/>
          <w:sz w:val="20"/>
          <w:szCs w:val="20"/>
        </w:rPr>
      </w:pPr>
    </w:p>
    <w:sectPr w:rsidR="007D6CF6" w:rsidRPr="0040227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51" w:rsidRDefault="00150D51" w:rsidP="00BA142E">
      <w:pPr>
        <w:spacing w:after="0" w:line="240" w:lineRule="auto"/>
      </w:pPr>
      <w:r>
        <w:separator/>
      </w:r>
    </w:p>
  </w:endnote>
  <w:endnote w:type="continuationSeparator" w:id="0">
    <w:p w:rsidR="00150D51" w:rsidRDefault="00150D51" w:rsidP="00BA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181295"/>
      <w:docPartObj>
        <w:docPartGallery w:val="Page Numbers (Bottom of Page)"/>
        <w:docPartUnique/>
      </w:docPartObj>
    </w:sdtPr>
    <w:sdtEndPr>
      <w:rPr>
        <w:rFonts w:ascii="Times New Roman" w:hAnsi="Times New Roman" w:cs="Times New Roman"/>
        <w:noProof/>
        <w:sz w:val="16"/>
      </w:rPr>
    </w:sdtEndPr>
    <w:sdtContent>
      <w:p w:rsidR="00880DD1" w:rsidRPr="0040227B" w:rsidRDefault="00880DD1" w:rsidP="0025469E">
        <w:pPr>
          <w:pStyle w:val="Footer"/>
          <w:jc w:val="center"/>
          <w:rPr>
            <w:rFonts w:ascii="Times New Roman" w:hAnsi="Times New Roman" w:cs="Times New Roman"/>
            <w:sz w:val="16"/>
          </w:rPr>
        </w:pPr>
        <w:r w:rsidRPr="0040227B">
          <w:rPr>
            <w:rFonts w:ascii="Times New Roman" w:hAnsi="Times New Roman" w:cs="Times New Roman"/>
            <w:sz w:val="16"/>
          </w:rPr>
          <w:fldChar w:fldCharType="begin"/>
        </w:r>
        <w:r w:rsidRPr="0040227B">
          <w:rPr>
            <w:rFonts w:ascii="Times New Roman" w:hAnsi="Times New Roman" w:cs="Times New Roman"/>
            <w:sz w:val="16"/>
          </w:rPr>
          <w:instrText xml:space="preserve"> PAGE   \* MERGEFORMAT </w:instrText>
        </w:r>
        <w:r w:rsidRPr="0040227B">
          <w:rPr>
            <w:rFonts w:ascii="Times New Roman" w:hAnsi="Times New Roman" w:cs="Times New Roman"/>
            <w:sz w:val="16"/>
          </w:rPr>
          <w:fldChar w:fldCharType="separate"/>
        </w:r>
        <w:r w:rsidR="00FD5D99">
          <w:rPr>
            <w:rFonts w:ascii="Times New Roman" w:hAnsi="Times New Roman" w:cs="Times New Roman"/>
            <w:noProof/>
            <w:sz w:val="16"/>
          </w:rPr>
          <w:t>16</w:t>
        </w:r>
        <w:r w:rsidRPr="0040227B">
          <w:rPr>
            <w:rFonts w:ascii="Times New Roman" w:hAnsi="Times New Roman" w:cs="Times New Roman"/>
            <w:noProof/>
            <w:sz w:val="16"/>
          </w:rPr>
          <w:fldChar w:fldCharType="end"/>
        </w:r>
      </w:p>
    </w:sdtContent>
  </w:sdt>
  <w:p w:rsidR="00880DD1" w:rsidRDefault="00880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51" w:rsidRDefault="00150D51" w:rsidP="00BA142E">
      <w:pPr>
        <w:spacing w:after="0" w:line="240" w:lineRule="auto"/>
      </w:pPr>
      <w:r>
        <w:separator/>
      </w:r>
    </w:p>
  </w:footnote>
  <w:footnote w:type="continuationSeparator" w:id="0">
    <w:p w:rsidR="00150D51" w:rsidRDefault="00150D51" w:rsidP="00BA142E">
      <w:pPr>
        <w:spacing w:after="0" w:line="240" w:lineRule="auto"/>
      </w:pPr>
      <w:r>
        <w:continuationSeparator/>
      </w:r>
    </w:p>
  </w:footnote>
  <w:footnote w:id="1">
    <w:p w:rsidR="00880DD1" w:rsidRPr="0040227B" w:rsidRDefault="00880DD1" w:rsidP="00834E58">
      <w:pPr>
        <w:pStyle w:val="FootnoteText"/>
        <w:jc w:val="both"/>
        <w:rPr>
          <w:rFonts w:ascii="Times New Roman" w:hAnsi="Times New Roman" w:cs="Times New Roman"/>
          <w:sz w:val="16"/>
          <w:szCs w:val="16"/>
        </w:rPr>
      </w:pPr>
      <w:r w:rsidRPr="0040227B">
        <w:rPr>
          <w:rStyle w:val="FootnoteReference"/>
          <w:rFonts w:ascii="Times New Roman" w:hAnsi="Times New Roman" w:cs="Times New Roman"/>
          <w:sz w:val="16"/>
          <w:szCs w:val="16"/>
        </w:rPr>
        <w:sym w:font="Symbol" w:char="F02A"/>
      </w:r>
      <w:r w:rsidRPr="0040227B">
        <w:rPr>
          <w:rFonts w:ascii="Times New Roman" w:hAnsi="Times New Roman" w:cs="Times New Roman"/>
          <w:sz w:val="16"/>
          <w:szCs w:val="16"/>
        </w:rPr>
        <w:t xml:space="preserve"> Peter J Phillips, Associate Professor of Finance, School of Accounting, Economics and Finance, Faculty of Business and Law, University of Southern Queensland, West Street, Toowoomba, Queensland, Australia, 4350; Email: </w:t>
      </w:r>
      <w:hyperlink r:id="rId1" w:history="1">
        <w:r w:rsidRPr="0040227B">
          <w:rPr>
            <w:rStyle w:val="Hyperlink1"/>
            <w:rFonts w:ascii="Times New Roman" w:hAnsi="Times New Roman" w:cs="Times New Roman"/>
            <w:sz w:val="16"/>
            <w:szCs w:val="16"/>
          </w:rPr>
          <w:t>phillips@usq.edu.au</w:t>
        </w:r>
      </w:hyperlink>
      <w:r w:rsidRPr="0040227B">
        <w:rPr>
          <w:rFonts w:ascii="Times New Roman" w:hAnsi="Times New Roman" w:cs="Times New Roman"/>
          <w:sz w:val="16"/>
          <w:szCs w:val="16"/>
        </w:rPr>
        <w:t xml:space="preserve">. Gabriela Pohl, Lecturer in German Language and Culture, School of Humanities and Communication, University of Southern Queensland, West Street, Toowoomba, Queensland, Australia, 4350; Email: </w:t>
      </w:r>
      <w:hyperlink r:id="rId2" w:history="1">
        <w:r w:rsidRPr="0040227B">
          <w:rPr>
            <w:rStyle w:val="Hyperlink"/>
            <w:rFonts w:ascii="Times New Roman" w:hAnsi="Times New Roman" w:cs="Times New Roman"/>
            <w:sz w:val="16"/>
            <w:szCs w:val="16"/>
          </w:rPr>
          <w:t>Gabriela.Pohl@usq.edu.au</w:t>
        </w:r>
      </w:hyperlink>
      <w:r w:rsidRPr="0040227B">
        <w:rPr>
          <w:rFonts w:ascii="Times New Roman" w:hAnsi="Times New Roman" w:cs="Times New Roman"/>
          <w:sz w:val="16"/>
          <w:szCs w:val="16"/>
        </w:rPr>
        <w:t xml:space="preserve">. The authors would like to thank Jorge M. </w:t>
      </w:r>
      <w:proofErr w:type="spellStart"/>
      <w:r w:rsidRPr="0040227B">
        <w:rPr>
          <w:rFonts w:ascii="Times New Roman" w:hAnsi="Times New Roman" w:cs="Times New Roman"/>
          <w:sz w:val="16"/>
          <w:szCs w:val="16"/>
        </w:rPr>
        <w:t>Streb</w:t>
      </w:r>
      <w:proofErr w:type="spellEnd"/>
      <w:r w:rsidRPr="0040227B">
        <w:rPr>
          <w:rFonts w:ascii="Times New Roman" w:hAnsi="Times New Roman" w:cs="Times New Roman"/>
          <w:sz w:val="16"/>
          <w:szCs w:val="16"/>
        </w:rPr>
        <w:t xml:space="preserve"> (the Editor) and an anonymous referee for making a number of valuable suggestions that have significantly improved the paper. All errors remain the responsibility of the authors.   </w:t>
      </w:r>
    </w:p>
  </w:footnote>
  <w:footnote w:id="2">
    <w:p w:rsidR="00880DD1" w:rsidRPr="0040227B" w:rsidRDefault="00880DD1" w:rsidP="00275325">
      <w:pPr>
        <w:pStyle w:val="FootnoteText"/>
        <w:jc w:val="both"/>
        <w:rPr>
          <w:rFonts w:ascii="Times New Roman" w:hAnsi="Times New Roman" w:cs="Times New Roman"/>
          <w:sz w:val="16"/>
          <w:szCs w:val="16"/>
        </w:rPr>
      </w:pPr>
      <w:r w:rsidRPr="0040227B">
        <w:rPr>
          <w:rStyle w:val="FootnoteReference"/>
          <w:rFonts w:ascii="Times New Roman" w:hAnsi="Times New Roman" w:cs="Times New Roman"/>
          <w:sz w:val="16"/>
          <w:szCs w:val="16"/>
        </w:rPr>
        <w:footnoteRef/>
      </w:r>
      <w:r w:rsidR="00623838">
        <w:rPr>
          <w:rFonts w:ascii="Times New Roman" w:hAnsi="Times New Roman" w:cs="Times New Roman"/>
          <w:sz w:val="16"/>
          <w:szCs w:val="16"/>
        </w:rPr>
        <w:t xml:space="preserve"> O’Neill</w:t>
      </w:r>
      <w:r w:rsidRPr="0040227B">
        <w:rPr>
          <w:rFonts w:ascii="Times New Roman" w:hAnsi="Times New Roman" w:cs="Times New Roman"/>
          <w:sz w:val="16"/>
          <w:szCs w:val="16"/>
        </w:rPr>
        <w:t xml:space="preserve"> (2001) </w:t>
      </w:r>
      <w:r w:rsidR="00623838">
        <w:rPr>
          <w:rFonts w:ascii="Times New Roman" w:hAnsi="Times New Roman" w:cs="Times New Roman"/>
          <w:sz w:val="16"/>
          <w:szCs w:val="16"/>
        </w:rPr>
        <w:t xml:space="preserve">presents a </w:t>
      </w:r>
      <w:r w:rsidRPr="0040227B">
        <w:rPr>
          <w:rFonts w:ascii="Times New Roman" w:hAnsi="Times New Roman" w:cs="Times New Roman"/>
          <w:sz w:val="16"/>
          <w:szCs w:val="16"/>
        </w:rPr>
        <w:t xml:space="preserve">discussion of the treatment of risk aversion within international relations theory </w:t>
      </w:r>
      <w:r w:rsidR="00623838">
        <w:rPr>
          <w:rFonts w:ascii="Times New Roman" w:hAnsi="Times New Roman" w:cs="Times New Roman"/>
          <w:sz w:val="16"/>
          <w:szCs w:val="16"/>
        </w:rPr>
        <w:t xml:space="preserve">that </w:t>
      </w:r>
      <w:r w:rsidRPr="0040227B">
        <w:rPr>
          <w:rFonts w:ascii="Times New Roman" w:hAnsi="Times New Roman" w:cs="Times New Roman"/>
          <w:sz w:val="16"/>
          <w:szCs w:val="16"/>
        </w:rPr>
        <w:t>contributes the background to this discussion.</w:t>
      </w:r>
    </w:p>
  </w:footnote>
  <w:footnote w:id="3">
    <w:p w:rsidR="00880DD1" w:rsidRPr="0040227B" w:rsidRDefault="00880DD1">
      <w:pPr>
        <w:pStyle w:val="FootnoteText"/>
        <w:rPr>
          <w:rFonts w:ascii="Times New Roman" w:hAnsi="Times New Roman" w:cs="Times New Roman"/>
          <w:sz w:val="18"/>
        </w:rPr>
      </w:pPr>
      <w:r w:rsidRPr="0040227B">
        <w:rPr>
          <w:rStyle w:val="FootnoteReference"/>
          <w:rFonts w:ascii="Times New Roman" w:hAnsi="Times New Roman" w:cs="Times New Roman"/>
          <w:sz w:val="16"/>
        </w:rPr>
        <w:footnoteRef/>
      </w:r>
      <w:r w:rsidRPr="0040227B">
        <w:rPr>
          <w:rFonts w:ascii="Times New Roman" w:hAnsi="Times New Roman" w:cs="Times New Roman"/>
          <w:sz w:val="16"/>
        </w:rPr>
        <w:t xml:space="preserve"> </w:t>
      </w:r>
      <w:proofErr w:type="gramStart"/>
      <w:r w:rsidRPr="0040227B">
        <w:rPr>
          <w:rFonts w:ascii="Times New Roman" w:hAnsi="Times New Roman" w:cs="Times New Roman"/>
          <w:sz w:val="16"/>
        </w:rPr>
        <w:t>BBC News, 25</w:t>
      </w:r>
      <w:r w:rsidRPr="0040227B">
        <w:rPr>
          <w:rFonts w:ascii="Times New Roman" w:hAnsi="Times New Roman" w:cs="Times New Roman"/>
          <w:sz w:val="16"/>
          <w:vertAlign w:val="superscript"/>
        </w:rPr>
        <w:t>th</w:t>
      </w:r>
      <w:r w:rsidRPr="0040227B">
        <w:rPr>
          <w:rFonts w:ascii="Times New Roman" w:hAnsi="Times New Roman" w:cs="Times New Roman"/>
          <w:sz w:val="16"/>
        </w:rPr>
        <w:t xml:space="preserve"> of May, 2013.</w:t>
      </w:r>
      <w:proofErr w:type="gramEnd"/>
      <w:r w:rsidRPr="0040227B">
        <w:rPr>
          <w:rFonts w:ascii="Times New Roman" w:hAnsi="Times New Roman" w:cs="Times New Roman"/>
          <w:sz w:val="16"/>
        </w:rPr>
        <w:t xml:space="preserve"> </w:t>
      </w:r>
    </w:p>
  </w:footnote>
  <w:footnote w:id="4">
    <w:p w:rsidR="00880DD1" w:rsidRPr="0040227B" w:rsidRDefault="00880DD1" w:rsidP="001C7DC2">
      <w:pPr>
        <w:pStyle w:val="FootnoteText"/>
        <w:jc w:val="both"/>
        <w:rPr>
          <w:rFonts w:ascii="Times New Roman" w:hAnsi="Times New Roman" w:cs="Times New Roman"/>
          <w:sz w:val="16"/>
          <w:szCs w:val="18"/>
        </w:rPr>
      </w:pPr>
      <w:r w:rsidRPr="0040227B">
        <w:rPr>
          <w:rStyle w:val="FootnoteReference"/>
          <w:rFonts w:ascii="Times New Roman" w:hAnsi="Times New Roman" w:cs="Times New Roman"/>
          <w:sz w:val="16"/>
          <w:szCs w:val="18"/>
        </w:rPr>
        <w:footnoteRef/>
      </w:r>
      <w:r w:rsidRPr="0040227B">
        <w:rPr>
          <w:rFonts w:ascii="Times New Roman" w:hAnsi="Times New Roman" w:cs="Times New Roman"/>
          <w:sz w:val="16"/>
          <w:szCs w:val="18"/>
        </w:rPr>
        <w:t xml:space="preserve"> Proportion here refers to the ‘magnitude’ or ‘scale’ of the effect of the terrorist action. RAF members decided that their next action had to be ‘bigger’ than the kidnapping of Lorenz (Winkler 2007, p.252). </w:t>
      </w:r>
    </w:p>
  </w:footnote>
  <w:footnote w:id="5">
    <w:p w:rsidR="00880DD1" w:rsidRPr="0040227B" w:rsidRDefault="00880DD1" w:rsidP="001C7DC2">
      <w:pPr>
        <w:pStyle w:val="FootnoteText"/>
        <w:jc w:val="both"/>
        <w:rPr>
          <w:rFonts w:ascii="Times New Roman" w:hAnsi="Times New Roman" w:cs="Times New Roman"/>
          <w:sz w:val="18"/>
        </w:rPr>
      </w:pPr>
      <w:r w:rsidRPr="0040227B">
        <w:rPr>
          <w:rStyle w:val="FootnoteReference"/>
          <w:rFonts w:ascii="Times New Roman" w:hAnsi="Times New Roman" w:cs="Times New Roman"/>
          <w:sz w:val="16"/>
          <w:szCs w:val="18"/>
        </w:rPr>
        <w:footnoteRef/>
      </w:r>
      <w:r w:rsidRPr="0040227B">
        <w:rPr>
          <w:rFonts w:ascii="Times New Roman" w:hAnsi="Times New Roman" w:cs="Times New Roman"/>
          <w:sz w:val="16"/>
          <w:szCs w:val="18"/>
        </w:rPr>
        <w:t xml:space="preserve"> Another terror group on friendly terms with the Palestinians, i.e. the Japanese Red Army, successfully hijacks a Japanese aircraft on 28 September 1977.  On the first day of the event the Japanese gover</w:t>
      </w:r>
      <w:r w:rsidR="00623838">
        <w:rPr>
          <w:rFonts w:ascii="Times New Roman" w:hAnsi="Times New Roman" w:cs="Times New Roman"/>
          <w:sz w:val="16"/>
          <w:szCs w:val="18"/>
        </w:rPr>
        <w:t>nment gives in to the</w:t>
      </w:r>
      <w:r w:rsidRPr="0040227B">
        <w:rPr>
          <w:rFonts w:ascii="Times New Roman" w:hAnsi="Times New Roman" w:cs="Times New Roman"/>
          <w:sz w:val="16"/>
          <w:szCs w:val="18"/>
        </w:rPr>
        <w:t xml:space="preserve"> demands</w:t>
      </w:r>
      <w:r w:rsidR="00623838">
        <w:rPr>
          <w:rFonts w:ascii="Times New Roman" w:hAnsi="Times New Roman" w:cs="Times New Roman"/>
          <w:sz w:val="16"/>
          <w:szCs w:val="18"/>
        </w:rPr>
        <w:t xml:space="preserve"> of the hijackers</w:t>
      </w:r>
      <w:r w:rsidRPr="0040227B">
        <w:rPr>
          <w:rFonts w:ascii="Times New Roman" w:hAnsi="Times New Roman" w:cs="Times New Roman"/>
          <w:sz w:val="16"/>
          <w:szCs w:val="18"/>
        </w:rPr>
        <w:t xml:space="preserve">: 9 Japanese Red Army group members are released from prison and 6 million dollars paid in ransom. Algeria, one of the possible “countries of choice” for RAF prisoners to be exchanged for </w:t>
      </w:r>
      <w:proofErr w:type="spellStart"/>
      <w:r w:rsidRPr="0040227B">
        <w:rPr>
          <w:rFonts w:ascii="Times New Roman" w:hAnsi="Times New Roman" w:cs="Times New Roman"/>
          <w:sz w:val="16"/>
          <w:szCs w:val="18"/>
        </w:rPr>
        <w:t>Schleyer</w:t>
      </w:r>
      <w:proofErr w:type="spellEnd"/>
      <w:r w:rsidRPr="0040227B">
        <w:rPr>
          <w:rFonts w:ascii="Times New Roman" w:hAnsi="Times New Roman" w:cs="Times New Roman"/>
          <w:sz w:val="16"/>
          <w:szCs w:val="18"/>
        </w:rPr>
        <w:t>, agrees to accept all released Japanese Red Army prisoners (Winkler 2007, p.330).</w:t>
      </w:r>
    </w:p>
  </w:footnote>
  <w:footnote w:id="6">
    <w:p w:rsidR="00880DD1" w:rsidRPr="0040227B" w:rsidRDefault="00880DD1" w:rsidP="00A7716E">
      <w:pPr>
        <w:pStyle w:val="FootnoteText"/>
        <w:rPr>
          <w:rFonts w:ascii="Times New Roman" w:hAnsi="Times New Roman" w:cs="Times New Roman"/>
          <w:sz w:val="16"/>
          <w:szCs w:val="18"/>
        </w:rPr>
      </w:pPr>
      <w:r w:rsidRPr="0040227B">
        <w:rPr>
          <w:rStyle w:val="FootnoteReference"/>
          <w:rFonts w:ascii="Times New Roman" w:hAnsi="Times New Roman" w:cs="Times New Roman"/>
          <w:sz w:val="16"/>
          <w:szCs w:val="18"/>
        </w:rPr>
        <w:footnoteRef/>
      </w:r>
      <w:r w:rsidRPr="0040227B">
        <w:rPr>
          <w:rFonts w:ascii="Times New Roman" w:hAnsi="Times New Roman" w:cs="Times New Roman"/>
          <w:sz w:val="16"/>
          <w:szCs w:val="18"/>
        </w:rPr>
        <w:t xml:space="preserve"> Sometimes, these violations are called ‘paradoxes’. These include the ‘certainty effect’ and the ‘isolation effect’. </w:t>
      </w:r>
    </w:p>
  </w:footnote>
  <w:footnote w:id="7">
    <w:p w:rsidR="00880DD1" w:rsidRPr="0040227B" w:rsidRDefault="00880DD1" w:rsidP="00C22402">
      <w:pPr>
        <w:pStyle w:val="FootnoteText"/>
        <w:jc w:val="both"/>
        <w:rPr>
          <w:rFonts w:ascii="Times New Roman" w:hAnsi="Times New Roman" w:cs="Times New Roman"/>
          <w:sz w:val="18"/>
          <w:szCs w:val="18"/>
        </w:rPr>
      </w:pPr>
      <w:r w:rsidRPr="0040227B">
        <w:rPr>
          <w:rStyle w:val="FootnoteReference"/>
          <w:rFonts w:ascii="Times New Roman" w:hAnsi="Times New Roman" w:cs="Times New Roman"/>
          <w:sz w:val="16"/>
          <w:szCs w:val="18"/>
        </w:rPr>
        <w:footnoteRef/>
      </w:r>
      <w:r w:rsidRPr="0040227B">
        <w:rPr>
          <w:rFonts w:ascii="Times New Roman" w:hAnsi="Times New Roman" w:cs="Times New Roman"/>
          <w:sz w:val="16"/>
          <w:szCs w:val="18"/>
        </w:rPr>
        <w:t xml:space="preserve"> “As in expected utility theory we assign to each prospect</w:t>
      </w:r>
      <w:r w:rsidRPr="0040227B">
        <w:rPr>
          <w:rFonts w:ascii="Times New Roman" w:hAnsi="Times New Roman" w:cs="Times New Roman"/>
          <w:i/>
          <w:sz w:val="16"/>
          <w:szCs w:val="18"/>
        </w:rPr>
        <w:t xml:space="preserve"> </w:t>
      </w:r>
      <w:proofErr w:type="spellStart"/>
      <w:r w:rsidRPr="0040227B">
        <w:rPr>
          <w:rFonts w:ascii="Times New Roman" w:hAnsi="Times New Roman" w:cs="Times New Roman"/>
          <w:i/>
          <w:sz w:val="16"/>
          <w:szCs w:val="18"/>
        </w:rPr>
        <w:t>f</w:t>
      </w:r>
      <w:proofErr w:type="spellEnd"/>
      <w:r w:rsidRPr="0040227B">
        <w:rPr>
          <w:rFonts w:ascii="Times New Roman" w:hAnsi="Times New Roman" w:cs="Times New Roman"/>
          <w:sz w:val="16"/>
          <w:szCs w:val="18"/>
        </w:rPr>
        <w:t xml:space="preserve"> a number </w:t>
      </w:r>
      <w:r w:rsidRPr="0040227B">
        <w:rPr>
          <w:rFonts w:ascii="Times New Roman" w:hAnsi="Times New Roman" w:cs="Times New Roman"/>
          <w:i/>
          <w:sz w:val="16"/>
          <w:szCs w:val="18"/>
        </w:rPr>
        <w:t>V(f)</w:t>
      </w:r>
      <w:r w:rsidRPr="0040227B">
        <w:rPr>
          <w:rFonts w:ascii="Times New Roman" w:hAnsi="Times New Roman" w:cs="Times New Roman"/>
          <w:sz w:val="16"/>
          <w:szCs w:val="18"/>
        </w:rPr>
        <w:t xml:space="preserve"> such that </w:t>
      </w:r>
      <w:r w:rsidRPr="0040227B">
        <w:rPr>
          <w:rFonts w:ascii="Times New Roman" w:hAnsi="Times New Roman" w:cs="Times New Roman"/>
          <w:i/>
          <w:sz w:val="16"/>
          <w:szCs w:val="18"/>
        </w:rPr>
        <w:t>f</w:t>
      </w:r>
      <w:r w:rsidRPr="0040227B">
        <w:rPr>
          <w:rFonts w:ascii="Times New Roman" w:hAnsi="Times New Roman" w:cs="Times New Roman"/>
          <w:sz w:val="16"/>
          <w:szCs w:val="18"/>
        </w:rPr>
        <w:t xml:space="preserve"> is preferred to or indifferent to </w:t>
      </w:r>
      <w:r w:rsidRPr="0040227B">
        <w:rPr>
          <w:rFonts w:ascii="Times New Roman" w:hAnsi="Times New Roman" w:cs="Times New Roman"/>
          <w:i/>
          <w:sz w:val="16"/>
          <w:szCs w:val="18"/>
        </w:rPr>
        <w:t>g</w:t>
      </w:r>
      <w:r w:rsidRPr="0040227B">
        <w:rPr>
          <w:rFonts w:ascii="Times New Roman" w:hAnsi="Times New Roman" w:cs="Times New Roman"/>
          <w:sz w:val="16"/>
          <w:szCs w:val="18"/>
        </w:rPr>
        <w:t xml:space="preserve"> </w:t>
      </w:r>
      <w:proofErr w:type="spellStart"/>
      <w:r w:rsidRPr="0040227B">
        <w:rPr>
          <w:rFonts w:ascii="Times New Roman" w:hAnsi="Times New Roman" w:cs="Times New Roman"/>
          <w:sz w:val="16"/>
          <w:szCs w:val="18"/>
        </w:rPr>
        <w:t>iff</w:t>
      </w:r>
      <w:proofErr w:type="spellEnd"/>
      <w:r w:rsidRPr="0040227B">
        <w:rPr>
          <w:rFonts w:ascii="Times New Roman" w:hAnsi="Times New Roman" w:cs="Times New Roman"/>
          <w:sz w:val="16"/>
          <w:szCs w:val="18"/>
        </w:rPr>
        <w:t xml:space="preserve"> </w:t>
      </w:r>
      <w:r w:rsidRPr="0040227B">
        <w:rPr>
          <w:rFonts w:ascii="Times New Roman" w:hAnsi="Times New Roman" w:cs="Times New Roman"/>
          <w:i/>
          <w:sz w:val="16"/>
          <w:szCs w:val="18"/>
        </w:rPr>
        <w:t>V(f) ≥ V(g)</w:t>
      </w:r>
      <w:r w:rsidRPr="0040227B">
        <w:rPr>
          <w:rFonts w:ascii="Times New Roman" w:hAnsi="Times New Roman" w:cs="Times New Roman"/>
          <w:sz w:val="16"/>
          <w:szCs w:val="18"/>
        </w:rPr>
        <w:t xml:space="preserve">” (Tversky and Kahneman 1992, p.300). </w:t>
      </w:r>
    </w:p>
  </w:footnote>
  <w:footnote w:id="8">
    <w:p w:rsidR="00880DD1" w:rsidRPr="0040227B" w:rsidRDefault="00880DD1" w:rsidP="0094705B">
      <w:pPr>
        <w:pStyle w:val="FootnoteText"/>
        <w:jc w:val="both"/>
        <w:rPr>
          <w:rFonts w:ascii="Times New Roman" w:hAnsi="Times New Roman" w:cs="Times New Roman"/>
          <w:sz w:val="16"/>
          <w:szCs w:val="18"/>
        </w:rPr>
      </w:pPr>
      <w:r w:rsidRPr="0040227B">
        <w:rPr>
          <w:rStyle w:val="FootnoteReference"/>
          <w:rFonts w:ascii="Times New Roman" w:hAnsi="Times New Roman" w:cs="Times New Roman"/>
          <w:sz w:val="16"/>
          <w:szCs w:val="18"/>
        </w:rPr>
        <w:footnoteRef/>
      </w:r>
      <w:r w:rsidRPr="0040227B">
        <w:rPr>
          <w:rFonts w:ascii="Times New Roman" w:hAnsi="Times New Roman" w:cs="Times New Roman"/>
          <w:sz w:val="16"/>
          <w:szCs w:val="18"/>
        </w:rPr>
        <w:t xml:space="preserve"> It should be noted that details, including the number of victims and motivation of the offender, remain unclear in some cases. </w:t>
      </w:r>
    </w:p>
  </w:footnote>
  <w:footnote w:id="9">
    <w:p w:rsidR="00880DD1" w:rsidRPr="00F06C67" w:rsidRDefault="00880DD1">
      <w:pPr>
        <w:pStyle w:val="FootnoteText"/>
        <w:rPr>
          <w:rFonts w:asciiTheme="majorHAnsi" w:hAnsiTheme="majorHAnsi"/>
          <w:sz w:val="18"/>
          <w:szCs w:val="18"/>
        </w:rPr>
      </w:pPr>
      <w:r w:rsidRPr="0040227B">
        <w:rPr>
          <w:rStyle w:val="FootnoteReference"/>
          <w:rFonts w:ascii="Times New Roman" w:hAnsi="Times New Roman" w:cs="Times New Roman"/>
          <w:sz w:val="16"/>
          <w:szCs w:val="18"/>
        </w:rPr>
        <w:footnoteRef/>
      </w:r>
      <w:r w:rsidRPr="0040227B">
        <w:rPr>
          <w:rFonts w:ascii="Times New Roman" w:hAnsi="Times New Roman" w:cs="Times New Roman"/>
          <w:sz w:val="16"/>
          <w:szCs w:val="18"/>
        </w:rPr>
        <w:t xml:space="preserve"> This data is sourced from the Global Terrorism Database (GTD). </w:t>
      </w:r>
    </w:p>
  </w:footnote>
  <w:footnote w:id="10">
    <w:p w:rsidR="00880DD1" w:rsidRPr="0040227B" w:rsidRDefault="00880DD1">
      <w:pPr>
        <w:pStyle w:val="FootnoteText"/>
        <w:rPr>
          <w:rFonts w:ascii="Times New Roman" w:hAnsi="Times New Roman" w:cs="Times New Roman"/>
          <w:sz w:val="16"/>
        </w:rPr>
      </w:pPr>
      <w:r w:rsidRPr="0040227B">
        <w:rPr>
          <w:rStyle w:val="FootnoteReference"/>
          <w:rFonts w:ascii="Times New Roman" w:hAnsi="Times New Roman" w:cs="Times New Roman"/>
          <w:sz w:val="16"/>
        </w:rPr>
        <w:footnoteRef/>
      </w:r>
      <w:r w:rsidRPr="0040227B">
        <w:rPr>
          <w:rFonts w:ascii="Times New Roman" w:hAnsi="Times New Roman" w:cs="Times New Roman"/>
          <w:sz w:val="16"/>
        </w:rPr>
        <w:t xml:space="preserve"> That is all terrorism, including lone wolf terrorism. </w:t>
      </w:r>
    </w:p>
  </w:footnote>
  <w:footnote w:id="11">
    <w:p w:rsidR="00880DD1" w:rsidRPr="0040227B" w:rsidRDefault="00880DD1" w:rsidP="00E757E2">
      <w:pPr>
        <w:pStyle w:val="FootnoteText"/>
        <w:jc w:val="both"/>
        <w:rPr>
          <w:rFonts w:ascii="Times New Roman" w:hAnsi="Times New Roman" w:cs="Times New Roman"/>
          <w:sz w:val="16"/>
          <w:szCs w:val="16"/>
        </w:rPr>
      </w:pPr>
      <w:r w:rsidRPr="0040227B">
        <w:rPr>
          <w:rStyle w:val="FootnoteReference"/>
          <w:rFonts w:ascii="Times New Roman" w:hAnsi="Times New Roman" w:cs="Times New Roman"/>
          <w:sz w:val="16"/>
          <w:szCs w:val="16"/>
        </w:rPr>
        <w:footnoteRef/>
      </w:r>
      <w:r w:rsidRPr="0040227B">
        <w:rPr>
          <w:rFonts w:ascii="Times New Roman" w:hAnsi="Times New Roman" w:cs="Times New Roman"/>
          <w:sz w:val="16"/>
          <w:szCs w:val="16"/>
        </w:rPr>
        <w:t xml:space="preserve"> The victim, Dr George Tiller, who on this occasion was fatally shot by Roeder in 2009, was also the victim of the attempted murder perpetrated by Rachelle Shannon in 1993. </w:t>
      </w:r>
    </w:p>
  </w:footnote>
  <w:footnote w:id="12">
    <w:p w:rsidR="00880DD1" w:rsidRPr="0040227B" w:rsidRDefault="00880DD1" w:rsidP="00D9520D">
      <w:pPr>
        <w:pStyle w:val="FootnoteText"/>
        <w:jc w:val="both"/>
        <w:rPr>
          <w:rFonts w:ascii="Times New Roman" w:hAnsi="Times New Roman" w:cs="Times New Roman"/>
          <w:sz w:val="16"/>
          <w:szCs w:val="16"/>
        </w:rPr>
      </w:pPr>
      <w:r w:rsidRPr="0040227B">
        <w:rPr>
          <w:rStyle w:val="FootnoteReference"/>
          <w:rFonts w:ascii="Times New Roman" w:hAnsi="Times New Roman" w:cs="Times New Roman"/>
          <w:sz w:val="16"/>
          <w:szCs w:val="16"/>
        </w:rPr>
        <w:footnoteRef/>
      </w:r>
      <w:r w:rsidRPr="0040227B">
        <w:rPr>
          <w:rFonts w:ascii="Times New Roman" w:hAnsi="Times New Roman" w:cs="Times New Roman"/>
          <w:sz w:val="16"/>
          <w:szCs w:val="16"/>
        </w:rPr>
        <w:t xml:space="preserve"> The standard deviation is 28.66. For the ‘spree shooter’ category the mean injuries and fatalities is 13.33 but the standard deviation is much lower at 15.14. </w:t>
      </w:r>
    </w:p>
  </w:footnote>
  <w:footnote w:id="13">
    <w:p w:rsidR="00880DD1" w:rsidRPr="0040227B" w:rsidRDefault="00880DD1" w:rsidP="00D9520D">
      <w:pPr>
        <w:pStyle w:val="FootnoteText"/>
        <w:jc w:val="both"/>
        <w:rPr>
          <w:rFonts w:ascii="Times New Roman" w:hAnsi="Times New Roman" w:cs="Times New Roman"/>
          <w:sz w:val="16"/>
          <w:szCs w:val="16"/>
        </w:rPr>
      </w:pPr>
      <w:r w:rsidRPr="0040227B">
        <w:rPr>
          <w:rStyle w:val="FootnoteReference"/>
          <w:rFonts w:ascii="Times New Roman" w:hAnsi="Times New Roman" w:cs="Times New Roman"/>
          <w:sz w:val="16"/>
          <w:szCs w:val="16"/>
        </w:rPr>
        <w:footnoteRef/>
      </w:r>
      <w:r w:rsidRPr="0040227B">
        <w:rPr>
          <w:rFonts w:ascii="Times New Roman" w:hAnsi="Times New Roman" w:cs="Times New Roman"/>
          <w:sz w:val="16"/>
          <w:szCs w:val="16"/>
        </w:rPr>
        <w:t xml:space="preserve"> </w:t>
      </w:r>
      <w:proofErr w:type="gramStart"/>
      <w:r w:rsidRPr="0040227B">
        <w:rPr>
          <w:rFonts w:ascii="Times New Roman" w:hAnsi="Times New Roman" w:cs="Times New Roman"/>
          <w:sz w:val="16"/>
          <w:szCs w:val="16"/>
        </w:rPr>
        <w:t>Instituut voor Veiligheids en Crisismanagement (2007).</w:t>
      </w:r>
      <w:proofErr w:type="gramEnd"/>
    </w:p>
  </w:footnote>
  <w:footnote w:id="14">
    <w:p w:rsidR="00880DD1" w:rsidRPr="0040227B" w:rsidRDefault="00880DD1" w:rsidP="00761D27">
      <w:pPr>
        <w:pStyle w:val="FootnoteText"/>
        <w:jc w:val="both"/>
        <w:rPr>
          <w:rFonts w:ascii="Times New Roman" w:hAnsi="Times New Roman" w:cs="Times New Roman"/>
        </w:rPr>
      </w:pPr>
      <w:r w:rsidRPr="0040227B">
        <w:rPr>
          <w:rStyle w:val="FootnoteReference"/>
          <w:rFonts w:ascii="Times New Roman" w:hAnsi="Times New Roman" w:cs="Times New Roman"/>
          <w:sz w:val="16"/>
          <w:szCs w:val="18"/>
        </w:rPr>
        <w:footnoteRef/>
      </w:r>
      <w:r w:rsidRPr="0040227B">
        <w:rPr>
          <w:rFonts w:ascii="Times New Roman" w:hAnsi="Times New Roman" w:cs="Times New Roman"/>
          <w:sz w:val="16"/>
          <w:szCs w:val="18"/>
        </w:rPr>
        <w:t xml:space="preserve"> The log normal distribution might be suitable in a context where the number of inflicted injuries and fatalities cannot be less than zero. For the normal distribution we gather the probabilities for negative outcomes under the ‘zero’ injuries and fatalities outcome. </w:t>
      </w:r>
    </w:p>
  </w:footnote>
  <w:footnote w:id="15">
    <w:p w:rsidR="00880DD1" w:rsidRPr="0040227B" w:rsidRDefault="00880DD1" w:rsidP="00A77F9C">
      <w:pPr>
        <w:pStyle w:val="FootnoteText"/>
        <w:jc w:val="both"/>
        <w:rPr>
          <w:rFonts w:ascii="Times New Roman" w:hAnsi="Times New Roman" w:cs="Times New Roman"/>
        </w:rPr>
      </w:pPr>
      <w:r w:rsidRPr="0040227B">
        <w:rPr>
          <w:rStyle w:val="FootnoteReference"/>
          <w:rFonts w:ascii="Times New Roman" w:hAnsi="Times New Roman" w:cs="Times New Roman"/>
          <w:sz w:val="16"/>
        </w:rPr>
        <w:footnoteRef/>
      </w:r>
      <w:r w:rsidRPr="0040227B">
        <w:rPr>
          <w:rFonts w:ascii="Times New Roman" w:hAnsi="Times New Roman" w:cs="Times New Roman"/>
          <w:sz w:val="16"/>
        </w:rPr>
        <w:t xml:space="preserve"> For example, a particular type of attack method may have a historical average number of inflicted injuries and fatalities of 5 and a standard deviation of 3. A particular attack may, however, inflict 19 injuries and fatalities. This may be due to particular circumstances that do not characterise attacks on average. As such, a potential lone wolf t</w:t>
      </w:r>
      <w:r w:rsidR="00623838">
        <w:rPr>
          <w:rFonts w:ascii="Times New Roman" w:hAnsi="Times New Roman" w:cs="Times New Roman"/>
          <w:sz w:val="16"/>
        </w:rPr>
        <w:t xml:space="preserve">errorist seeking to emulate the outcomes of this predecessor </w:t>
      </w:r>
      <w:r w:rsidRPr="0040227B">
        <w:rPr>
          <w:rFonts w:ascii="Times New Roman" w:hAnsi="Times New Roman" w:cs="Times New Roman"/>
          <w:sz w:val="16"/>
        </w:rPr>
        <w:t xml:space="preserve">may choose an attack method that is expected to inflict a higher number of injuries and fatalities. Because a risk-reward trade-off characterises the terrorism context, this choice requires the potential terrorist to bear more risk.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60D2F"/>
    <w:multiLevelType w:val="hybridMultilevel"/>
    <w:tmpl w:val="E312E618"/>
    <w:lvl w:ilvl="0" w:tplc="8D78B8AA">
      <w:start w:val="1"/>
      <w:numFmt w:val="bullet"/>
      <w:lvlText w:val="–"/>
      <w:lvlJc w:val="left"/>
      <w:pPr>
        <w:ind w:left="720" w:hanging="360"/>
      </w:pPr>
      <w:rPr>
        <w:rFonts w:ascii="Cambria" w:eastAsiaTheme="minorHAns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C2F1AE8"/>
    <w:multiLevelType w:val="hybridMultilevel"/>
    <w:tmpl w:val="C21C318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349638C"/>
    <w:multiLevelType w:val="hybridMultilevel"/>
    <w:tmpl w:val="FBB888AA"/>
    <w:lvl w:ilvl="0" w:tplc="A6CC5DE8">
      <w:numFmt w:val="bullet"/>
      <w:lvlText w:val="-"/>
      <w:lvlJc w:val="left"/>
      <w:pPr>
        <w:ind w:left="720" w:hanging="360"/>
      </w:pPr>
      <w:rPr>
        <w:rFonts w:ascii="Cambria" w:eastAsiaTheme="minorHAns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2E"/>
    <w:rsid w:val="00003698"/>
    <w:rsid w:val="00004A29"/>
    <w:rsid w:val="00007628"/>
    <w:rsid w:val="00020D5E"/>
    <w:rsid w:val="00025415"/>
    <w:rsid w:val="00033C6C"/>
    <w:rsid w:val="00033E5C"/>
    <w:rsid w:val="000548D2"/>
    <w:rsid w:val="00061FA3"/>
    <w:rsid w:val="00063477"/>
    <w:rsid w:val="00077521"/>
    <w:rsid w:val="00080460"/>
    <w:rsid w:val="00090508"/>
    <w:rsid w:val="000A12DA"/>
    <w:rsid w:val="000A24B8"/>
    <w:rsid w:val="000B736B"/>
    <w:rsid w:val="000C0F5A"/>
    <w:rsid w:val="000C6C7C"/>
    <w:rsid w:val="000D0FFD"/>
    <w:rsid w:val="000D1437"/>
    <w:rsid w:val="000D2F4E"/>
    <w:rsid w:val="000D53C0"/>
    <w:rsid w:val="000D6966"/>
    <w:rsid w:val="000E0DAF"/>
    <w:rsid w:val="000E4BE4"/>
    <w:rsid w:val="000F325E"/>
    <w:rsid w:val="00104999"/>
    <w:rsid w:val="00111E64"/>
    <w:rsid w:val="001343F5"/>
    <w:rsid w:val="001366C4"/>
    <w:rsid w:val="001414B0"/>
    <w:rsid w:val="00144376"/>
    <w:rsid w:val="0015029D"/>
    <w:rsid w:val="00150D51"/>
    <w:rsid w:val="0016010B"/>
    <w:rsid w:val="001646A4"/>
    <w:rsid w:val="001667F0"/>
    <w:rsid w:val="00173A19"/>
    <w:rsid w:val="00185A96"/>
    <w:rsid w:val="001913EF"/>
    <w:rsid w:val="00197CC7"/>
    <w:rsid w:val="001A275F"/>
    <w:rsid w:val="001A3AC6"/>
    <w:rsid w:val="001A518A"/>
    <w:rsid w:val="001B3CB4"/>
    <w:rsid w:val="001C3C45"/>
    <w:rsid w:val="001C7DC2"/>
    <w:rsid w:val="001D24F7"/>
    <w:rsid w:val="001D5322"/>
    <w:rsid w:val="001D5EDC"/>
    <w:rsid w:val="001F74E1"/>
    <w:rsid w:val="002027A2"/>
    <w:rsid w:val="00205257"/>
    <w:rsid w:val="002118CA"/>
    <w:rsid w:val="00215AF4"/>
    <w:rsid w:val="002173D6"/>
    <w:rsid w:val="00222715"/>
    <w:rsid w:val="0023509E"/>
    <w:rsid w:val="00243164"/>
    <w:rsid w:val="0024493B"/>
    <w:rsid w:val="00245D65"/>
    <w:rsid w:val="002468C1"/>
    <w:rsid w:val="002538D2"/>
    <w:rsid w:val="00253AAE"/>
    <w:rsid w:val="0025469E"/>
    <w:rsid w:val="002559E0"/>
    <w:rsid w:val="00275325"/>
    <w:rsid w:val="0028085C"/>
    <w:rsid w:val="00280E87"/>
    <w:rsid w:val="00294CD2"/>
    <w:rsid w:val="002958EA"/>
    <w:rsid w:val="00296DAB"/>
    <w:rsid w:val="002A0BBF"/>
    <w:rsid w:val="002B271B"/>
    <w:rsid w:val="002B2A76"/>
    <w:rsid w:val="002C1C2E"/>
    <w:rsid w:val="002D785F"/>
    <w:rsid w:val="002F05D9"/>
    <w:rsid w:val="003055F6"/>
    <w:rsid w:val="00307CB7"/>
    <w:rsid w:val="003101FE"/>
    <w:rsid w:val="003207C8"/>
    <w:rsid w:val="0032728D"/>
    <w:rsid w:val="00333711"/>
    <w:rsid w:val="0033443B"/>
    <w:rsid w:val="0035207D"/>
    <w:rsid w:val="00355560"/>
    <w:rsid w:val="00355DE2"/>
    <w:rsid w:val="003616A5"/>
    <w:rsid w:val="00364558"/>
    <w:rsid w:val="00372293"/>
    <w:rsid w:val="003731DF"/>
    <w:rsid w:val="003831B0"/>
    <w:rsid w:val="00387347"/>
    <w:rsid w:val="00387BC7"/>
    <w:rsid w:val="0039452D"/>
    <w:rsid w:val="00397DEA"/>
    <w:rsid w:val="003A168C"/>
    <w:rsid w:val="003A3FC1"/>
    <w:rsid w:val="003C4A8B"/>
    <w:rsid w:val="003C6D56"/>
    <w:rsid w:val="003C72E9"/>
    <w:rsid w:val="003D0F12"/>
    <w:rsid w:val="003D44F6"/>
    <w:rsid w:val="003D6574"/>
    <w:rsid w:val="003D78D7"/>
    <w:rsid w:val="003E3655"/>
    <w:rsid w:val="003E4DE6"/>
    <w:rsid w:val="003F4470"/>
    <w:rsid w:val="00400A24"/>
    <w:rsid w:val="0040227B"/>
    <w:rsid w:val="00403702"/>
    <w:rsid w:val="00406E05"/>
    <w:rsid w:val="004178C0"/>
    <w:rsid w:val="004238B5"/>
    <w:rsid w:val="0042390E"/>
    <w:rsid w:val="00437122"/>
    <w:rsid w:val="004635F5"/>
    <w:rsid w:val="00463DC5"/>
    <w:rsid w:val="00472F7E"/>
    <w:rsid w:val="004801A2"/>
    <w:rsid w:val="00481831"/>
    <w:rsid w:val="00483D26"/>
    <w:rsid w:val="00485E79"/>
    <w:rsid w:val="00490747"/>
    <w:rsid w:val="00497BA1"/>
    <w:rsid w:val="004B0136"/>
    <w:rsid w:val="004B35B3"/>
    <w:rsid w:val="004B5583"/>
    <w:rsid w:val="004C0C8B"/>
    <w:rsid w:val="004D2010"/>
    <w:rsid w:val="004D36A4"/>
    <w:rsid w:val="004D3CB3"/>
    <w:rsid w:val="004D5C2E"/>
    <w:rsid w:val="004E2291"/>
    <w:rsid w:val="0050210C"/>
    <w:rsid w:val="00531C5F"/>
    <w:rsid w:val="00557A19"/>
    <w:rsid w:val="00562C8E"/>
    <w:rsid w:val="0057028A"/>
    <w:rsid w:val="005856FF"/>
    <w:rsid w:val="005B553A"/>
    <w:rsid w:val="005D1C30"/>
    <w:rsid w:val="005D63D7"/>
    <w:rsid w:val="005E0E5D"/>
    <w:rsid w:val="00612AD1"/>
    <w:rsid w:val="00623838"/>
    <w:rsid w:val="00623894"/>
    <w:rsid w:val="0062540A"/>
    <w:rsid w:val="0063431A"/>
    <w:rsid w:val="00634D34"/>
    <w:rsid w:val="00644E9D"/>
    <w:rsid w:val="00646E2C"/>
    <w:rsid w:val="006526CB"/>
    <w:rsid w:val="00654673"/>
    <w:rsid w:val="00654689"/>
    <w:rsid w:val="006622B0"/>
    <w:rsid w:val="006630DF"/>
    <w:rsid w:val="00682F62"/>
    <w:rsid w:val="00691EC5"/>
    <w:rsid w:val="006A0409"/>
    <w:rsid w:val="006B1261"/>
    <w:rsid w:val="006B1677"/>
    <w:rsid w:val="006D2FB9"/>
    <w:rsid w:val="006D3F5E"/>
    <w:rsid w:val="006E24FA"/>
    <w:rsid w:val="006E2DDA"/>
    <w:rsid w:val="006E3CEE"/>
    <w:rsid w:val="006E4940"/>
    <w:rsid w:val="006E6E2B"/>
    <w:rsid w:val="006F2145"/>
    <w:rsid w:val="00702075"/>
    <w:rsid w:val="00712D1D"/>
    <w:rsid w:val="00713DDC"/>
    <w:rsid w:val="00723F67"/>
    <w:rsid w:val="00733E5C"/>
    <w:rsid w:val="007373D7"/>
    <w:rsid w:val="0074197E"/>
    <w:rsid w:val="00743BED"/>
    <w:rsid w:val="00761D27"/>
    <w:rsid w:val="007739D7"/>
    <w:rsid w:val="00777859"/>
    <w:rsid w:val="007822C5"/>
    <w:rsid w:val="00785C20"/>
    <w:rsid w:val="007924B0"/>
    <w:rsid w:val="007B0640"/>
    <w:rsid w:val="007B1C8B"/>
    <w:rsid w:val="007C0BA6"/>
    <w:rsid w:val="007D6CF6"/>
    <w:rsid w:val="007E5780"/>
    <w:rsid w:val="0080143B"/>
    <w:rsid w:val="00817701"/>
    <w:rsid w:val="0082599E"/>
    <w:rsid w:val="00834E58"/>
    <w:rsid w:val="008401DC"/>
    <w:rsid w:val="008469B9"/>
    <w:rsid w:val="00854CF3"/>
    <w:rsid w:val="00865488"/>
    <w:rsid w:val="00867D50"/>
    <w:rsid w:val="00875F15"/>
    <w:rsid w:val="00880DD1"/>
    <w:rsid w:val="00881E2E"/>
    <w:rsid w:val="00884968"/>
    <w:rsid w:val="00892100"/>
    <w:rsid w:val="00897EE6"/>
    <w:rsid w:val="008A0E0C"/>
    <w:rsid w:val="008A2700"/>
    <w:rsid w:val="008A749E"/>
    <w:rsid w:val="008B6F54"/>
    <w:rsid w:val="008C15D9"/>
    <w:rsid w:val="008E12AF"/>
    <w:rsid w:val="008E7C93"/>
    <w:rsid w:val="008F22EE"/>
    <w:rsid w:val="008F5701"/>
    <w:rsid w:val="008F678B"/>
    <w:rsid w:val="009067B4"/>
    <w:rsid w:val="00910D5C"/>
    <w:rsid w:val="009122B5"/>
    <w:rsid w:val="00914185"/>
    <w:rsid w:val="00924E5D"/>
    <w:rsid w:val="009262B6"/>
    <w:rsid w:val="00937DC9"/>
    <w:rsid w:val="0094705B"/>
    <w:rsid w:val="00947802"/>
    <w:rsid w:val="00950D8E"/>
    <w:rsid w:val="00951FD8"/>
    <w:rsid w:val="0097438E"/>
    <w:rsid w:val="009777C8"/>
    <w:rsid w:val="0098068D"/>
    <w:rsid w:val="00985D7D"/>
    <w:rsid w:val="00987CB5"/>
    <w:rsid w:val="009B17B4"/>
    <w:rsid w:val="009B391C"/>
    <w:rsid w:val="009B41B2"/>
    <w:rsid w:val="009C4414"/>
    <w:rsid w:val="00A04CC4"/>
    <w:rsid w:val="00A059FC"/>
    <w:rsid w:val="00A071B5"/>
    <w:rsid w:val="00A33123"/>
    <w:rsid w:val="00A419B4"/>
    <w:rsid w:val="00A43B4A"/>
    <w:rsid w:val="00A61A43"/>
    <w:rsid w:val="00A6567E"/>
    <w:rsid w:val="00A7716E"/>
    <w:rsid w:val="00A77F9C"/>
    <w:rsid w:val="00A93748"/>
    <w:rsid w:val="00A948EB"/>
    <w:rsid w:val="00AA4861"/>
    <w:rsid w:val="00AB1A7A"/>
    <w:rsid w:val="00AB584F"/>
    <w:rsid w:val="00AE503B"/>
    <w:rsid w:val="00B019FA"/>
    <w:rsid w:val="00B0430A"/>
    <w:rsid w:val="00B13347"/>
    <w:rsid w:val="00B16565"/>
    <w:rsid w:val="00B20518"/>
    <w:rsid w:val="00B229BA"/>
    <w:rsid w:val="00B31A70"/>
    <w:rsid w:val="00B3461C"/>
    <w:rsid w:val="00B415B9"/>
    <w:rsid w:val="00B450BF"/>
    <w:rsid w:val="00B6272B"/>
    <w:rsid w:val="00B74F2C"/>
    <w:rsid w:val="00B76E4B"/>
    <w:rsid w:val="00B81879"/>
    <w:rsid w:val="00B829EC"/>
    <w:rsid w:val="00B82E38"/>
    <w:rsid w:val="00B86ABA"/>
    <w:rsid w:val="00BA142E"/>
    <w:rsid w:val="00BA36D9"/>
    <w:rsid w:val="00BA7849"/>
    <w:rsid w:val="00BB43CE"/>
    <w:rsid w:val="00BC4C31"/>
    <w:rsid w:val="00BC6703"/>
    <w:rsid w:val="00BD0501"/>
    <w:rsid w:val="00BD3E8A"/>
    <w:rsid w:val="00BE31CC"/>
    <w:rsid w:val="00BF3A0B"/>
    <w:rsid w:val="00BF5119"/>
    <w:rsid w:val="00BF7A1E"/>
    <w:rsid w:val="00C01500"/>
    <w:rsid w:val="00C0419F"/>
    <w:rsid w:val="00C0421E"/>
    <w:rsid w:val="00C22402"/>
    <w:rsid w:val="00C2404E"/>
    <w:rsid w:val="00C26930"/>
    <w:rsid w:val="00C26D8C"/>
    <w:rsid w:val="00C357B5"/>
    <w:rsid w:val="00C41C82"/>
    <w:rsid w:val="00C51496"/>
    <w:rsid w:val="00C562BD"/>
    <w:rsid w:val="00C63210"/>
    <w:rsid w:val="00C74F08"/>
    <w:rsid w:val="00C804EC"/>
    <w:rsid w:val="00C82C24"/>
    <w:rsid w:val="00C836A8"/>
    <w:rsid w:val="00C86AE5"/>
    <w:rsid w:val="00C90192"/>
    <w:rsid w:val="00C92F15"/>
    <w:rsid w:val="00C94CE2"/>
    <w:rsid w:val="00CA581B"/>
    <w:rsid w:val="00CA6E38"/>
    <w:rsid w:val="00CB7007"/>
    <w:rsid w:val="00CC0655"/>
    <w:rsid w:val="00CC559A"/>
    <w:rsid w:val="00CD24E8"/>
    <w:rsid w:val="00CD2C12"/>
    <w:rsid w:val="00CD547A"/>
    <w:rsid w:val="00CE0FFD"/>
    <w:rsid w:val="00CE4A04"/>
    <w:rsid w:val="00CF1E94"/>
    <w:rsid w:val="00CF1EC4"/>
    <w:rsid w:val="00CF7BCF"/>
    <w:rsid w:val="00D065C4"/>
    <w:rsid w:val="00D06D60"/>
    <w:rsid w:val="00D12CCC"/>
    <w:rsid w:val="00D20AAD"/>
    <w:rsid w:val="00D20DFC"/>
    <w:rsid w:val="00D24788"/>
    <w:rsid w:val="00D32AB4"/>
    <w:rsid w:val="00D4599C"/>
    <w:rsid w:val="00D514F4"/>
    <w:rsid w:val="00D57EBA"/>
    <w:rsid w:val="00D86907"/>
    <w:rsid w:val="00D9023A"/>
    <w:rsid w:val="00D93D0C"/>
    <w:rsid w:val="00D9520D"/>
    <w:rsid w:val="00DA4981"/>
    <w:rsid w:val="00DC040C"/>
    <w:rsid w:val="00DC3BB3"/>
    <w:rsid w:val="00DD41C9"/>
    <w:rsid w:val="00DE3E3A"/>
    <w:rsid w:val="00DF2CF7"/>
    <w:rsid w:val="00DF623D"/>
    <w:rsid w:val="00E07DEE"/>
    <w:rsid w:val="00E1603F"/>
    <w:rsid w:val="00E267C0"/>
    <w:rsid w:val="00E301A0"/>
    <w:rsid w:val="00E3545D"/>
    <w:rsid w:val="00E41A3B"/>
    <w:rsid w:val="00E61DA8"/>
    <w:rsid w:val="00E71149"/>
    <w:rsid w:val="00E757E2"/>
    <w:rsid w:val="00E84C19"/>
    <w:rsid w:val="00E85169"/>
    <w:rsid w:val="00E96DC0"/>
    <w:rsid w:val="00EB3E45"/>
    <w:rsid w:val="00EB4374"/>
    <w:rsid w:val="00EC2099"/>
    <w:rsid w:val="00EC277F"/>
    <w:rsid w:val="00EC28A7"/>
    <w:rsid w:val="00ED4F2B"/>
    <w:rsid w:val="00EF3619"/>
    <w:rsid w:val="00EF5477"/>
    <w:rsid w:val="00EF70F5"/>
    <w:rsid w:val="00F0359A"/>
    <w:rsid w:val="00F06C67"/>
    <w:rsid w:val="00F21A25"/>
    <w:rsid w:val="00F31973"/>
    <w:rsid w:val="00F334C6"/>
    <w:rsid w:val="00F34029"/>
    <w:rsid w:val="00F43836"/>
    <w:rsid w:val="00F50B88"/>
    <w:rsid w:val="00F76055"/>
    <w:rsid w:val="00F83382"/>
    <w:rsid w:val="00F8380A"/>
    <w:rsid w:val="00F8429B"/>
    <w:rsid w:val="00F9093E"/>
    <w:rsid w:val="00FA6176"/>
    <w:rsid w:val="00FB33EB"/>
    <w:rsid w:val="00FB5692"/>
    <w:rsid w:val="00FD26A4"/>
    <w:rsid w:val="00FD5D99"/>
    <w:rsid w:val="00FE70FF"/>
    <w:rsid w:val="00FE7D07"/>
    <w:rsid w:val="00FF2E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C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BA142E"/>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BA142E"/>
    <w:rPr>
      <w:sz w:val="20"/>
      <w:szCs w:val="20"/>
      <w:lang w:val="en-AU"/>
    </w:rPr>
  </w:style>
  <w:style w:type="character" w:styleId="FootnoteReference">
    <w:name w:val="footnote reference"/>
    <w:basedOn w:val="DefaultParagraphFont"/>
    <w:semiHidden/>
    <w:unhideWhenUsed/>
    <w:rsid w:val="00BA142E"/>
    <w:rPr>
      <w:vertAlign w:val="superscript"/>
    </w:rPr>
  </w:style>
  <w:style w:type="character" w:customStyle="1" w:styleId="Hyperlink1">
    <w:name w:val="Hyperlink1"/>
    <w:basedOn w:val="DefaultParagraphFont"/>
    <w:uiPriority w:val="99"/>
    <w:unhideWhenUsed/>
    <w:rsid w:val="00BA142E"/>
    <w:rPr>
      <w:color w:val="0000FF"/>
      <w:u w:val="single"/>
    </w:rPr>
  </w:style>
  <w:style w:type="paragraph" w:styleId="FootnoteText">
    <w:name w:val="footnote text"/>
    <w:basedOn w:val="Normal"/>
    <w:link w:val="FootnoteTextChar1"/>
    <w:uiPriority w:val="99"/>
    <w:semiHidden/>
    <w:unhideWhenUsed/>
    <w:rsid w:val="00BA142E"/>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A142E"/>
    <w:rPr>
      <w:sz w:val="20"/>
      <w:szCs w:val="20"/>
    </w:rPr>
  </w:style>
  <w:style w:type="character" w:styleId="Hyperlink">
    <w:name w:val="Hyperlink"/>
    <w:basedOn w:val="DefaultParagraphFont"/>
    <w:uiPriority w:val="99"/>
    <w:unhideWhenUsed/>
    <w:rsid w:val="00BA142E"/>
    <w:rPr>
      <w:color w:val="0000FF" w:themeColor="hyperlink"/>
      <w:u w:val="single"/>
    </w:rPr>
  </w:style>
  <w:style w:type="character" w:customStyle="1" w:styleId="Heading1Char">
    <w:name w:val="Heading 1 Char"/>
    <w:basedOn w:val="DefaultParagraphFont"/>
    <w:link w:val="Heading1"/>
    <w:uiPriority w:val="9"/>
    <w:rsid w:val="007D6CF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77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16E"/>
    <w:rPr>
      <w:rFonts w:ascii="Tahoma" w:hAnsi="Tahoma" w:cs="Tahoma"/>
      <w:sz w:val="16"/>
      <w:szCs w:val="16"/>
    </w:rPr>
  </w:style>
  <w:style w:type="character" w:styleId="PlaceholderText">
    <w:name w:val="Placeholder Text"/>
    <w:basedOn w:val="DefaultParagraphFont"/>
    <w:uiPriority w:val="99"/>
    <w:semiHidden/>
    <w:rsid w:val="00654673"/>
    <w:rPr>
      <w:color w:val="808080"/>
    </w:rPr>
  </w:style>
  <w:style w:type="table" w:styleId="TableGrid">
    <w:name w:val="Table Grid"/>
    <w:basedOn w:val="TableNormal"/>
    <w:uiPriority w:val="59"/>
    <w:rsid w:val="00C41C82"/>
    <w:pPr>
      <w:spacing w:after="0" w:line="240" w:lineRule="auto"/>
    </w:pPr>
    <w:rPr>
      <w:rFonts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sup">
    <w:name w:val="i-sup"/>
    <w:rsid w:val="001A3AC6"/>
    <w:rPr>
      <w:rFonts w:ascii="Times New Roman" w:hAnsi="Times New Roman" w:cs="Times New Roman"/>
      <w:b w:val="0"/>
      <w:i w:val="0"/>
      <w:position w:val="6"/>
      <w:sz w:val="18"/>
      <w:u w:val="none"/>
    </w:rPr>
  </w:style>
  <w:style w:type="paragraph" w:styleId="ListParagraph">
    <w:name w:val="List Paragraph"/>
    <w:basedOn w:val="Normal"/>
    <w:uiPriority w:val="34"/>
    <w:qFormat/>
    <w:rsid w:val="00B829EC"/>
    <w:pPr>
      <w:ind w:left="720"/>
      <w:contextualSpacing/>
    </w:pPr>
  </w:style>
  <w:style w:type="paragraph" w:styleId="Header">
    <w:name w:val="header"/>
    <w:basedOn w:val="Normal"/>
    <w:link w:val="HeaderChar"/>
    <w:uiPriority w:val="99"/>
    <w:unhideWhenUsed/>
    <w:rsid w:val="00F83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382"/>
  </w:style>
  <w:style w:type="paragraph" w:styleId="Footer">
    <w:name w:val="footer"/>
    <w:basedOn w:val="Normal"/>
    <w:link w:val="FooterChar"/>
    <w:uiPriority w:val="99"/>
    <w:unhideWhenUsed/>
    <w:rsid w:val="00F83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C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BA142E"/>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BA142E"/>
    <w:rPr>
      <w:sz w:val="20"/>
      <w:szCs w:val="20"/>
      <w:lang w:val="en-AU"/>
    </w:rPr>
  </w:style>
  <w:style w:type="character" w:styleId="FootnoteReference">
    <w:name w:val="footnote reference"/>
    <w:basedOn w:val="DefaultParagraphFont"/>
    <w:semiHidden/>
    <w:unhideWhenUsed/>
    <w:rsid w:val="00BA142E"/>
    <w:rPr>
      <w:vertAlign w:val="superscript"/>
    </w:rPr>
  </w:style>
  <w:style w:type="character" w:customStyle="1" w:styleId="Hyperlink1">
    <w:name w:val="Hyperlink1"/>
    <w:basedOn w:val="DefaultParagraphFont"/>
    <w:uiPriority w:val="99"/>
    <w:unhideWhenUsed/>
    <w:rsid w:val="00BA142E"/>
    <w:rPr>
      <w:color w:val="0000FF"/>
      <w:u w:val="single"/>
    </w:rPr>
  </w:style>
  <w:style w:type="paragraph" w:styleId="FootnoteText">
    <w:name w:val="footnote text"/>
    <w:basedOn w:val="Normal"/>
    <w:link w:val="FootnoteTextChar1"/>
    <w:uiPriority w:val="99"/>
    <w:semiHidden/>
    <w:unhideWhenUsed/>
    <w:rsid w:val="00BA142E"/>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A142E"/>
    <w:rPr>
      <w:sz w:val="20"/>
      <w:szCs w:val="20"/>
    </w:rPr>
  </w:style>
  <w:style w:type="character" w:styleId="Hyperlink">
    <w:name w:val="Hyperlink"/>
    <w:basedOn w:val="DefaultParagraphFont"/>
    <w:uiPriority w:val="99"/>
    <w:unhideWhenUsed/>
    <w:rsid w:val="00BA142E"/>
    <w:rPr>
      <w:color w:val="0000FF" w:themeColor="hyperlink"/>
      <w:u w:val="single"/>
    </w:rPr>
  </w:style>
  <w:style w:type="character" w:customStyle="1" w:styleId="Heading1Char">
    <w:name w:val="Heading 1 Char"/>
    <w:basedOn w:val="DefaultParagraphFont"/>
    <w:link w:val="Heading1"/>
    <w:uiPriority w:val="9"/>
    <w:rsid w:val="007D6CF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77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16E"/>
    <w:rPr>
      <w:rFonts w:ascii="Tahoma" w:hAnsi="Tahoma" w:cs="Tahoma"/>
      <w:sz w:val="16"/>
      <w:szCs w:val="16"/>
    </w:rPr>
  </w:style>
  <w:style w:type="character" w:styleId="PlaceholderText">
    <w:name w:val="Placeholder Text"/>
    <w:basedOn w:val="DefaultParagraphFont"/>
    <w:uiPriority w:val="99"/>
    <w:semiHidden/>
    <w:rsid w:val="00654673"/>
    <w:rPr>
      <w:color w:val="808080"/>
    </w:rPr>
  </w:style>
  <w:style w:type="table" w:styleId="TableGrid">
    <w:name w:val="Table Grid"/>
    <w:basedOn w:val="TableNormal"/>
    <w:uiPriority w:val="59"/>
    <w:rsid w:val="00C41C82"/>
    <w:pPr>
      <w:spacing w:after="0" w:line="240" w:lineRule="auto"/>
    </w:pPr>
    <w:rPr>
      <w:rFonts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sup">
    <w:name w:val="i-sup"/>
    <w:rsid w:val="001A3AC6"/>
    <w:rPr>
      <w:rFonts w:ascii="Times New Roman" w:hAnsi="Times New Roman" w:cs="Times New Roman"/>
      <w:b w:val="0"/>
      <w:i w:val="0"/>
      <w:position w:val="6"/>
      <w:sz w:val="18"/>
      <w:u w:val="none"/>
    </w:rPr>
  </w:style>
  <w:style w:type="paragraph" w:styleId="ListParagraph">
    <w:name w:val="List Paragraph"/>
    <w:basedOn w:val="Normal"/>
    <w:uiPriority w:val="34"/>
    <w:qFormat/>
    <w:rsid w:val="00B829EC"/>
    <w:pPr>
      <w:ind w:left="720"/>
      <w:contextualSpacing/>
    </w:pPr>
  </w:style>
  <w:style w:type="paragraph" w:styleId="Header">
    <w:name w:val="header"/>
    <w:basedOn w:val="Normal"/>
    <w:link w:val="HeaderChar"/>
    <w:uiPriority w:val="99"/>
    <w:unhideWhenUsed/>
    <w:rsid w:val="00F83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382"/>
  </w:style>
  <w:style w:type="paragraph" w:styleId="Footer">
    <w:name w:val="footer"/>
    <w:basedOn w:val="Normal"/>
    <w:link w:val="FooterChar"/>
    <w:uiPriority w:val="99"/>
    <w:unhideWhenUsed/>
    <w:rsid w:val="00F83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4269">
      <w:bodyDiv w:val="1"/>
      <w:marLeft w:val="0"/>
      <w:marRight w:val="0"/>
      <w:marTop w:val="0"/>
      <w:marBottom w:val="0"/>
      <w:divBdr>
        <w:top w:val="none" w:sz="0" w:space="0" w:color="auto"/>
        <w:left w:val="none" w:sz="0" w:space="0" w:color="auto"/>
        <w:bottom w:val="none" w:sz="0" w:space="0" w:color="auto"/>
        <w:right w:val="none" w:sz="0" w:space="0" w:color="auto"/>
      </w:divBdr>
    </w:div>
    <w:div w:id="10020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bc.co.uk/news/world-europe-2266936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Gabriela.Pohl@usq.edu.au" TargetMode="External"/><Relationship Id="rId1" Type="http://schemas.openxmlformats.org/officeDocument/2006/relationships/hyperlink" Target="mailto:phillips@us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A35A8-B1A2-4EB6-8142-34903778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18</Pages>
  <Words>7570</Words>
  <Characters>43150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50619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Phillips</dc:creator>
  <cp:lastModifiedBy>Peter Phillips</cp:lastModifiedBy>
  <cp:revision>13</cp:revision>
  <cp:lastPrinted>2013-10-20T23:00:00Z</cp:lastPrinted>
  <dcterms:created xsi:type="dcterms:W3CDTF">2014-03-06T05:48:00Z</dcterms:created>
  <dcterms:modified xsi:type="dcterms:W3CDTF">2014-03-26T06:41:00Z</dcterms:modified>
</cp:coreProperties>
</file>